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2.xml" ContentType="application/vnd.openxmlformats-officedocument.themeOverrid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035F0" w14:textId="2A91992E" w:rsidR="00B6121D" w:rsidRPr="006F63AB" w:rsidRDefault="00B6121D" w:rsidP="00AE4B98">
      <w:pPr>
        <w:pStyle w:val="Overskrift2"/>
      </w:pPr>
      <w:r w:rsidRPr="006F63AB">
        <w:t>F</w:t>
      </w:r>
      <w:bookmarkStart w:id="0" w:name="_Ref129782385"/>
      <w:bookmarkEnd w:id="0"/>
      <w:r w:rsidRPr="006F63AB">
        <w:t>orord</w:t>
      </w:r>
    </w:p>
    <w:p w14:paraId="5AD201D7" w14:textId="6120683A" w:rsidR="00C177E2" w:rsidRDefault="00C177E2" w:rsidP="00C177E2">
      <w:pPr>
        <w:rPr>
          <w:rFonts w:ascii="Arial" w:eastAsia="Arial" w:hAnsi="Arial" w:cs="Arial"/>
        </w:rPr>
      </w:pPr>
      <w:r w:rsidRPr="006B621C">
        <w:rPr>
          <w:rFonts w:ascii="Arial" w:eastAsia="Arial" w:hAnsi="Arial" w:cs="Arial"/>
        </w:rPr>
        <w:t>Direktoratet for høyere utdanning og kompetanse (HK-</w:t>
      </w:r>
      <w:proofErr w:type="spellStart"/>
      <w:r w:rsidRPr="006B621C">
        <w:rPr>
          <w:rFonts w:ascii="Arial" w:eastAsia="Arial" w:hAnsi="Arial" w:cs="Arial"/>
        </w:rPr>
        <w:t>dir</w:t>
      </w:r>
      <w:proofErr w:type="spellEnd"/>
      <w:r w:rsidRPr="006B621C">
        <w:rPr>
          <w:rFonts w:ascii="Arial" w:eastAsia="Arial" w:hAnsi="Arial" w:cs="Arial"/>
        </w:rPr>
        <w:t>) utarbeider Tilstandsrapport for høyere utdanning på oppdrag fra Kunnskapsdepartementet (KD). Rapporten er en del av grunnlaget for departementets etatsstyring av statlige universiteter og høyskoler, for dialogen med de private institusjonene og kan være et grunnlag for departementets budsjettarbeid og politikkutvikling.</w:t>
      </w:r>
    </w:p>
    <w:p w14:paraId="459D8426" w14:textId="33B5414A" w:rsidR="00C177E2" w:rsidRDefault="00C177E2" w:rsidP="00C177E2">
      <w:pPr>
        <w:rPr>
          <w:rFonts w:ascii="Arial" w:eastAsia="Arial" w:hAnsi="Arial" w:cs="Arial"/>
        </w:rPr>
      </w:pPr>
      <w:r>
        <w:rPr>
          <w:rFonts w:ascii="Arial" w:eastAsia="Arial" w:hAnsi="Arial" w:cs="Arial"/>
        </w:rPr>
        <w:t>Styringen av universiteter og høyskoler er i en overgangsfase fra bruken av nasjonale styringsparametere til individuelle utviklingsavtaler. 2022 er siste år der de nasjonale styringsparamet</w:t>
      </w:r>
      <w:r w:rsidR="00812AFD">
        <w:rPr>
          <w:rFonts w:ascii="Arial" w:eastAsia="Arial" w:hAnsi="Arial" w:cs="Arial"/>
        </w:rPr>
        <w:t>erne</w:t>
      </w:r>
      <w:r>
        <w:rPr>
          <w:rFonts w:ascii="Arial" w:eastAsia="Arial" w:hAnsi="Arial" w:cs="Arial"/>
        </w:rPr>
        <w:t xml:space="preserve"> har status som sådanne, selv om de vil være viktige indikatorer å følge opp også videre framover.</w:t>
      </w:r>
    </w:p>
    <w:p w14:paraId="46E386FD" w14:textId="2864AB9B" w:rsidR="00C177E2" w:rsidRPr="006B621C" w:rsidRDefault="00C177E2" w:rsidP="00C177E2">
      <w:pPr>
        <w:rPr>
          <w:rFonts w:ascii="Arial" w:eastAsia="Arial" w:hAnsi="Arial" w:cs="Arial"/>
        </w:rPr>
      </w:pPr>
      <w:r w:rsidRPr="006B621C">
        <w:rPr>
          <w:rFonts w:ascii="Arial" w:eastAsia="Arial" w:hAnsi="Arial" w:cs="Arial"/>
        </w:rPr>
        <w:t xml:space="preserve">Rapporten presenterer tall </w:t>
      </w:r>
      <w:r w:rsidR="00871524">
        <w:rPr>
          <w:rFonts w:ascii="Arial" w:eastAsia="Arial" w:hAnsi="Arial" w:cs="Arial"/>
        </w:rPr>
        <w:t>for 2022</w:t>
      </w:r>
      <w:r w:rsidRPr="006B621C">
        <w:rPr>
          <w:rFonts w:ascii="Arial" w:eastAsia="Arial" w:hAnsi="Arial" w:cs="Arial"/>
        </w:rPr>
        <w:t xml:space="preserve"> og </w:t>
      </w:r>
      <w:r w:rsidR="00FD2F57">
        <w:rPr>
          <w:rFonts w:ascii="Arial" w:eastAsia="Arial" w:hAnsi="Arial" w:cs="Arial"/>
        </w:rPr>
        <w:t xml:space="preserve">en </w:t>
      </w:r>
      <w:r w:rsidRPr="006B621C">
        <w:rPr>
          <w:rFonts w:ascii="Arial" w:eastAsia="Arial" w:hAnsi="Arial" w:cs="Arial"/>
        </w:rPr>
        <w:t>oversikt over utviklingen over tid på en rekke områder i UH-sektoren.</w:t>
      </w:r>
      <w:r w:rsidRPr="008303FB">
        <w:rPr>
          <w:rFonts w:ascii="Arial" w:eastAsia="Arial" w:hAnsi="Arial" w:cs="Arial"/>
        </w:rPr>
        <w:t xml:space="preserve"> </w:t>
      </w:r>
      <w:r>
        <w:rPr>
          <w:rFonts w:ascii="Arial" w:eastAsia="Arial" w:hAnsi="Arial" w:cs="Arial"/>
        </w:rPr>
        <w:t xml:space="preserve">Tilstandsrapporten </w:t>
      </w:r>
      <w:r w:rsidRPr="006B621C">
        <w:rPr>
          <w:rFonts w:ascii="Arial" w:eastAsia="Arial" w:hAnsi="Arial" w:cs="Arial"/>
        </w:rPr>
        <w:t xml:space="preserve">inneholder kapitler om utdanning, doktorgradsutdanning og forskning, samt styring, økonomi og menneskelige ressurser. Analysene er basert på et omfattende datagrunnlag fra ulike kilder. Detaljert informasjon og resultater presenteres digitalt </w:t>
      </w:r>
      <w:r w:rsidR="006256D5">
        <w:rPr>
          <w:rFonts w:ascii="Arial" w:eastAsia="Arial" w:hAnsi="Arial" w:cs="Arial"/>
        </w:rPr>
        <w:t>på</w:t>
      </w:r>
      <w:r w:rsidRPr="006B621C">
        <w:rPr>
          <w:rFonts w:ascii="Arial" w:eastAsia="Arial" w:hAnsi="Arial" w:cs="Arial"/>
        </w:rPr>
        <w:t xml:space="preserve"> https://vedlegg.hkdir.no/TRHU/2023.</w:t>
      </w:r>
    </w:p>
    <w:p w14:paraId="21BE61F1" w14:textId="6E70E223" w:rsidR="00C177E2" w:rsidRDefault="00C177E2" w:rsidP="00C177E2">
      <w:pPr>
        <w:rPr>
          <w:rFonts w:ascii="Arial" w:eastAsia="Arial" w:hAnsi="Arial" w:cs="Arial"/>
        </w:rPr>
      </w:pPr>
      <w:r w:rsidRPr="006B621C">
        <w:rPr>
          <w:rFonts w:ascii="Arial" w:eastAsia="Arial" w:hAnsi="Arial" w:cs="Arial"/>
        </w:rPr>
        <w:t xml:space="preserve">Også </w:t>
      </w:r>
      <w:r w:rsidR="00F05679">
        <w:rPr>
          <w:rFonts w:ascii="Arial" w:eastAsia="Arial" w:hAnsi="Arial" w:cs="Arial"/>
        </w:rPr>
        <w:t>i</w:t>
      </w:r>
      <w:r w:rsidRPr="006B621C">
        <w:rPr>
          <w:rFonts w:ascii="Arial" w:eastAsia="Arial" w:hAnsi="Arial" w:cs="Arial"/>
        </w:rPr>
        <w:t xml:space="preserve"> årets tilstandsrapport er </w:t>
      </w:r>
      <w:r w:rsidR="005D2D61">
        <w:rPr>
          <w:rFonts w:ascii="Arial" w:eastAsia="Arial" w:hAnsi="Arial" w:cs="Arial"/>
        </w:rPr>
        <w:t>resultatene</w:t>
      </w:r>
      <w:r w:rsidRPr="006B621C">
        <w:rPr>
          <w:rFonts w:ascii="Arial" w:eastAsia="Arial" w:hAnsi="Arial" w:cs="Arial"/>
        </w:rPr>
        <w:t xml:space="preserve"> i stor grad preget av pandemien, men delvis på andre måter og på andre områder enn de foregående årene. På utdanningsområdet ser vi en normalisering</w:t>
      </w:r>
      <w:r>
        <w:rPr>
          <w:rFonts w:ascii="Arial" w:eastAsia="Arial" w:hAnsi="Arial" w:cs="Arial"/>
        </w:rPr>
        <w:t xml:space="preserve"> i form av nedgang i antall studenter, studiepoeng og uteksaminerte. Samtidig ser vi noen varige spor av pandemien. Smitteverntiltakene b</w:t>
      </w:r>
      <w:r w:rsidR="00B269F6">
        <w:rPr>
          <w:rFonts w:ascii="Arial" w:eastAsia="Arial" w:hAnsi="Arial" w:cs="Arial"/>
        </w:rPr>
        <w:t>idro til å styrke</w:t>
      </w:r>
      <w:r w:rsidR="008C4A86">
        <w:rPr>
          <w:rFonts w:ascii="Arial" w:eastAsia="Arial" w:hAnsi="Arial" w:cs="Arial"/>
        </w:rPr>
        <w:t xml:space="preserve"> arbeidet med</w:t>
      </w:r>
      <w:r>
        <w:rPr>
          <w:rFonts w:ascii="Arial" w:eastAsia="Arial" w:hAnsi="Arial" w:cs="Arial"/>
        </w:rPr>
        <w:t xml:space="preserve"> digitalisering</w:t>
      </w:r>
      <w:r w:rsidR="008C4A86">
        <w:rPr>
          <w:rFonts w:ascii="Arial" w:eastAsia="Arial" w:hAnsi="Arial" w:cs="Arial"/>
        </w:rPr>
        <w:t xml:space="preserve"> av utdanningene</w:t>
      </w:r>
      <w:r w:rsidR="00525F82">
        <w:rPr>
          <w:rFonts w:ascii="Arial" w:eastAsia="Arial" w:hAnsi="Arial" w:cs="Arial"/>
        </w:rPr>
        <w:t>,</w:t>
      </w:r>
      <w:r>
        <w:rPr>
          <w:rFonts w:ascii="Arial" w:eastAsia="Arial" w:hAnsi="Arial" w:cs="Arial"/>
        </w:rPr>
        <w:t xml:space="preserve"> og fleksible utdanninger ser ut til å ha fått et varig løft. Tallene for utveksling nærmer seg raskt nivået fra før pandemien, og i 2022 reiste studentene i stor grad til landene </w:t>
      </w:r>
      <w:r w:rsidR="00317FAF">
        <w:rPr>
          <w:rFonts w:ascii="Arial" w:eastAsia="Arial" w:hAnsi="Arial" w:cs="Arial"/>
        </w:rPr>
        <w:t xml:space="preserve">som lå </w:t>
      </w:r>
      <w:r>
        <w:rPr>
          <w:rFonts w:ascii="Arial" w:eastAsia="Arial" w:hAnsi="Arial" w:cs="Arial"/>
        </w:rPr>
        <w:t xml:space="preserve">øverst på listen </w:t>
      </w:r>
      <w:r w:rsidR="004A6F0F">
        <w:rPr>
          <w:rFonts w:ascii="Arial" w:eastAsia="Arial" w:hAnsi="Arial" w:cs="Arial"/>
        </w:rPr>
        <w:t>også</w:t>
      </w:r>
      <w:r>
        <w:rPr>
          <w:rFonts w:ascii="Arial" w:eastAsia="Arial" w:hAnsi="Arial" w:cs="Arial"/>
        </w:rPr>
        <w:t xml:space="preserve"> før pandemien.</w:t>
      </w:r>
    </w:p>
    <w:p w14:paraId="1FC01FB6" w14:textId="27B36030" w:rsidR="00C177E2" w:rsidRDefault="00C177E2" w:rsidP="00C177E2">
      <w:pPr>
        <w:rPr>
          <w:rFonts w:ascii="Arial" w:eastAsia="Arial" w:hAnsi="Arial" w:cs="Arial"/>
        </w:rPr>
      </w:pPr>
      <w:r>
        <w:rPr>
          <w:rFonts w:ascii="Arial" w:eastAsia="Arial" w:hAnsi="Arial" w:cs="Arial"/>
        </w:rPr>
        <w:t xml:space="preserve">Avlagte doktorgrader går ned for andre år på rad, og som i fjor kan det være naturlig å se nedgangen i sammenheng med forsinkelser på grunn av pandemien. Samtidig var det forskjell mellom norske og utenlandske statsborgere. Tallet på norske statsborgere som avla doktorgrad var høyere i 2022 enn i 2021. For første gang i tiårsperioden var antall publiseringspoeng for sektoren samlet lavere enn året før. Dette </w:t>
      </w:r>
      <w:r w:rsidR="00135AE0">
        <w:rPr>
          <w:rFonts w:ascii="Arial" w:eastAsia="Arial" w:hAnsi="Arial" w:cs="Arial"/>
        </w:rPr>
        <w:t>har trolig sammenheng med</w:t>
      </w:r>
      <w:r>
        <w:rPr>
          <w:rFonts w:ascii="Arial" w:eastAsia="Arial" w:hAnsi="Arial" w:cs="Arial"/>
        </w:rPr>
        <w:t xml:space="preserve"> at pandemien ga mindre tid til forskning, men fordi publiseringsprosessen strekker seg over lang tid, ses effekten først i tallene i 2022.</w:t>
      </w:r>
    </w:p>
    <w:p w14:paraId="288D55B2" w14:textId="4C56E894" w:rsidR="00C177E2" w:rsidRDefault="00C177E2" w:rsidP="00C177E2">
      <w:pPr>
        <w:rPr>
          <w:rFonts w:ascii="Arial" w:eastAsia="Arial" w:hAnsi="Arial" w:cs="Arial"/>
        </w:rPr>
      </w:pPr>
      <w:r>
        <w:rPr>
          <w:rFonts w:ascii="Arial" w:eastAsia="Arial" w:hAnsi="Arial" w:cs="Arial"/>
        </w:rPr>
        <w:t xml:space="preserve">Temakapittelet for årets tilstandsrapport er «fleksible profesjonsutdanninger». </w:t>
      </w:r>
      <w:r w:rsidR="009D7784">
        <w:rPr>
          <w:rFonts w:ascii="Arial" w:eastAsia="Arial" w:hAnsi="Arial" w:cs="Arial"/>
        </w:rPr>
        <w:t xml:space="preserve">Analysen er ikke </w:t>
      </w:r>
      <w:proofErr w:type="gramStart"/>
      <w:r w:rsidR="009D7784">
        <w:rPr>
          <w:rFonts w:ascii="Arial" w:eastAsia="Arial" w:hAnsi="Arial" w:cs="Arial"/>
        </w:rPr>
        <w:t>integrert</w:t>
      </w:r>
      <w:proofErr w:type="gramEnd"/>
      <w:r w:rsidR="009D7784">
        <w:rPr>
          <w:rFonts w:ascii="Arial" w:eastAsia="Arial" w:hAnsi="Arial" w:cs="Arial"/>
        </w:rPr>
        <w:t xml:space="preserve"> i denne rapporten, men vil leveres separat i september 2023</w:t>
      </w:r>
      <w:r w:rsidR="00CC5DC8">
        <w:rPr>
          <w:rFonts w:ascii="Arial" w:eastAsia="Arial" w:hAnsi="Arial" w:cs="Arial"/>
        </w:rPr>
        <w:t xml:space="preserve">. </w:t>
      </w:r>
      <w:r>
        <w:rPr>
          <w:rFonts w:ascii="Arial" w:eastAsia="Arial" w:hAnsi="Arial" w:cs="Arial"/>
        </w:rPr>
        <w:t xml:space="preserve">Analysen skal være </w:t>
      </w:r>
      <w:r w:rsidR="00EC639E">
        <w:rPr>
          <w:rFonts w:ascii="Arial" w:eastAsia="Arial" w:hAnsi="Arial" w:cs="Arial"/>
        </w:rPr>
        <w:t xml:space="preserve">en del av </w:t>
      </w:r>
      <w:r>
        <w:rPr>
          <w:rFonts w:ascii="Arial" w:eastAsia="Arial" w:hAnsi="Arial" w:cs="Arial"/>
        </w:rPr>
        <w:t>grunnlag</w:t>
      </w:r>
      <w:r w:rsidR="00EC639E">
        <w:rPr>
          <w:rFonts w:ascii="Arial" w:eastAsia="Arial" w:hAnsi="Arial" w:cs="Arial"/>
        </w:rPr>
        <w:t>et</w:t>
      </w:r>
      <w:r>
        <w:rPr>
          <w:rFonts w:ascii="Arial" w:eastAsia="Arial" w:hAnsi="Arial" w:cs="Arial"/>
        </w:rPr>
        <w:t xml:space="preserve"> for Kunnskapsdepartementets arbeid med stortingsmelding for profesjonsutdanninger som kommer i 2024. </w:t>
      </w:r>
    </w:p>
    <w:p w14:paraId="511D5991" w14:textId="42A52E0F" w:rsidR="00C177E2" w:rsidRPr="006B621C" w:rsidRDefault="00C177E2" w:rsidP="00C177E2">
      <w:pPr>
        <w:rPr>
          <w:rFonts w:ascii="Arial" w:eastAsia="Arial" w:hAnsi="Arial" w:cs="Arial"/>
        </w:rPr>
      </w:pPr>
      <w:r w:rsidRPr="006B621C">
        <w:rPr>
          <w:rFonts w:ascii="Arial" w:eastAsia="Arial" w:hAnsi="Arial" w:cs="Arial"/>
        </w:rPr>
        <w:t>Det viktigste grunnlaget for tilstandsrapporten er</w:t>
      </w:r>
      <w:r>
        <w:rPr>
          <w:rFonts w:ascii="Arial" w:eastAsia="Arial" w:hAnsi="Arial" w:cs="Arial"/>
        </w:rPr>
        <w:t xml:space="preserve"> HK-</w:t>
      </w:r>
      <w:proofErr w:type="spellStart"/>
      <w:r>
        <w:rPr>
          <w:rFonts w:ascii="Arial" w:eastAsia="Arial" w:hAnsi="Arial" w:cs="Arial"/>
        </w:rPr>
        <w:t>dirs</w:t>
      </w:r>
      <w:proofErr w:type="spellEnd"/>
      <w:r w:rsidRPr="006B621C">
        <w:rPr>
          <w:rFonts w:ascii="Arial" w:eastAsia="Arial" w:hAnsi="Arial" w:cs="Arial"/>
        </w:rPr>
        <w:t xml:space="preserve"> Database for statistikk om høyere utdanning (</w:t>
      </w:r>
      <w:proofErr w:type="spellStart"/>
      <w:r w:rsidRPr="006B621C">
        <w:rPr>
          <w:rFonts w:ascii="Arial" w:eastAsia="Arial" w:hAnsi="Arial" w:cs="Arial"/>
        </w:rPr>
        <w:t>DBH</w:t>
      </w:r>
      <w:proofErr w:type="spellEnd"/>
      <w:r w:rsidRPr="006B621C">
        <w:rPr>
          <w:rFonts w:ascii="Arial" w:eastAsia="Arial" w:hAnsi="Arial" w:cs="Arial"/>
        </w:rPr>
        <w:t>)</w:t>
      </w:r>
      <w:r>
        <w:rPr>
          <w:rFonts w:ascii="Arial" w:eastAsia="Arial" w:hAnsi="Arial" w:cs="Arial"/>
        </w:rPr>
        <w:t>.</w:t>
      </w:r>
      <w:r w:rsidRPr="006B621C">
        <w:rPr>
          <w:rFonts w:ascii="Arial" w:eastAsia="Arial" w:hAnsi="Arial" w:cs="Arial"/>
        </w:rPr>
        <w:t xml:space="preserve"> Øvrige data er levert av Statistisk </w:t>
      </w:r>
      <w:r w:rsidR="003F7623">
        <w:rPr>
          <w:rFonts w:ascii="Arial" w:eastAsia="Arial" w:hAnsi="Arial" w:cs="Arial"/>
        </w:rPr>
        <w:t>s</w:t>
      </w:r>
      <w:r w:rsidRPr="006B621C">
        <w:rPr>
          <w:rFonts w:ascii="Arial" w:eastAsia="Arial" w:hAnsi="Arial" w:cs="Arial"/>
        </w:rPr>
        <w:t xml:space="preserve">entralbyrå, Forskningsrådet, </w:t>
      </w:r>
      <w:proofErr w:type="spellStart"/>
      <w:r w:rsidRPr="006B621C">
        <w:rPr>
          <w:rFonts w:ascii="Arial" w:eastAsia="Arial" w:hAnsi="Arial" w:cs="Arial"/>
        </w:rPr>
        <w:t>NOKUT</w:t>
      </w:r>
      <w:proofErr w:type="spellEnd"/>
      <w:r w:rsidRPr="006B621C">
        <w:rPr>
          <w:rFonts w:ascii="Arial" w:eastAsia="Arial" w:hAnsi="Arial" w:cs="Arial"/>
        </w:rPr>
        <w:t>, NIFU og Sikt. Årets tilstandsrapport er utarbeidet av medarbeidere i HK-</w:t>
      </w:r>
      <w:proofErr w:type="spellStart"/>
      <w:r w:rsidRPr="006B621C">
        <w:rPr>
          <w:rFonts w:ascii="Arial" w:eastAsia="Arial" w:hAnsi="Arial" w:cs="Arial"/>
        </w:rPr>
        <w:t>dir</w:t>
      </w:r>
      <w:proofErr w:type="spellEnd"/>
      <w:r w:rsidRPr="006B621C">
        <w:rPr>
          <w:rFonts w:ascii="Arial" w:eastAsia="Arial" w:hAnsi="Arial" w:cs="Arial"/>
        </w:rPr>
        <w:t xml:space="preserve">, med viktige bidrag fra Forskningsrådet, </w:t>
      </w:r>
      <w:proofErr w:type="spellStart"/>
      <w:r w:rsidRPr="006B621C">
        <w:rPr>
          <w:rFonts w:ascii="Arial" w:eastAsia="Arial" w:hAnsi="Arial" w:cs="Arial"/>
        </w:rPr>
        <w:t>NOKUT</w:t>
      </w:r>
      <w:proofErr w:type="spellEnd"/>
      <w:r w:rsidRPr="006B621C">
        <w:rPr>
          <w:rFonts w:ascii="Arial" w:eastAsia="Arial" w:hAnsi="Arial" w:cs="Arial"/>
        </w:rPr>
        <w:t xml:space="preserve"> og Sikt. </w:t>
      </w:r>
      <w:r>
        <w:rPr>
          <w:rFonts w:ascii="Arial" w:eastAsia="Arial" w:hAnsi="Arial" w:cs="Arial"/>
        </w:rPr>
        <w:t>HK-</w:t>
      </w:r>
      <w:proofErr w:type="spellStart"/>
      <w:r>
        <w:rPr>
          <w:rFonts w:ascii="Arial" w:eastAsia="Arial" w:hAnsi="Arial" w:cs="Arial"/>
        </w:rPr>
        <w:t>dir</w:t>
      </w:r>
      <w:proofErr w:type="spellEnd"/>
      <w:r>
        <w:rPr>
          <w:rFonts w:ascii="Arial" w:eastAsia="Arial" w:hAnsi="Arial" w:cs="Arial"/>
        </w:rPr>
        <w:t xml:space="preserve"> takker </w:t>
      </w:r>
      <w:r w:rsidRPr="006B621C">
        <w:rPr>
          <w:rFonts w:ascii="Arial" w:eastAsia="Arial" w:hAnsi="Arial" w:cs="Arial"/>
        </w:rPr>
        <w:t>for godt samarbeid og bidrag med dataleveranser, tekst og analyse.</w:t>
      </w:r>
    </w:p>
    <w:p w14:paraId="311A921B" w14:textId="2DC7E03E" w:rsidR="0032656E" w:rsidRDefault="0032656E">
      <w:r>
        <w:br w:type="page"/>
      </w:r>
    </w:p>
    <w:p w14:paraId="61376A9B" w14:textId="77777777" w:rsidR="00FB3F66" w:rsidRDefault="00FB3F66">
      <w:pPr>
        <w:rPr>
          <w:color w:val="D0CECE" w:themeColor="background2" w:themeShade="E6"/>
        </w:rPr>
      </w:pPr>
    </w:p>
    <w:tbl>
      <w:tblPr>
        <w:tblStyle w:val="Tabellrutenet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4932"/>
        <w:gridCol w:w="808"/>
        <w:gridCol w:w="808"/>
        <w:gridCol w:w="808"/>
        <w:gridCol w:w="808"/>
      </w:tblGrid>
      <w:tr w:rsidR="005402D4" w:rsidRPr="006024A7" w14:paraId="7DFDE34C" w14:textId="77777777" w:rsidTr="0041529F">
        <w:trPr>
          <w:trHeight w:hRule="exact" w:val="426"/>
        </w:trPr>
        <w:tc>
          <w:tcPr>
            <w:tcW w:w="0" w:type="auto"/>
            <w:tcBorders>
              <w:top w:val="nil"/>
              <w:left w:val="nil"/>
              <w:bottom w:val="nil"/>
              <w:right w:val="nil"/>
            </w:tcBorders>
            <w:shd w:val="clear" w:color="auto" w:fill="F2F2F2" w:themeFill="background1" w:themeFillShade="F2"/>
          </w:tcPr>
          <w:p w14:paraId="12C2B6EB" w14:textId="44D6E626" w:rsidR="00285B1F" w:rsidRPr="002F4AFC" w:rsidRDefault="00AF764C" w:rsidP="00A626C4">
            <w:pPr>
              <w:rPr>
                <w:b/>
                <w:bCs/>
                <w:color w:val="002060"/>
                <w:sz w:val="24"/>
                <w:szCs w:val="24"/>
              </w:rPr>
            </w:pPr>
            <w:r w:rsidRPr="00AF764C">
              <w:rPr>
                <w:b/>
                <w:bCs/>
                <w:color w:val="002060"/>
                <w:sz w:val="24"/>
                <w:szCs w:val="24"/>
              </w:rPr>
              <w:t>Sektorbildet i tall 2019–2022</w:t>
            </w:r>
          </w:p>
        </w:tc>
        <w:tc>
          <w:tcPr>
            <w:tcW w:w="0" w:type="auto"/>
            <w:gridSpan w:val="4"/>
            <w:tcBorders>
              <w:top w:val="nil"/>
              <w:left w:val="nil"/>
              <w:bottom w:val="nil"/>
              <w:right w:val="nil"/>
            </w:tcBorders>
            <w:shd w:val="clear" w:color="auto" w:fill="F2F2F2" w:themeFill="background1" w:themeFillShade="F2"/>
          </w:tcPr>
          <w:p w14:paraId="516A81AE" w14:textId="61E09A98" w:rsidR="005402D4" w:rsidRPr="002F4AFC" w:rsidRDefault="005402D4" w:rsidP="00A626C4">
            <w:pPr>
              <w:rPr>
                <w:b/>
                <w:bCs/>
                <w:sz w:val="14"/>
                <w:szCs w:val="14"/>
              </w:rPr>
            </w:pPr>
          </w:p>
        </w:tc>
      </w:tr>
      <w:tr w:rsidR="00825B3D" w:rsidRPr="006024A7" w14:paraId="4799E43A" w14:textId="29D25494" w:rsidTr="0041529F">
        <w:trPr>
          <w:trHeight w:hRule="exact" w:val="227"/>
        </w:trPr>
        <w:tc>
          <w:tcPr>
            <w:tcW w:w="0" w:type="auto"/>
            <w:tcBorders>
              <w:top w:val="nil"/>
              <w:left w:val="nil"/>
              <w:bottom w:val="nil"/>
              <w:right w:val="nil"/>
            </w:tcBorders>
            <w:shd w:val="clear" w:color="auto" w:fill="F2F2F2" w:themeFill="background1" w:themeFillShade="F2"/>
          </w:tcPr>
          <w:p w14:paraId="050D1514" w14:textId="77777777" w:rsidR="00825B3D" w:rsidRPr="006024A7" w:rsidRDefault="00825B3D" w:rsidP="002A25D8">
            <w:pPr>
              <w:pStyle w:val="MerknadTR"/>
              <w:spacing w:line="160" w:lineRule="exact"/>
              <w:rPr>
                <w:b/>
                <w:sz w:val="14"/>
                <w:szCs w:val="14"/>
              </w:rPr>
            </w:pPr>
            <w:bookmarkStart w:id="1" w:name="_Hlk70445871"/>
          </w:p>
        </w:tc>
        <w:tc>
          <w:tcPr>
            <w:tcW w:w="0" w:type="auto"/>
            <w:tcBorders>
              <w:top w:val="nil"/>
              <w:left w:val="nil"/>
              <w:bottom w:val="nil"/>
              <w:right w:val="nil"/>
            </w:tcBorders>
            <w:shd w:val="clear" w:color="auto" w:fill="F2F2F2" w:themeFill="background1" w:themeFillShade="F2"/>
          </w:tcPr>
          <w:p w14:paraId="248FA220" w14:textId="32DFEB72" w:rsidR="00285B1F" w:rsidRDefault="00285B1F" w:rsidP="002A25D8">
            <w:pPr>
              <w:pStyle w:val="MerknadTR"/>
              <w:spacing w:line="160" w:lineRule="exact"/>
              <w:jc w:val="right"/>
              <w:rPr>
                <w:b/>
                <w:bCs/>
                <w:sz w:val="14"/>
                <w:szCs w:val="14"/>
              </w:rPr>
            </w:pPr>
            <w:r>
              <w:rPr>
                <w:b/>
                <w:bCs/>
                <w:sz w:val="14"/>
                <w:szCs w:val="14"/>
              </w:rPr>
              <w:t>2019</w:t>
            </w:r>
          </w:p>
        </w:tc>
        <w:tc>
          <w:tcPr>
            <w:tcW w:w="0" w:type="auto"/>
            <w:tcBorders>
              <w:top w:val="nil"/>
              <w:left w:val="nil"/>
              <w:bottom w:val="nil"/>
              <w:right w:val="nil"/>
            </w:tcBorders>
            <w:shd w:val="clear" w:color="auto" w:fill="F2F2F2" w:themeFill="background1" w:themeFillShade="F2"/>
          </w:tcPr>
          <w:p w14:paraId="0089B586" w14:textId="4D39AEF6" w:rsidR="00825B3D" w:rsidRPr="00E56A3D" w:rsidRDefault="00E56A3D" w:rsidP="002A25D8">
            <w:pPr>
              <w:pStyle w:val="MerknadTR"/>
              <w:spacing w:line="160" w:lineRule="exact"/>
              <w:jc w:val="right"/>
              <w:rPr>
                <w:b/>
                <w:bCs/>
                <w:sz w:val="14"/>
                <w:szCs w:val="14"/>
              </w:rPr>
            </w:pPr>
            <w:r w:rsidRPr="00E56A3D">
              <w:rPr>
                <w:b/>
                <w:bCs/>
                <w:sz w:val="14"/>
                <w:szCs w:val="14"/>
              </w:rPr>
              <w:t>20</w:t>
            </w:r>
            <w:r w:rsidR="006B5E51">
              <w:rPr>
                <w:b/>
                <w:bCs/>
                <w:sz w:val="14"/>
                <w:szCs w:val="14"/>
              </w:rPr>
              <w:t>20</w:t>
            </w:r>
          </w:p>
        </w:tc>
        <w:tc>
          <w:tcPr>
            <w:tcW w:w="0" w:type="auto"/>
            <w:tcBorders>
              <w:top w:val="nil"/>
              <w:left w:val="nil"/>
              <w:bottom w:val="nil"/>
              <w:right w:val="nil"/>
            </w:tcBorders>
            <w:shd w:val="clear" w:color="auto" w:fill="F2F2F2" w:themeFill="background1" w:themeFillShade="F2"/>
          </w:tcPr>
          <w:p w14:paraId="61EE61C0" w14:textId="65D769E4" w:rsidR="00825B3D" w:rsidRPr="00E56A3D" w:rsidRDefault="00E56A3D" w:rsidP="002A25D8">
            <w:pPr>
              <w:pStyle w:val="MerknadTR"/>
              <w:spacing w:line="160" w:lineRule="exact"/>
              <w:jc w:val="right"/>
              <w:rPr>
                <w:b/>
                <w:bCs/>
                <w:sz w:val="14"/>
                <w:szCs w:val="14"/>
              </w:rPr>
            </w:pPr>
            <w:r w:rsidRPr="00E56A3D">
              <w:rPr>
                <w:b/>
                <w:bCs/>
                <w:sz w:val="14"/>
                <w:szCs w:val="14"/>
              </w:rPr>
              <w:t>202</w:t>
            </w:r>
            <w:r w:rsidR="006B5E51">
              <w:rPr>
                <w:b/>
                <w:bCs/>
                <w:sz w:val="14"/>
                <w:szCs w:val="14"/>
              </w:rPr>
              <w:t>1</w:t>
            </w:r>
          </w:p>
        </w:tc>
        <w:tc>
          <w:tcPr>
            <w:tcW w:w="0" w:type="auto"/>
            <w:tcBorders>
              <w:top w:val="nil"/>
              <w:left w:val="nil"/>
              <w:bottom w:val="nil"/>
              <w:right w:val="nil"/>
            </w:tcBorders>
            <w:shd w:val="clear" w:color="auto" w:fill="F2F2F2" w:themeFill="background1" w:themeFillShade="F2"/>
          </w:tcPr>
          <w:p w14:paraId="05037B20" w14:textId="60E440E3" w:rsidR="00825B3D" w:rsidRPr="00E56A3D" w:rsidRDefault="00E56A3D" w:rsidP="002A25D8">
            <w:pPr>
              <w:pStyle w:val="MerknadTR"/>
              <w:spacing w:line="160" w:lineRule="exact"/>
              <w:jc w:val="right"/>
              <w:rPr>
                <w:b/>
                <w:bCs/>
                <w:sz w:val="14"/>
                <w:szCs w:val="14"/>
              </w:rPr>
            </w:pPr>
            <w:r w:rsidRPr="00E56A3D">
              <w:rPr>
                <w:b/>
                <w:bCs/>
                <w:sz w:val="14"/>
                <w:szCs w:val="14"/>
              </w:rPr>
              <w:t>202</w:t>
            </w:r>
            <w:r w:rsidR="006B5E51">
              <w:rPr>
                <w:b/>
                <w:bCs/>
                <w:sz w:val="14"/>
                <w:szCs w:val="14"/>
              </w:rPr>
              <w:t>2</w:t>
            </w:r>
          </w:p>
        </w:tc>
      </w:tr>
      <w:tr w:rsidR="006B5E51" w:rsidRPr="006024A7" w14:paraId="624AF814" w14:textId="337C2118" w:rsidTr="0041529F">
        <w:trPr>
          <w:trHeight w:hRule="exact" w:val="227"/>
        </w:trPr>
        <w:tc>
          <w:tcPr>
            <w:tcW w:w="0" w:type="auto"/>
            <w:tcBorders>
              <w:top w:val="nil"/>
              <w:left w:val="nil"/>
              <w:bottom w:val="nil"/>
              <w:right w:val="nil"/>
            </w:tcBorders>
            <w:shd w:val="clear" w:color="auto" w:fill="F2F2F2" w:themeFill="background1" w:themeFillShade="F2"/>
          </w:tcPr>
          <w:p w14:paraId="3E7D09F4" w14:textId="2E0FA67B" w:rsidR="006B5E51" w:rsidRPr="006024A7" w:rsidRDefault="006B5E51" w:rsidP="006B5E51">
            <w:pPr>
              <w:pStyle w:val="MerknadTR"/>
              <w:spacing w:line="160" w:lineRule="exact"/>
              <w:rPr>
                <w:sz w:val="14"/>
                <w:szCs w:val="14"/>
              </w:rPr>
            </w:pPr>
            <w:r w:rsidRPr="006024A7">
              <w:rPr>
                <w:b/>
                <w:sz w:val="14"/>
                <w:szCs w:val="14"/>
              </w:rPr>
              <w:t>Høyere utdanningsinstitusjoner med bevilgning fra KD</w:t>
            </w:r>
          </w:p>
        </w:tc>
        <w:tc>
          <w:tcPr>
            <w:tcW w:w="0" w:type="auto"/>
            <w:tcBorders>
              <w:top w:val="nil"/>
              <w:left w:val="nil"/>
              <w:bottom w:val="nil"/>
              <w:right w:val="nil"/>
            </w:tcBorders>
            <w:shd w:val="clear" w:color="auto" w:fill="F2F2F2" w:themeFill="background1" w:themeFillShade="F2"/>
          </w:tcPr>
          <w:p w14:paraId="1F0B6323"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9C69AFB"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DF3AC2E" w14:textId="5EF9372D"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C0E6FEF" w14:textId="77777777" w:rsidR="006B5E51" w:rsidRDefault="006B5E51" w:rsidP="006B5E51">
            <w:pPr>
              <w:pStyle w:val="MerknadTR"/>
              <w:spacing w:line="160" w:lineRule="exact"/>
              <w:jc w:val="right"/>
              <w:rPr>
                <w:sz w:val="14"/>
                <w:szCs w:val="14"/>
              </w:rPr>
            </w:pPr>
          </w:p>
        </w:tc>
      </w:tr>
      <w:tr w:rsidR="006B5E51" w:rsidRPr="006024A7" w14:paraId="3FBF7EE6" w14:textId="00F7B269" w:rsidTr="0041529F">
        <w:trPr>
          <w:trHeight w:hRule="exact" w:val="227"/>
        </w:trPr>
        <w:tc>
          <w:tcPr>
            <w:tcW w:w="0" w:type="auto"/>
            <w:tcBorders>
              <w:top w:val="nil"/>
              <w:left w:val="nil"/>
              <w:bottom w:val="nil"/>
              <w:right w:val="nil"/>
            </w:tcBorders>
            <w:shd w:val="clear" w:color="auto" w:fill="F2F2F2" w:themeFill="background1" w:themeFillShade="F2"/>
          </w:tcPr>
          <w:p w14:paraId="2A9C2385" w14:textId="77777777" w:rsidR="006B5E51" w:rsidRPr="006024A7" w:rsidRDefault="006B5E51" w:rsidP="006B5E51">
            <w:pPr>
              <w:pStyle w:val="MerknadTR"/>
              <w:spacing w:line="160" w:lineRule="exact"/>
              <w:rPr>
                <w:sz w:val="14"/>
                <w:szCs w:val="14"/>
              </w:rPr>
            </w:pPr>
            <w:r w:rsidRPr="006024A7">
              <w:rPr>
                <w:sz w:val="14"/>
                <w:szCs w:val="14"/>
              </w:rPr>
              <w:t>Statlige institusjoner</w:t>
            </w:r>
          </w:p>
        </w:tc>
        <w:tc>
          <w:tcPr>
            <w:tcW w:w="0" w:type="auto"/>
            <w:tcBorders>
              <w:top w:val="nil"/>
              <w:left w:val="nil"/>
              <w:bottom w:val="nil"/>
              <w:right w:val="nil"/>
            </w:tcBorders>
            <w:shd w:val="clear" w:color="auto" w:fill="F2F2F2" w:themeFill="background1" w:themeFillShade="F2"/>
          </w:tcPr>
          <w:p w14:paraId="5FCD6C65" w14:textId="10935A7E" w:rsidR="00285B1F" w:rsidRDefault="00DD71C9" w:rsidP="006B5E51">
            <w:pPr>
              <w:pStyle w:val="MerknadTR"/>
              <w:spacing w:line="160" w:lineRule="exact"/>
              <w:jc w:val="right"/>
              <w:rPr>
                <w:sz w:val="14"/>
                <w:szCs w:val="14"/>
              </w:rPr>
            </w:pPr>
            <w:r>
              <w:rPr>
                <w:sz w:val="14"/>
                <w:szCs w:val="14"/>
              </w:rPr>
              <w:t>21</w:t>
            </w:r>
          </w:p>
        </w:tc>
        <w:tc>
          <w:tcPr>
            <w:tcW w:w="0" w:type="auto"/>
            <w:tcBorders>
              <w:top w:val="nil"/>
              <w:left w:val="nil"/>
              <w:bottom w:val="nil"/>
              <w:right w:val="nil"/>
            </w:tcBorders>
            <w:shd w:val="clear" w:color="auto" w:fill="F2F2F2" w:themeFill="background1" w:themeFillShade="F2"/>
          </w:tcPr>
          <w:p w14:paraId="40052722" w14:textId="484CE00B" w:rsidR="006B5E51" w:rsidRDefault="006B5E51" w:rsidP="006B5E51">
            <w:pPr>
              <w:pStyle w:val="MerknadTR"/>
              <w:spacing w:line="160" w:lineRule="exact"/>
              <w:jc w:val="right"/>
              <w:rPr>
                <w:sz w:val="14"/>
                <w:szCs w:val="14"/>
              </w:rPr>
            </w:pPr>
            <w:r>
              <w:rPr>
                <w:sz w:val="14"/>
                <w:szCs w:val="14"/>
              </w:rPr>
              <w:t>21</w:t>
            </w:r>
          </w:p>
        </w:tc>
        <w:tc>
          <w:tcPr>
            <w:tcW w:w="0" w:type="auto"/>
            <w:tcBorders>
              <w:top w:val="nil"/>
              <w:left w:val="nil"/>
              <w:bottom w:val="nil"/>
              <w:right w:val="nil"/>
            </w:tcBorders>
            <w:shd w:val="clear" w:color="auto" w:fill="F2F2F2" w:themeFill="background1" w:themeFillShade="F2"/>
          </w:tcPr>
          <w:p w14:paraId="430B73B1" w14:textId="1A65AE17" w:rsidR="006B5E51" w:rsidRPr="006024A7" w:rsidRDefault="006B5E51" w:rsidP="006B5E51">
            <w:pPr>
              <w:pStyle w:val="MerknadTR"/>
              <w:spacing w:line="160" w:lineRule="exact"/>
              <w:jc w:val="right"/>
              <w:rPr>
                <w:sz w:val="14"/>
                <w:szCs w:val="14"/>
              </w:rPr>
            </w:pPr>
            <w:r>
              <w:rPr>
                <w:sz w:val="14"/>
                <w:szCs w:val="14"/>
              </w:rPr>
              <w:t>21</w:t>
            </w:r>
          </w:p>
        </w:tc>
        <w:tc>
          <w:tcPr>
            <w:tcW w:w="0" w:type="auto"/>
            <w:tcBorders>
              <w:top w:val="nil"/>
              <w:left w:val="nil"/>
              <w:bottom w:val="nil"/>
              <w:right w:val="nil"/>
            </w:tcBorders>
            <w:shd w:val="clear" w:color="auto" w:fill="F2F2F2" w:themeFill="background1" w:themeFillShade="F2"/>
          </w:tcPr>
          <w:p w14:paraId="3984204A" w14:textId="7A3372FF" w:rsidR="006B5E51" w:rsidRDefault="00C03EDC" w:rsidP="006B5E51">
            <w:pPr>
              <w:pStyle w:val="MerknadTR"/>
              <w:spacing w:line="160" w:lineRule="exact"/>
              <w:jc w:val="right"/>
              <w:rPr>
                <w:sz w:val="14"/>
                <w:szCs w:val="14"/>
              </w:rPr>
            </w:pPr>
            <w:r>
              <w:rPr>
                <w:sz w:val="14"/>
                <w:szCs w:val="14"/>
              </w:rPr>
              <w:t>21</w:t>
            </w:r>
          </w:p>
        </w:tc>
      </w:tr>
      <w:tr w:rsidR="006B5E51" w:rsidRPr="006024A7" w14:paraId="5E63A231" w14:textId="6312A1F7" w:rsidTr="0041529F">
        <w:trPr>
          <w:trHeight w:hRule="exact" w:val="227"/>
        </w:trPr>
        <w:tc>
          <w:tcPr>
            <w:tcW w:w="0" w:type="auto"/>
            <w:tcBorders>
              <w:top w:val="nil"/>
              <w:left w:val="nil"/>
              <w:bottom w:val="nil"/>
              <w:right w:val="nil"/>
            </w:tcBorders>
            <w:shd w:val="clear" w:color="auto" w:fill="F2F2F2" w:themeFill="background1" w:themeFillShade="F2"/>
          </w:tcPr>
          <w:p w14:paraId="3074105A" w14:textId="77777777" w:rsidR="006B5E51" w:rsidRPr="006024A7" w:rsidRDefault="006B5E51" w:rsidP="006B5E51">
            <w:pPr>
              <w:pStyle w:val="MerknadTR"/>
              <w:spacing w:line="160" w:lineRule="exact"/>
              <w:rPr>
                <w:sz w:val="14"/>
                <w:szCs w:val="14"/>
              </w:rPr>
            </w:pPr>
            <w:r w:rsidRPr="006024A7">
              <w:rPr>
                <w:sz w:val="14"/>
                <w:szCs w:val="14"/>
              </w:rPr>
              <w:t>Private institusjoner</w:t>
            </w:r>
          </w:p>
        </w:tc>
        <w:tc>
          <w:tcPr>
            <w:tcW w:w="0" w:type="auto"/>
            <w:tcBorders>
              <w:top w:val="nil"/>
              <w:left w:val="nil"/>
              <w:bottom w:val="nil"/>
              <w:right w:val="nil"/>
            </w:tcBorders>
            <w:shd w:val="clear" w:color="auto" w:fill="F2F2F2" w:themeFill="background1" w:themeFillShade="F2"/>
          </w:tcPr>
          <w:p w14:paraId="75C60AF9" w14:textId="22CFC66C" w:rsidR="00285B1F" w:rsidRDefault="009F4CAD" w:rsidP="006B5E51">
            <w:pPr>
              <w:pStyle w:val="MerknadTR"/>
              <w:spacing w:line="160" w:lineRule="exact"/>
              <w:jc w:val="right"/>
              <w:rPr>
                <w:sz w:val="14"/>
                <w:szCs w:val="14"/>
              </w:rPr>
            </w:pPr>
            <w:r>
              <w:rPr>
                <w:sz w:val="14"/>
                <w:szCs w:val="14"/>
              </w:rPr>
              <w:t>15</w:t>
            </w:r>
          </w:p>
        </w:tc>
        <w:tc>
          <w:tcPr>
            <w:tcW w:w="0" w:type="auto"/>
            <w:tcBorders>
              <w:top w:val="nil"/>
              <w:left w:val="nil"/>
              <w:bottom w:val="nil"/>
              <w:right w:val="nil"/>
            </w:tcBorders>
            <w:shd w:val="clear" w:color="auto" w:fill="F2F2F2" w:themeFill="background1" w:themeFillShade="F2"/>
          </w:tcPr>
          <w:p w14:paraId="59F1737E" w14:textId="483BD3FF" w:rsidR="006B5E51" w:rsidRDefault="006B5E51" w:rsidP="006B5E51">
            <w:pPr>
              <w:pStyle w:val="MerknadTR"/>
              <w:spacing w:line="160" w:lineRule="exact"/>
              <w:jc w:val="right"/>
              <w:rPr>
                <w:sz w:val="14"/>
                <w:szCs w:val="14"/>
              </w:rPr>
            </w:pPr>
            <w:r>
              <w:rPr>
                <w:sz w:val="14"/>
                <w:szCs w:val="14"/>
              </w:rPr>
              <w:t>15</w:t>
            </w:r>
          </w:p>
        </w:tc>
        <w:tc>
          <w:tcPr>
            <w:tcW w:w="0" w:type="auto"/>
            <w:tcBorders>
              <w:top w:val="nil"/>
              <w:left w:val="nil"/>
              <w:bottom w:val="nil"/>
              <w:right w:val="nil"/>
            </w:tcBorders>
            <w:shd w:val="clear" w:color="auto" w:fill="F2F2F2" w:themeFill="background1" w:themeFillShade="F2"/>
          </w:tcPr>
          <w:p w14:paraId="6FA41B84" w14:textId="49D45E74" w:rsidR="006B5E51" w:rsidRPr="006024A7" w:rsidRDefault="006B5E51" w:rsidP="006B5E51">
            <w:pPr>
              <w:pStyle w:val="MerknadTR"/>
              <w:spacing w:line="160" w:lineRule="exact"/>
              <w:jc w:val="right"/>
              <w:rPr>
                <w:sz w:val="14"/>
                <w:szCs w:val="14"/>
              </w:rPr>
            </w:pPr>
            <w:r>
              <w:rPr>
                <w:sz w:val="14"/>
                <w:szCs w:val="14"/>
              </w:rPr>
              <w:t>15</w:t>
            </w:r>
          </w:p>
        </w:tc>
        <w:tc>
          <w:tcPr>
            <w:tcW w:w="0" w:type="auto"/>
            <w:tcBorders>
              <w:top w:val="nil"/>
              <w:left w:val="nil"/>
              <w:bottom w:val="nil"/>
              <w:right w:val="nil"/>
            </w:tcBorders>
            <w:shd w:val="clear" w:color="auto" w:fill="F2F2F2" w:themeFill="background1" w:themeFillShade="F2"/>
          </w:tcPr>
          <w:p w14:paraId="5CDC5B9E" w14:textId="13A4BB0F" w:rsidR="006B5E51" w:rsidRDefault="00C03EDC" w:rsidP="006B5E51">
            <w:pPr>
              <w:pStyle w:val="MerknadTR"/>
              <w:spacing w:line="160" w:lineRule="exact"/>
              <w:jc w:val="right"/>
              <w:rPr>
                <w:sz w:val="14"/>
                <w:szCs w:val="14"/>
              </w:rPr>
            </w:pPr>
            <w:r>
              <w:rPr>
                <w:sz w:val="14"/>
                <w:szCs w:val="14"/>
              </w:rPr>
              <w:t>15</w:t>
            </w:r>
          </w:p>
        </w:tc>
      </w:tr>
      <w:tr w:rsidR="006B5E51" w:rsidRPr="006024A7" w14:paraId="3A50C1B4" w14:textId="79BF734A" w:rsidTr="0041529F">
        <w:trPr>
          <w:trHeight w:hRule="exact" w:val="227"/>
        </w:trPr>
        <w:tc>
          <w:tcPr>
            <w:tcW w:w="0" w:type="auto"/>
            <w:tcBorders>
              <w:top w:val="nil"/>
              <w:left w:val="nil"/>
              <w:bottom w:val="nil"/>
              <w:right w:val="nil"/>
            </w:tcBorders>
            <w:shd w:val="clear" w:color="auto" w:fill="F2F2F2" w:themeFill="background1" w:themeFillShade="F2"/>
          </w:tcPr>
          <w:p w14:paraId="2F5222CB"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0BACD277"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6823657"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D0D9C49" w14:textId="56A79815"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0B6C50F" w14:textId="77777777" w:rsidR="006B5E51" w:rsidRPr="006024A7" w:rsidRDefault="006B5E51" w:rsidP="006B5E51">
            <w:pPr>
              <w:pStyle w:val="MerknadTR"/>
              <w:spacing w:line="160" w:lineRule="exact"/>
              <w:jc w:val="right"/>
              <w:rPr>
                <w:sz w:val="14"/>
                <w:szCs w:val="14"/>
              </w:rPr>
            </w:pPr>
          </w:p>
        </w:tc>
      </w:tr>
      <w:tr w:rsidR="006B5E51" w:rsidRPr="006024A7" w14:paraId="04DA6234" w14:textId="2C188833" w:rsidTr="0041529F">
        <w:trPr>
          <w:trHeight w:hRule="exact" w:val="227"/>
        </w:trPr>
        <w:tc>
          <w:tcPr>
            <w:tcW w:w="0" w:type="auto"/>
            <w:tcBorders>
              <w:top w:val="nil"/>
              <w:left w:val="nil"/>
              <w:bottom w:val="nil"/>
              <w:right w:val="nil"/>
            </w:tcBorders>
            <w:shd w:val="clear" w:color="auto" w:fill="F2F2F2" w:themeFill="background1" w:themeFillShade="F2"/>
          </w:tcPr>
          <w:p w14:paraId="3527ED78" w14:textId="7D5B8446" w:rsidR="006B5E51" w:rsidRPr="006024A7" w:rsidRDefault="006B5E51" w:rsidP="006B5E51">
            <w:pPr>
              <w:pStyle w:val="MerknadTR"/>
              <w:spacing w:line="160" w:lineRule="exact"/>
              <w:rPr>
                <w:sz w:val="14"/>
                <w:szCs w:val="14"/>
              </w:rPr>
            </w:pPr>
            <w:r w:rsidRPr="006024A7">
              <w:rPr>
                <w:b/>
                <w:sz w:val="14"/>
                <w:szCs w:val="14"/>
              </w:rPr>
              <w:t>Søkning til høyere utdanning</w:t>
            </w:r>
          </w:p>
        </w:tc>
        <w:tc>
          <w:tcPr>
            <w:tcW w:w="0" w:type="auto"/>
            <w:tcBorders>
              <w:top w:val="nil"/>
              <w:left w:val="nil"/>
              <w:bottom w:val="nil"/>
              <w:right w:val="nil"/>
            </w:tcBorders>
            <w:shd w:val="clear" w:color="auto" w:fill="F2F2F2" w:themeFill="background1" w:themeFillShade="F2"/>
          </w:tcPr>
          <w:p w14:paraId="712CFB6F"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AD18AE5"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7CDDF12" w14:textId="08803DDA"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42DCB9E" w14:textId="77777777" w:rsidR="006B5E51" w:rsidRPr="006024A7" w:rsidRDefault="006B5E51" w:rsidP="006B5E51">
            <w:pPr>
              <w:pStyle w:val="MerknadTR"/>
              <w:spacing w:line="160" w:lineRule="exact"/>
              <w:jc w:val="right"/>
              <w:rPr>
                <w:sz w:val="14"/>
                <w:szCs w:val="14"/>
              </w:rPr>
            </w:pPr>
          </w:p>
        </w:tc>
      </w:tr>
      <w:tr w:rsidR="006B5E51" w:rsidRPr="006024A7" w14:paraId="6D745F27" w14:textId="351A530D" w:rsidTr="0041529F">
        <w:trPr>
          <w:trHeight w:hRule="exact" w:val="227"/>
        </w:trPr>
        <w:tc>
          <w:tcPr>
            <w:tcW w:w="0" w:type="auto"/>
            <w:tcBorders>
              <w:top w:val="nil"/>
              <w:left w:val="nil"/>
              <w:bottom w:val="nil"/>
              <w:right w:val="nil"/>
            </w:tcBorders>
            <w:shd w:val="clear" w:color="auto" w:fill="F2F2F2" w:themeFill="background1" w:themeFillShade="F2"/>
          </w:tcPr>
          <w:p w14:paraId="4D11E398" w14:textId="77777777" w:rsidR="006B5E51" w:rsidRPr="006024A7" w:rsidRDefault="006B5E51" w:rsidP="006B5E51">
            <w:pPr>
              <w:pStyle w:val="MerknadTR"/>
              <w:spacing w:line="160" w:lineRule="exact"/>
              <w:rPr>
                <w:sz w:val="14"/>
                <w:szCs w:val="14"/>
              </w:rPr>
            </w:pPr>
            <w:r w:rsidRPr="006024A7">
              <w:rPr>
                <w:sz w:val="14"/>
                <w:szCs w:val="14"/>
              </w:rPr>
              <w:t xml:space="preserve">Antall </w:t>
            </w:r>
            <w:proofErr w:type="spellStart"/>
            <w:r w:rsidRPr="006024A7">
              <w:rPr>
                <w:sz w:val="14"/>
                <w:szCs w:val="14"/>
              </w:rPr>
              <w:t>førstevalgssøkere</w:t>
            </w:r>
            <w:proofErr w:type="spellEnd"/>
            <w:r w:rsidRPr="006024A7">
              <w:rPr>
                <w:sz w:val="14"/>
                <w:szCs w:val="14"/>
              </w:rPr>
              <w:t xml:space="preserve"> </w:t>
            </w:r>
          </w:p>
        </w:tc>
        <w:tc>
          <w:tcPr>
            <w:tcW w:w="0" w:type="auto"/>
            <w:tcBorders>
              <w:top w:val="nil"/>
              <w:left w:val="nil"/>
              <w:bottom w:val="nil"/>
              <w:right w:val="nil"/>
            </w:tcBorders>
            <w:shd w:val="clear" w:color="auto" w:fill="F2F2F2" w:themeFill="background1" w:themeFillShade="F2"/>
          </w:tcPr>
          <w:p w14:paraId="75E4E79A" w14:textId="449BB192" w:rsidR="00285B1F" w:rsidRPr="00F41A2F" w:rsidRDefault="00F0187B" w:rsidP="006B5E51">
            <w:pPr>
              <w:pStyle w:val="MerknadTR"/>
              <w:spacing w:line="160" w:lineRule="exact"/>
              <w:jc w:val="right"/>
              <w:rPr>
                <w:sz w:val="14"/>
                <w:szCs w:val="14"/>
              </w:rPr>
            </w:pPr>
            <w:r>
              <w:rPr>
                <w:sz w:val="14"/>
                <w:szCs w:val="14"/>
              </w:rPr>
              <w:t>135</w:t>
            </w:r>
            <w:r w:rsidR="00AC30EC" w:rsidRPr="00F41A2F">
              <w:rPr>
                <w:sz w:val="14"/>
                <w:szCs w:val="14"/>
              </w:rPr>
              <w:t> </w:t>
            </w:r>
            <w:r w:rsidR="00AC30EC">
              <w:rPr>
                <w:sz w:val="14"/>
                <w:szCs w:val="14"/>
              </w:rPr>
              <w:t>161</w:t>
            </w:r>
          </w:p>
        </w:tc>
        <w:tc>
          <w:tcPr>
            <w:tcW w:w="0" w:type="auto"/>
            <w:tcBorders>
              <w:top w:val="nil"/>
              <w:left w:val="nil"/>
              <w:bottom w:val="nil"/>
              <w:right w:val="nil"/>
            </w:tcBorders>
            <w:shd w:val="clear" w:color="auto" w:fill="F2F2F2" w:themeFill="background1" w:themeFillShade="F2"/>
          </w:tcPr>
          <w:p w14:paraId="7B7E72FC" w14:textId="34C6CDC7" w:rsidR="006B5E51" w:rsidRPr="00F41A2F" w:rsidRDefault="006B5E51" w:rsidP="006B5E51">
            <w:pPr>
              <w:pStyle w:val="MerknadTR"/>
              <w:spacing w:line="160" w:lineRule="exact"/>
              <w:jc w:val="right"/>
              <w:rPr>
                <w:sz w:val="14"/>
                <w:szCs w:val="14"/>
              </w:rPr>
            </w:pPr>
            <w:r w:rsidRPr="00F41A2F">
              <w:rPr>
                <w:sz w:val="14"/>
                <w:szCs w:val="14"/>
              </w:rPr>
              <w:t>147 603</w:t>
            </w:r>
          </w:p>
        </w:tc>
        <w:tc>
          <w:tcPr>
            <w:tcW w:w="0" w:type="auto"/>
            <w:tcBorders>
              <w:top w:val="nil"/>
              <w:left w:val="nil"/>
              <w:bottom w:val="nil"/>
              <w:right w:val="nil"/>
            </w:tcBorders>
            <w:shd w:val="clear" w:color="auto" w:fill="F2F2F2" w:themeFill="background1" w:themeFillShade="F2"/>
          </w:tcPr>
          <w:p w14:paraId="546C35EC" w14:textId="73386786" w:rsidR="006B5E51" w:rsidRPr="006024A7" w:rsidRDefault="006B5E51" w:rsidP="006B5E51">
            <w:pPr>
              <w:pStyle w:val="MerknadTR"/>
              <w:spacing w:line="160" w:lineRule="exact"/>
              <w:jc w:val="right"/>
              <w:rPr>
                <w:sz w:val="14"/>
                <w:szCs w:val="14"/>
              </w:rPr>
            </w:pPr>
            <w:r>
              <w:rPr>
                <w:sz w:val="14"/>
                <w:szCs w:val="14"/>
              </w:rPr>
              <w:t>150 654</w:t>
            </w:r>
          </w:p>
        </w:tc>
        <w:tc>
          <w:tcPr>
            <w:tcW w:w="0" w:type="auto"/>
            <w:tcBorders>
              <w:top w:val="nil"/>
              <w:left w:val="nil"/>
              <w:bottom w:val="nil"/>
              <w:right w:val="nil"/>
            </w:tcBorders>
            <w:shd w:val="clear" w:color="auto" w:fill="F2F2F2" w:themeFill="background1" w:themeFillShade="F2"/>
          </w:tcPr>
          <w:p w14:paraId="4DF0DCB5" w14:textId="36DE4796" w:rsidR="006B5E51" w:rsidRPr="00F41A2F" w:rsidRDefault="00456967" w:rsidP="006B5E51">
            <w:pPr>
              <w:pStyle w:val="MerknadTR"/>
              <w:spacing w:line="160" w:lineRule="exact"/>
              <w:jc w:val="right"/>
              <w:rPr>
                <w:sz w:val="14"/>
                <w:szCs w:val="14"/>
              </w:rPr>
            </w:pPr>
            <w:r>
              <w:rPr>
                <w:sz w:val="14"/>
                <w:szCs w:val="14"/>
              </w:rPr>
              <w:t>131</w:t>
            </w:r>
            <w:r w:rsidR="00010E91">
              <w:rPr>
                <w:sz w:val="14"/>
                <w:szCs w:val="14"/>
              </w:rPr>
              <w:t> </w:t>
            </w:r>
            <w:r w:rsidR="006E159B">
              <w:rPr>
                <w:sz w:val="14"/>
                <w:szCs w:val="14"/>
              </w:rPr>
              <w:t>618</w:t>
            </w:r>
          </w:p>
        </w:tc>
      </w:tr>
      <w:tr w:rsidR="006B5E51" w:rsidRPr="006024A7" w14:paraId="1F1662C6" w14:textId="2BEEEF92" w:rsidTr="0041529F">
        <w:trPr>
          <w:trHeight w:hRule="exact" w:val="227"/>
        </w:trPr>
        <w:tc>
          <w:tcPr>
            <w:tcW w:w="0" w:type="auto"/>
            <w:tcBorders>
              <w:top w:val="nil"/>
              <w:left w:val="nil"/>
              <w:bottom w:val="nil"/>
              <w:right w:val="nil"/>
            </w:tcBorders>
            <w:shd w:val="clear" w:color="auto" w:fill="F2F2F2" w:themeFill="background1" w:themeFillShade="F2"/>
          </w:tcPr>
          <w:p w14:paraId="2473426C" w14:textId="77777777" w:rsidR="006B5E51" w:rsidRPr="006024A7" w:rsidRDefault="006B5E51" w:rsidP="006B5E51">
            <w:pPr>
              <w:pStyle w:val="MerknadTR"/>
              <w:spacing w:line="160" w:lineRule="exact"/>
              <w:rPr>
                <w:sz w:val="14"/>
                <w:szCs w:val="14"/>
              </w:rPr>
            </w:pPr>
            <w:r w:rsidRPr="006024A7">
              <w:rPr>
                <w:sz w:val="14"/>
                <w:szCs w:val="14"/>
              </w:rPr>
              <w:t xml:space="preserve">Antall kvalifiserte </w:t>
            </w:r>
            <w:proofErr w:type="spellStart"/>
            <w:r w:rsidRPr="006024A7">
              <w:rPr>
                <w:sz w:val="14"/>
                <w:szCs w:val="14"/>
              </w:rPr>
              <w:t>førstevalgssøkere</w:t>
            </w:r>
            <w:proofErr w:type="spellEnd"/>
            <w:r w:rsidRPr="006024A7">
              <w:rPr>
                <w:sz w:val="14"/>
                <w:szCs w:val="14"/>
              </w:rPr>
              <w:t xml:space="preserve"> </w:t>
            </w:r>
          </w:p>
        </w:tc>
        <w:tc>
          <w:tcPr>
            <w:tcW w:w="0" w:type="auto"/>
            <w:tcBorders>
              <w:top w:val="nil"/>
              <w:left w:val="nil"/>
              <w:bottom w:val="nil"/>
              <w:right w:val="nil"/>
            </w:tcBorders>
            <w:shd w:val="clear" w:color="auto" w:fill="F2F2F2" w:themeFill="background1" w:themeFillShade="F2"/>
          </w:tcPr>
          <w:p w14:paraId="61D43ACA" w14:textId="5721577D" w:rsidR="00285B1F" w:rsidRDefault="00AC30EC" w:rsidP="006B5E51">
            <w:pPr>
              <w:pStyle w:val="MerknadTR"/>
              <w:spacing w:line="160" w:lineRule="exact"/>
              <w:jc w:val="right"/>
              <w:rPr>
                <w:sz w:val="14"/>
                <w:szCs w:val="14"/>
              </w:rPr>
            </w:pPr>
            <w:r>
              <w:rPr>
                <w:sz w:val="14"/>
                <w:szCs w:val="14"/>
              </w:rPr>
              <w:t>112</w:t>
            </w:r>
            <w:r w:rsidRPr="00F41A2F">
              <w:rPr>
                <w:sz w:val="14"/>
                <w:szCs w:val="14"/>
              </w:rPr>
              <w:t> </w:t>
            </w:r>
            <w:r>
              <w:rPr>
                <w:sz w:val="14"/>
                <w:szCs w:val="14"/>
              </w:rPr>
              <w:t>709</w:t>
            </w:r>
          </w:p>
        </w:tc>
        <w:tc>
          <w:tcPr>
            <w:tcW w:w="0" w:type="auto"/>
            <w:tcBorders>
              <w:top w:val="nil"/>
              <w:left w:val="nil"/>
              <w:bottom w:val="nil"/>
              <w:right w:val="nil"/>
            </w:tcBorders>
            <w:shd w:val="clear" w:color="auto" w:fill="F2F2F2" w:themeFill="background1" w:themeFillShade="F2"/>
          </w:tcPr>
          <w:p w14:paraId="3AF73ACB" w14:textId="09A21F8D" w:rsidR="006B5E51" w:rsidRDefault="006B5E51" w:rsidP="006B5E51">
            <w:pPr>
              <w:pStyle w:val="MerknadTR"/>
              <w:spacing w:line="160" w:lineRule="exact"/>
              <w:jc w:val="right"/>
              <w:rPr>
                <w:sz w:val="14"/>
                <w:szCs w:val="14"/>
              </w:rPr>
            </w:pPr>
            <w:r>
              <w:rPr>
                <w:sz w:val="14"/>
                <w:szCs w:val="14"/>
              </w:rPr>
              <w:t>127 797</w:t>
            </w:r>
          </w:p>
        </w:tc>
        <w:tc>
          <w:tcPr>
            <w:tcW w:w="0" w:type="auto"/>
            <w:tcBorders>
              <w:top w:val="nil"/>
              <w:left w:val="nil"/>
              <w:bottom w:val="nil"/>
              <w:right w:val="nil"/>
            </w:tcBorders>
            <w:shd w:val="clear" w:color="auto" w:fill="F2F2F2" w:themeFill="background1" w:themeFillShade="F2"/>
          </w:tcPr>
          <w:p w14:paraId="342B6F9E" w14:textId="55E86249" w:rsidR="006B5E51" w:rsidRPr="006024A7" w:rsidRDefault="006B5E51" w:rsidP="006B5E51">
            <w:pPr>
              <w:pStyle w:val="MerknadTR"/>
              <w:spacing w:line="160" w:lineRule="exact"/>
              <w:jc w:val="right"/>
              <w:rPr>
                <w:sz w:val="14"/>
                <w:szCs w:val="14"/>
              </w:rPr>
            </w:pPr>
            <w:r>
              <w:rPr>
                <w:sz w:val="14"/>
                <w:szCs w:val="14"/>
              </w:rPr>
              <w:t>130 098</w:t>
            </w:r>
          </w:p>
        </w:tc>
        <w:tc>
          <w:tcPr>
            <w:tcW w:w="0" w:type="auto"/>
            <w:tcBorders>
              <w:top w:val="nil"/>
              <w:left w:val="nil"/>
              <w:bottom w:val="nil"/>
              <w:right w:val="nil"/>
            </w:tcBorders>
            <w:shd w:val="clear" w:color="auto" w:fill="F2F2F2" w:themeFill="background1" w:themeFillShade="F2"/>
          </w:tcPr>
          <w:p w14:paraId="08697FB8" w14:textId="5E373622" w:rsidR="006B5E51" w:rsidRDefault="00156431" w:rsidP="006B5E51">
            <w:pPr>
              <w:pStyle w:val="MerknadTR"/>
              <w:spacing w:line="160" w:lineRule="exact"/>
              <w:jc w:val="right"/>
              <w:rPr>
                <w:sz w:val="14"/>
                <w:szCs w:val="14"/>
              </w:rPr>
            </w:pPr>
            <w:r>
              <w:rPr>
                <w:sz w:val="14"/>
                <w:szCs w:val="14"/>
              </w:rPr>
              <w:t>114 </w:t>
            </w:r>
            <w:r w:rsidR="00713F13">
              <w:rPr>
                <w:sz w:val="14"/>
                <w:szCs w:val="14"/>
              </w:rPr>
              <w:t>321</w:t>
            </w:r>
          </w:p>
        </w:tc>
      </w:tr>
      <w:tr w:rsidR="006B5E51" w:rsidRPr="006024A7" w14:paraId="20A2D9BC" w14:textId="043092AD" w:rsidTr="0041529F">
        <w:trPr>
          <w:trHeight w:hRule="exact" w:val="227"/>
        </w:trPr>
        <w:tc>
          <w:tcPr>
            <w:tcW w:w="0" w:type="auto"/>
            <w:tcBorders>
              <w:top w:val="nil"/>
              <w:left w:val="nil"/>
              <w:bottom w:val="nil"/>
              <w:right w:val="nil"/>
            </w:tcBorders>
            <w:shd w:val="clear" w:color="auto" w:fill="F2F2F2" w:themeFill="background1" w:themeFillShade="F2"/>
          </w:tcPr>
          <w:p w14:paraId="38D80911" w14:textId="77777777" w:rsidR="006B5E51" w:rsidRPr="006024A7" w:rsidRDefault="006B5E51" w:rsidP="006B5E51">
            <w:pPr>
              <w:pStyle w:val="MerknadTR"/>
              <w:spacing w:line="160" w:lineRule="exact"/>
              <w:rPr>
                <w:sz w:val="14"/>
                <w:szCs w:val="14"/>
              </w:rPr>
            </w:pPr>
            <w:r w:rsidRPr="006024A7">
              <w:rPr>
                <w:sz w:val="14"/>
                <w:szCs w:val="14"/>
              </w:rPr>
              <w:t xml:space="preserve">Kvalifiserte </w:t>
            </w:r>
            <w:proofErr w:type="spellStart"/>
            <w:r w:rsidRPr="006024A7">
              <w:rPr>
                <w:sz w:val="14"/>
                <w:szCs w:val="14"/>
              </w:rPr>
              <w:t>førstevalgssøkere</w:t>
            </w:r>
            <w:proofErr w:type="spellEnd"/>
            <w:r w:rsidRPr="006024A7">
              <w:rPr>
                <w:sz w:val="14"/>
                <w:szCs w:val="14"/>
              </w:rPr>
              <w:t xml:space="preserve"> per studieplass</w:t>
            </w:r>
          </w:p>
        </w:tc>
        <w:tc>
          <w:tcPr>
            <w:tcW w:w="0" w:type="auto"/>
            <w:tcBorders>
              <w:top w:val="nil"/>
              <w:left w:val="nil"/>
              <w:bottom w:val="nil"/>
              <w:right w:val="nil"/>
            </w:tcBorders>
            <w:shd w:val="clear" w:color="auto" w:fill="F2F2F2" w:themeFill="background1" w:themeFillShade="F2"/>
          </w:tcPr>
          <w:p w14:paraId="72055137" w14:textId="727C1A2F" w:rsidR="00285B1F" w:rsidRDefault="00AC30EC" w:rsidP="006B5E51">
            <w:pPr>
              <w:pStyle w:val="MerknadTR"/>
              <w:spacing w:line="160" w:lineRule="exact"/>
              <w:jc w:val="right"/>
              <w:rPr>
                <w:sz w:val="14"/>
                <w:szCs w:val="14"/>
              </w:rPr>
            </w:pPr>
            <w:r>
              <w:rPr>
                <w:sz w:val="14"/>
                <w:szCs w:val="14"/>
              </w:rPr>
              <w:t>1,9</w:t>
            </w:r>
          </w:p>
        </w:tc>
        <w:tc>
          <w:tcPr>
            <w:tcW w:w="0" w:type="auto"/>
            <w:tcBorders>
              <w:top w:val="nil"/>
              <w:left w:val="nil"/>
              <w:bottom w:val="nil"/>
              <w:right w:val="nil"/>
            </w:tcBorders>
            <w:shd w:val="clear" w:color="auto" w:fill="F2F2F2" w:themeFill="background1" w:themeFillShade="F2"/>
          </w:tcPr>
          <w:p w14:paraId="3AF8DE4E" w14:textId="613046F8" w:rsidR="006B5E51" w:rsidRDefault="006B5E51" w:rsidP="006B5E51">
            <w:pPr>
              <w:pStyle w:val="MerknadTR"/>
              <w:spacing w:line="160" w:lineRule="exact"/>
              <w:jc w:val="right"/>
              <w:rPr>
                <w:sz w:val="14"/>
                <w:szCs w:val="14"/>
              </w:rPr>
            </w:pPr>
            <w:r>
              <w:rPr>
                <w:sz w:val="14"/>
                <w:szCs w:val="14"/>
              </w:rPr>
              <w:t>2,1</w:t>
            </w:r>
          </w:p>
        </w:tc>
        <w:tc>
          <w:tcPr>
            <w:tcW w:w="0" w:type="auto"/>
            <w:tcBorders>
              <w:top w:val="nil"/>
              <w:left w:val="nil"/>
              <w:bottom w:val="nil"/>
              <w:right w:val="nil"/>
            </w:tcBorders>
            <w:shd w:val="clear" w:color="auto" w:fill="F2F2F2" w:themeFill="background1" w:themeFillShade="F2"/>
          </w:tcPr>
          <w:p w14:paraId="0E9D9AAF" w14:textId="4F0F65DB" w:rsidR="006B5E51" w:rsidRPr="006024A7" w:rsidRDefault="006B5E51" w:rsidP="006B5E51">
            <w:pPr>
              <w:pStyle w:val="MerknadTR"/>
              <w:spacing w:line="160" w:lineRule="exact"/>
              <w:jc w:val="right"/>
              <w:rPr>
                <w:sz w:val="14"/>
                <w:szCs w:val="14"/>
              </w:rPr>
            </w:pPr>
            <w:r>
              <w:rPr>
                <w:sz w:val="14"/>
                <w:szCs w:val="14"/>
              </w:rPr>
              <w:t>2,1</w:t>
            </w:r>
          </w:p>
        </w:tc>
        <w:tc>
          <w:tcPr>
            <w:tcW w:w="0" w:type="auto"/>
            <w:tcBorders>
              <w:top w:val="nil"/>
              <w:left w:val="nil"/>
              <w:bottom w:val="nil"/>
              <w:right w:val="nil"/>
            </w:tcBorders>
            <w:shd w:val="clear" w:color="auto" w:fill="F2F2F2" w:themeFill="background1" w:themeFillShade="F2"/>
          </w:tcPr>
          <w:p w14:paraId="5677A9A6" w14:textId="2BED9ABE" w:rsidR="006B5E51" w:rsidRDefault="000617B1" w:rsidP="006B5E51">
            <w:pPr>
              <w:pStyle w:val="MerknadTR"/>
              <w:spacing w:line="160" w:lineRule="exact"/>
              <w:jc w:val="right"/>
              <w:rPr>
                <w:sz w:val="14"/>
                <w:szCs w:val="14"/>
              </w:rPr>
            </w:pPr>
            <w:r>
              <w:rPr>
                <w:sz w:val="14"/>
                <w:szCs w:val="14"/>
              </w:rPr>
              <w:t>1,8</w:t>
            </w:r>
          </w:p>
        </w:tc>
      </w:tr>
      <w:tr w:rsidR="006B5E51" w:rsidRPr="006024A7" w14:paraId="2442D026" w14:textId="2C4E9566" w:rsidTr="0041529F">
        <w:trPr>
          <w:trHeight w:hRule="exact" w:val="227"/>
        </w:trPr>
        <w:tc>
          <w:tcPr>
            <w:tcW w:w="0" w:type="auto"/>
            <w:tcBorders>
              <w:top w:val="nil"/>
              <w:left w:val="nil"/>
              <w:bottom w:val="nil"/>
              <w:right w:val="nil"/>
            </w:tcBorders>
            <w:shd w:val="clear" w:color="auto" w:fill="F2F2F2" w:themeFill="background1" w:themeFillShade="F2"/>
          </w:tcPr>
          <w:p w14:paraId="2287C3C3"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B48CC63"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14014BD"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D6DC7BC" w14:textId="15CDBFB4"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DC62F23" w14:textId="77777777" w:rsidR="006B5E51" w:rsidRPr="006024A7" w:rsidRDefault="006B5E51" w:rsidP="006B5E51">
            <w:pPr>
              <w:pStyle w:val="MerknadTR"/>
              <w:spacing w:line="160" w:lineRule="exact"/>
              <w:jc w:val="right"/>
              <w:rPr>
                <w:sz w:val="14"/>
                <w:szCs w:val="14"/>
              </w:rPr>
            </w:pPr>
          </w:p>
        </w:tc>
      </w:tr>
      <w:tr w:rsidR="006B5E51" w:rsidRPr="006024A7" w14:paraId="0BA10828" w14:textId="3043AEE8" w:rsidTr="0041529F">
        <w:trPr>
          <w:trHeight w:hRule="exact" w:val="227"/>
        </w:trPr>
        <w:tc>
          <w:tcPr>
            <w:tcW w:w="0" w:type="auto"/>
            <w:tcBorders>
              <w:top w:val="nil"/>
              <w:left w:val="nil"/>
              <w:bottom w:val="nil"/>
              <w:right w:val="nil"/>
            </w:tcBorders>
            <w:shd w:val="clear" w:color="auto" w:fill="F2F2F2" w:themeFill="background1" w:themeFillShade="F2"/>
          </w:tcPr>
          <w:p w14:paraId="6AF5914D" w14:textId="49032116" w:rsidR="006B5E51" w:rsidRPr="006024A7" w:rsidRDefault="006B5E51" w:rsidP="006B5E51">
            <w:pPr>
              <w:pStyle w:val="MerknadTR"/>
              <w:spacing w:line="160" w:lineRule="exact"/>
              <w:rPr>
                <w:sz w:val="14"/>
                <w:szCs w:val="14"/>
              </w:rPr>
            </w:pPr>
            <w:r w:rsidRPr="006024A7">
              <w:rPr>
                <w:b/>
                <w:sz w:val="14"/>
                <w:szCs w:val="14"/>
              </w:rPr>
              <w:t>Antall studenter</w:t>
            </w:r>
          </w:p>
        </w:tc>
        <w:tc>
          <w:tcPr>
            <w:tcW w:w="0" w:type="auto"/>
            <w:tcBorders>
              <w:top w:val="nil"/>
              <w:left w:val="nil"/>
              <w:bottom w:val="nil"/>
              <w:right w:val="nil"/>
            </w:tcBorders>
            <w:shd w:val="clear" w:color="auto" w:fill="F2F2F2" w:themeFill="background1" w:themeFillShade="F2"/>
          </w:tcPr>
          <w:p w14:paraId="02622AF1"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59A43EC"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9D41634" w14:textId="0B2D581F"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F99D672" w14:textId="77777777" w:rsidR="006B5E51" w:rsidRDefault="006B5E51" w:rsidP="006B5E51">
            <w:pPr>
              <w:pStyle w:val="MerknadTR"/>
              <w:spacing w:line="160" w:lineRule="exact"/>
              <w:jc w:val="right"/>
              <w:rPr>
                <w:sz w:val="14"/>
                <w:szCs w:val="14"/>
              </w:rPr>
            </w:pPr>
          </w:p>
        </w:tc>
      </w:tr>
      <w:tr w:rsidR="006B5E51" w:rsidRPr="006024A7" w14:paraId="653BAFF5" w14:textId="21B14E7E" w:rsidTr="0041529F">
        <w:trPr>
          <w:trHeight w:hRule="exact" w:val="227"/>
        </w:trPr>
        <w:tc>
          <w:tcPr>
            <w:tcW w:w="0" w:type="auto"/>
            <w:tcBorders>
              <w:top w:val="nil"/>
              <w:left w:val="nil"/>
              <w:bottom w:val="nil"/>
              <w:right w:val="nil"/>
            </w:tcBorders>
            <w:shd w:val="clear" w:color="auto" w:fill="F2F2F2" w:themeFill="background1" w:themeFillShade="F2"/>
          </w:tcPr>
          <w:p w14:paraId="1070E871" w14:textId="77777777" w:rsidR="006B5E51" w:rsidRPr="006024A7" w:rsidRDefault="006B5E51" w:rsidP="006B5E51">
            <w:pPr>
              <w:pStyle w:val="MerknadTR"/>
              <w:spacing w:line="160" w:lineRule="exact"/>
              <w:rPr>
                <w:sz w:val="14"/>
                <w:szCs w:val="14"/>
              </w:rPr>
            </w:pPr>
            <w:r w:rsidRPr="006024A7">
              <w:rPr>
                <w:sz w:val="14"/>
                <w:szCs w:val="14"/>
              </w:rPr>
              <w:t xml:space="preserve">Antall registrerte studenter (egenfinansiert, KD) </w:t>
            </w:r>
          </w:p>
        </w:tc>
        <w:tc>
          <w:tcPr>
            <w:tcW w:w="0" w:type="auto"/>
            <w:tcBorders>
              <w:top w:val="nil"/>
              <w:left w:val="nil"/>
              <w:bottom w:val="nil"/>
              <w:right w:val="nil"/>
            </w:tcBorders>
            <w:shd w:val="clear" w:color="auto" w:fill="F2F2F2" w:themeFill="background1" w:themeFillShade="F2"/>
          </w:tcPr>
          <w:p w14:paraId="39B955E1" w14:textId="0ECB1A51" w:rsidR="00285B1F" w:rsidRDefault="00892F24" w:rsidP="006B5E51">
            <w:pPr>
              <w:pStyle w:val="MerknadTR"/>
              <w:spacing w:line="160" w:lineRule="exact"/>
              <w:jc w:val="right"/>
              <w:rPr>
                <w:sz w:val="14"/>
                <w:szCs w:val="14"/>
              </w:rPr>
            </w:pPr>
            <w:r>
              <w:rPr>
                <w:sz w:val="14"/>
                <w:szCs w:val="14"/>
              </w:rPr>
              <w:t>261</w:t>
            </w:r>
            <w:r w:rsidRPr="00F41A2F">
              <w:rPr>
                <w:sz w:val="14"/>
                <w:szCs w:val="14"/>
              </w:rPr>
              <w:t> </w:t>
            </w:r>
            <w:r>
              <w:rPr>
                <w:sz w:val="14"/>
                <w:szCs w:val="14"/>
              </w:rPr>
              <w:t>411</w:t>
            </w:r>
          </w:p>
        </w:tc>
        <w:tc>
          <w:tcPr>
            <w:tcW w:w="0" w:type="auto"/>
            <w:tcBorders>
              <w:top w:val="nil"/>
              <w:left w:val="nil"/>
              <w:bottom w:val="nil"/>
              <w:right w:val="nil"/>
            </w:tcBorders>
            <w:shd w:val="clear" w:color="auto" w:fill="F2F2F2" w:themeFill="background1" w:themeFillShade="F2"/>
          </w:tcPr>
          <w:p w14:paraId="6A7C67E6" w14:textId="573D9C84" w:rsidR="006B5E51" w:rsidRDefault="006B5E51" w:rsidP="006B5E51">
            <w:pPr>
              <w:pStyle w:val="MerknadTR"/>
              <w:spacing w:line="160" w:lineRule="exact"/>
              <w:jc w:val="right"/>
              <w:rPr>
                <w:sz w:val="14"/>
                <w:szCs w:val="14"/>
              </w:rPr>
            </w:pPr>
            <w:r>
              <w:rPr>
                <w:sz w:val="14"/>
                <w:szCs w:val="14"/>
              </w:rPr>
              <w:t>273 175</w:t>
            </w:r>
          </w:p>
        </w:tc>
        <w:tc>
          <w:tcPr>
            <w:tcW w:w="0" w:type="auto"/>
            <w:tcBorders>
              <w:top w:val="nil"/>
              <w:left w:val="nil"/>
              <w:bottom w:val="nil"/>
              <w:right w:val="nil"/>
            </w:tcBorders>
            <w:shd w:val="clear" w:color="auto" w:fill="F2F2F2" w:themeFill="background1" w:themeFillShade="F2"/>
          </w:tcPr>
          <w:p w14:paraId="36FBD8ED" w14:textId="1CC36C82" w:rsidR="006B5E51" w:rsidRPr="006024A7" w:rsidRDefault="006B5E51" w:rsidP="006B5E51">
            <w:pPr>
              <w:pStyle w:val="MerknadTR"/>
              <w:spacing w:line="160" w:lineRule="exact"/>
              <w:jc w:val="right"/>
              <w:rPr>
                <w:sz w:val="14"/>
                <w:szCs w:val="14"/>
              </w:rPr>
            </w:pPr>
            <w:r>
              <w:rPr>
                <w:sz w:val="14"/>
                <w:szCs w:val="14"/>
              </w:rPr>
              <w:t>284 062</w:t>
            </w:r>
          </w:p>
        </w:tc>
        <w:tc>
          <w:tcPr>
            <w:tcW w:w="0" w:type="auto"/>
            <w:tcBorders>
              <w:top w:val="nil"/>
              <w:left w:val="nil"/>
              <w:bottom w:val="nil"/>
              <w:right w:val="nil"/>
            </w:tcBorders>
            <w:shd w:val="clear" w:color="auto" w:fill="F2F2F2" w:themeFill="background1" w:themeFillShade="F2"/>
          </w:tcPr>
          <w:p w14:paraId="2A1D0986" w14:textId="0B209BD4" w:rsidR="006B5E51" w:rsidRDefault="009E3B34" w:rsidP="006B5E51">
            <w:pPr>
              <w:pStyle w:val="MerknadTR"/>
              <w:spacing w:line="160" w:lineRule="exact"/>
              <w:jc w:val="right"/>
              <w:rPr>
                <w:sz w:val="14"/>
                <w:szCs w:val="14"/>
              </w:rPr>
            </w:pPr>
            <w:r>
              <w:rPr>
                <w:sz w:val="14"/>
                <w:szCs w:val="14"/>
              </w:rPr>
              <w:t>278</w:t>
            </w:r>
            <w:r w:rsidR="0077098D">
              <w:rPr>
                <w:sz w:val="14"/>
                <w:szCs w:val="14"/>
              </w:rPr>
              <w:t> </w:t>
            </w:r>
            <w:r>
              <w:rPr>
                <w:sz w:val="14"/>
                <w:szCs w:val="14"/>
              </w:rPr>
              <w:t>176</w:t>
            </w:r>
          </w:p>
        </w:tc>
      </w:tr>
      <w:tr w:rsidR="006B5E51" w:rsidRPr="006024A7" w14:paraId="1D890A0E" w14:textId="5AB665C4" w:rsidTr="0041529F">
        <w:trPr>
          <w:trHeight w:hRule="exact" w:val="227"/>
        </w:trPr>
        <w:tc>
          <w:tcPr>
            <w:tcW w:w="0" w:type="auto"/>
            <w:tcBorders>
              <w:top w:val="nil"/>
              <w:left w:val="nil"/>
              <w:bottom w:val="nil"/>
              <w:right w:val="nil"/>
            </w:tcBorders>
            <w:shd w:val="clear" w:color="auto" w:fill="F2F2F2" w:themeFill="background1" w:themeFillShade="F2"/>
          </w:tcPr>
          <w:p w14:paraId="3DDA3D52" w14:textId="77777777" w:rsidR="006B5E51" w:rsidRPr="006024A7" w:rsidRDefault="006B5E51" w:rsidP="006B5E51">
            <w:pPr>
              <w:pStyle w:val="MerknadTR"/>
              <w:spacing w:line="160" w:lineRule="exact"/>
              <w:rPr>
                <w:sz w:val="14"/>
                <w:szCs w:val="14"/>
              </w:rPr>
            </w:pPr>
            <w:r w:rsidRPr="006024A7">
              <w:rPr>
                <w:sz w:val="14"/>
                <w:szCs w:val="14"/>
              </w:rPr>
              <w:t xml:space="preserve">Antall studenter alle </w:t>
            </w:r>
            <w:proofErr w:type="spellStart"/>
            <w:r w:rsidRPr="006024A7">
              <w:rPr>
                <w:sz w:val="14"/>
                <w:szCs w:val="14"/>
              </w:rPr>
              <w:t>inst</w:t>
            </w:r>
            <w:proofErr w:type="spellEnd"/>
            <w:r w:rsidRPr="006024A7">
              <w:rPr>
                <w:sz w:val="14"/>
                <w:szCs w:val="14"/>
              </w:rPr>
              <w:t xml:space="preserve">. (inkl. ikke finansiert av KD) </w:t>
            </w:r>
          </w:p>
        </w:tc>
        <w:tc>
          <w:tcPr>
            <w:tcW w:w="0" w:type="auto"/>
            <w:tcBorders>
              <w:top w:val="nil"/>
              <w:left w:val="nil"/>
              <w:bottom w:val="nil"/>
              <w:right w:val="nil"/>
            </w:tcBorders>
            <w:shd w:val="clear" w:color="auto" w:fill="F2F2F2" w:themeFill="background1" w:themeFillShade="F2"/>
          </w:tcPr>
          <w:p w14:paraId="60A046AA" w14:textId="5CE0F355" w:rsidR="00285B1F" w:rsidRDefault="00B94DA0" w:rsidP="006B5E51">
            <w:pPr>
              <w:pStyle w:val="MerknadTR"/>
              <w:spacing w:line="160" w:lineRule="exact"/>
              <w:jc w:val="right"/>
              <w:rPr>
                <w:sz w:val="14"/>
                <w:szCs w:val="14"/>
              </w:rPr>
            </w:pPr>
            <w:r>
              <w:rPr>
                <w:sz w:val="14"/>
                <w:szCs w:val="14"/>
              </w:rPr>
              <w:t>281</w:t>
            </w:r>
            <w:r w:rsidRPr="00F41A2F">
              <w:rPr>
                <w:sz w:val="14"/>
                <w:szCs w:val="14"/>
              </w:rPr>
              <w:t> </w:t>
            </w:r>
            <w:r>
              <w:rPr>
                <w:sz w:val="14"/>
                <w:szCs w:val="14"/>
              </w:rPr>
              <w:t>702</w:t>
            </w:r>
          </w:p>
        </w:tc>
        <w:tc>
          <w:tcPr>
            <w:tcW w:w="0" w:type="auto"/>
            <w:tcBorders>
              <w:top w:val="nil"/>
              <w:left w:val="nil"/>
              <w:bottom w:val="nil"/>
              <w:right w:val="nil"/>
            </w:tcBorders>
            <w:shd w:val="clear" w:color="auto" w:fill="F2F2F2" w:themeFill="background1" w:themeFillShade="F2"/>
          </w:tcPr>
          <w:p w14:paraId="36DE83DC" w14:textId="3AE942BE" w:rsidR="006B5E51" w:rsidRDefault="006B5E51" w:rsidP="006B5E51">
            <w:pPr>
              <w:pStyle w:val="MerknadTR"/>
              <w:spacing w:line="160" w:lineRule="exact"/>
              <w:jc w:val="right"/>
              <w:rPr>
                <w:sz w:val="14"/>
                <w:szCs w:val="14"/>
              </w:rPr>
            </w:pPr>
            <w:r>
              <w:rPr>
                <w:sz w:val="14"/>
                <w:szCs w:val="14"/>
              </w:rPr>
              <w:t>292 834</w:t>
            </w:r>
          </w:p>
        </w:tc>
        <w:tc>
          <w:tcPr>
            <w:tcW w:w="0" w:type="auto"/>
            <w:tcBorders>
              <w:top w:val="nil"/>
              <w:left w:val="nil"/>
              <w:bottom w:val="nil"/>
              <w:right w:val="nil"/>
            </w:tcBorders>
            <w:shd w:val="clear" w:color="auto" w:fill="F2F2F2" w:themeFill="background1" w:themeFillShade="F2"/>
          </w:tcPr>
          <w:p w14:paraId="786F3B2B" w14:textId="10268AED" w:rsidR="006B5E51" w:rsidRPr="006024A7" w:rsidRDefault="006B5E51" w:rsidP="006B5E51">
            <w:pPr>
              <w:pStyle w:val="MerknadTR"/>
              <w:spacing w:line="160" w:lineRule="exact"/>
              <w:jc w:val="right"/>
              <w:rPr>
                <w:sz w:val="14"/>
                <w:szCs w:val="14"/>
              </w:rPr>
            </w:pPr>
            <w:r>
              <w:rPr>
                <w:sz w:val="14"/>
                <w:szCs w:val="14"/>
              </w:rPr>
              <w:t>304 885</w:t>
            </w:r>
          </w:p>
        </w:tc>
        <w:tc>
          <w:tcPr>
            <w:tcW w:w="0" w:type="auto"/>
            <w:tcBorders>
              <w:top w:val="nil"/>
              <w:left w:val="nil"/>
              <w:bottom w:val="nil"/>
              <w:right w:val="nil"/>
            </w:tcBorders>
            <w:shd w:val="clear" w:color="auto" w:fill="F2F2F2" w:themeFill="background1" w:themeFillShade="F2"/>
          </w:tcPr>
          <w:p w14:paraId="226AFF06" w14:textId="0296C963" w:rsidR="006B5E51" w:rsidRDefault="00872767" w:rsidP="006B5E51">
            <w:pPr>
              <w:pStyle w:val="MerknadTR"/>
              <w:spacing w:line="160" w:lineRule="exact"/>
              <w:jc w:val="right"/>
              <w:rPr>
                <w:sz w:val="14"/>
                <w:szCs w:val="14"/>
              </w:rPr>
            </w:pPr>
            <w:r>
              <w:rPr>
                <w:sz w:val="14"/>
                <w:szCs w:val="14"/>
              </w:rPr>
              <w:t>297 </w:t>
            </w:r>
            <w:r w:rsidR="00FB45B9">
              <w:rPr>
                <w:sz w:val="14"/>
                <w:szCs w:val="14"/>
              </w:rPr>
              <w:t>775</w:t>
            </w:r>
          </w:p>
        </w:tc>
      </w:tr>
      <w:tr w:rsidR="006B5E51" w:rsidRPr="006024A7" w14:paraId="693F6F3C" w14:textId="0FA51EAB" w:rsidTr="0041529F">
        <w:trPr>
          <w:trHeight w:hRule="exact" w:val="227"/>
        </w:trPr>
        <w:tc>
          <w:tcPr>
            <w:tcW w:w="0" w:type="auto"/>
            <w:tcBorders>
              <w:top w:val="nil"/>
              <w:left w:val="nil"/>
              <w:bottom w:val="nil"/>
              <w:right w:val="nil"/>
            </w:tcBorders>
            <w:shd w:val="clear" w:color="auto" w:fill="F2F2F2" w:themeFill="background1" w:themeFillShade="F2"/>
          </w:tcPr>
          <w:p w14:paraId="2D538D0F" w14:textId="77777777" w:rsidR="006B5E51" w:rsidRPr="006024A7" w:rsidRDefault="006B5E51" w:rsidP="006B5E51">
            <w:pPr>
              <w:pStyle w:val="MerknadTR"/>
              <w:spacing w:line="160" w:lineRule="exact"/>
              <w:rPr>
                <w:sz w:val="14"/>
                <w:szCs w:val="14"/>
              </w:rPr>
            </w:pPr>
            <w:r w:rsidRPr="006024A7">
              <w:rPr>
                <w:sz w:val="14"/>
                <w:szCs w:val="14"/>
              </w:rPr>
              <w:t xml:space="preserve">Ph.d.-studenter </w:t>
            </w:r>
          </w:p>
        </w:tc>
        <w:tc>
          <w:tcPr>
            <w:tcW w:w="0" w:type="auto"/>
            <w:tcBorders>
              <w:top w:val="nil"/>
              <w:left w:val="nil"/>
              <w:bottom w:val="nil"/>
              <w:right w:val="nil"/>
            </w:tcBorders>
            <w:shd w:val="clear" w:color="auto" w:fill="F2F2F2" w:themeFill="background1" w:themeFillShade="F2"/>
          </w:tcPr>
          <w:p w14:paraId="086B0B1D" w14:textId="1EAADF0F" w:rsidR="00285B1F" w:rsidRDefault="001D0A8C" w:rsidP="006B5E51">
            <w:pPr>
              <w:pStyle w:val="MerknadTR"/>
              <w:spacing w:line="160" w:lineRule="exact"/>
              <w:jc w:val="right"/>
              <w:rPr>
                <w:sz w:val="14"/>
                <w:szCs w:val="14"/>
              </w:rPr>
            </w:pPr>
            <w:r>
              <w:rPr>
                <w:sz w:val="14"/>
                <w:szCs w:val="14"/>
              </w:rPr>
              <w:t>11</w:t>
            </w:r>
            <w:r w:rsidRPr="00F41A2F">
              <w:rPr>
                <w:sz w:val="14"/>
                <w:szCs w:val="14"/>
              </w:rPr>
              <w:t> </w:t>
            </w:r>
            <w:r w:rsidR="00387E8E">
              <w:rPr>
                <w:sz w:val="14"/>
                <w:szCs w:val="14"/>
              </w:rPr>
              <w:t>049</w:t>
            </w:r>
          </w:p>
        </w:tc>
        <w:tc>
          <w:tcPr>
            <w:tcW w:w="0" w:type="auto"/>
            <w:tcBorders>
              <w:top w:val="nil"/>
              <w:left w:val="nil"/>
              <w:bottom w:val="nil"/>
              <w:right w:val="nil"/>
            </w:tcBorders>
            <w:shd w:val="clear" w:color="auto" w:fill="F2F2F2" w:themeFill="background1" w:themeFillShade="F2"/>
          </w:tcPr>
          <w:p w14:paraId="03C451A0" w14:textId="184A581E" w:rsidR="006B5E51" w:rsidRDefault="006B5E51" w:rsidP="006B5E51">
            <w:pPr>
              <w:pStyle w:val="MerknadTR"/>
              <w:spacing w:line="160" w:lineRule="exact"/>
              <w:jc w:val="right"/>
              <w:rPr>
                <w:sz w:val="14"/>
                <w:szCs w:val="14"/>
              </w:rPr>
            </w:pPr>
            <w:r>
              <w:rPr>
                <w:sz w:val="14"/>
                <w:szCs w:val="14"/>
              </w:rPr>
              <w:t>11 </w:t>
            </w:r>
            <w:r w:rsidR="00285B1F">
              <w:rPr>
                <w:sz w:val="14"/>
                <w:szCs w:val="14"/>
              </w:rPr>
              <w:t>20</w:t>
            </w:r>
            <w:r w:rsidR="00CC1A72">
              <w:rPr>
                <w:sz w:val="14"/>
                <w:szCs w:val="14"/>
              </w:rPr>
              <w:t>6</w:t>
            </w:r>
          </w:p>
        </w:tc>
        <w:tc>
          <w:tcPr>
            <w:tcW w:w="0" w:type="auto"/>
            <w:tcBorders>
              <w:top w:val="nil"/>
              <w:left w:val="nil"/>
              <w:bottom w:val="nil"/>
              <w:right w:val="nil"/>
            </w:tcBorders>
            <w:shd w:val="clear" w:color="auto" w:fill="F2F2F2" w:themeFill="background1" w:themeFillShade="F2"/>
          </w:tcPr>
          <w:p w14:paraId="79574758" w14:textId="693D6FC9" w:rsidR="006B5E51" w:rsidRPr="006024A7" w:rsidRDefault="006B5E51" w:rsidP="006B5E51">
            <w:pPr>
              <w:pStyle w:val="MerknadTR"/>
              <w:spacing w:line="160" w:lineRule="exact"/>
              <w:jc w:val="right"/>
              <w:rPr>
                <w:sz w:val="14"/>
                <w:szCs w:val="14"/>
              </w:rPr>
            </w:pPr>
            <w:r>
              <w:rPr>
                <w:sz w:val="14"/>
                <w:szCs w:val="14"/>
              </w:rPr>
              <w:t>11 </w:t>
            </w:r>
            <w:r w:rsidR="00285B1F">
              <w:rPr>
                <w:sz w:val="14"/>
                <w:szCs w:val="14"/>
              </w:rPr>
              <w:t>4</w:t>
            </w:r>
            <w:r w:rsidR="000C696A">
              <w:rPr>
                <w:sz w:val="14"/>
                <w:szCs w:val="14"/>
              </w:rPr>
              <w:t>69</w:t>
            </w:r>
          </w:p>
        </w:tc>
        <w:tc>
          <w:tcPr>
            <w:tcW w:w="0" w:type="auto"/>
            <w:tcBorders>
              <w:top w:val="nil"/>
              <w:left w:val="nil"/>
              <w:bottom w:val="nil"/>
              <w:right w:val="nil"/>
            </w:tcBorders>
            <w:shd w:val="clear" w:color="auto" w:fill="F2F2F2" w:themeFill="background1" w:themeFillShade="F2"/>
          </w:tcPr>
          <w:p w14:paraId="4C963DDE" w14:textId="6F8BFB10" w:rsidR="006B5E51" w:rsidRDefault="001F7172" w:rsidP="006B5E51">
            <w:pPr>
              <w:pStyle w:val="MerknadTR"/>
              <w:spacing w:line="160" w:lineRule="exact"/>
              <w:jc w:val="right"/>
              <w:rPr>
                <w:sz w:val="14"/>
                <w:szCs w:val="14"/>
              </w:rPr>
            </w:pPr>
            <w:r>
              <w:rPr>
                <w:sz w:val="14"/>
                <w:szCs w:val="14"/>
              </w:rPr>
              <w:t>11</w:t>
            </w:r>
            <w:r w:rsidRPr="00F41A2F">
              <w:rPr>
                <w:sz w:val="14"/>
                <w:szCs w:val="14"/>
              </w:rPr>
              <w:t> </w:t>
            </w:r>
            <w:r w:rsidR="00F77C88">
              <w:rPr>
                <w:sz w:val="14"/>
                <w:szCs w:val="14"/>
              </w:rPr>
              <w:t>967</w:t>
            </w:r>
          </w:p>
        </w:tc>
      </w:tr>
      <w:tr w:rsidR="006B5E51" w:rsidRPr="006024A7" w14:paraId="47C739F1" w14:textId="1334BF26" w:rsidTr="0041529F">
        <w:trPr>
          <w:trHeight w:hRule="exact" w:val="227"/>
        </w:trPr>
        <w:tc>
          <w:tcPr>
            <w:tcW w:w="0" w:type="auto"/>
            <w:tcBorders>
              <w:top w:val="nil"/>
              <w:left w:val="nil"/>
              <w:bottom w:val="nil"/>
              <w:right w:val="nil"/>
            </w:tcBorders>
            <w:shd w:val="clear" w:color="auto" w:fill="F2F2F2" w:themeFill="background1" w:themeFillShade="F2"/>
          </w:tcPr>
          <w:p w14:paraId="419B532C" w14:textId="77777777" w:rsidR="006B5E51" w:rsidRPr="006024A7" w:rsidRDefault="006B5E51" w:rsidP="006B5E51">
            <w:pPr>
              <w:pStyle w:val="MerknadTR"/>
              <w:spacing w:line="160" w:lineRule="exact"/>
              <w:rPr>
                <w:sz w:val="14"/>
                <w:szCs w:val="14"/>
              </w:rPr>
            </w:pPr>
            <w:r w:rsidRPr="006024A7">
              <w:rPr>
                <w:sz w:val="14"/>
                <w:szCs w:val="14"/>
              </w:rPr>
              <w:t xml:space="preserve">Mastergradsstudenter </w:t>
            </w:r>
          </w:p>
        </w:tc>
        <w:tc>
          <w:tcPr>
            <w:tcW w:w="0" w:type="auto"/>
            <w:tcBorders>
              <w:top w:val="nil"/>
              <w:left w:val="nil"/>
              <w:bottom w:val="nil"/>
              <w:right w:val="nil"/>
            </w:tcBorders>
            <w:shd w:val="clear" w:color="auto" w:fill="F2F2F2" w:themeFill="background1" w:themeFillShade="F2"/>
          </w:tcPr>
          <w:p w14:paraId="3B0745CB" w14:textId="0D513D3A" w:rsidR="00285B1F" w:rsidRDefault="00162552" w:rsidP="006B5E51">
            <w:pPr>
              <w:pStyle w:val="MerknadTR"/>
              <w:spacing w:line="160" w:lineRule="exact"/>
              <w:jc w:val="right"/>
              <w:rPr>
                <w:sz w:val="14"/>
                <w:szCs w:val="14"/>
              </w:rPr>
            </w:pPr>
            <w:r>
              <w:rPr>
                <w:sz w:val="14"/>
                <w:szCs w:val="14"/>
              </w:rPr>
              <w:t>48</w:t>
            </w:r>
            <w:r w:rsidRPr="00F41A2F">
              <w:rPr>
                <w:sz w:val="14"/>
                <w:szCs w:val="14"/>
              </w:rPr>
              <w:t> </w:t>
            </w:r>
            <w:r>
              <w:rPr>
                <w:sz w:val="14"/>
                <w:szCs w:val="14"/>
              </w:rPr>
              <w:t>041</w:t>
            </w:r>
          </w:p>
        </w:tc>
        <w:tc>
          <w:tcPr>
            <w:tcW w:w="0" w:type="auto"/>
            <w:tcBorders>
              <w:top w:val="nil"/>
              <w:left w:val="nil"/>
              <w:bottom w:val="nil"/>
              <w:right w:val="nil"/>
            </w:tcBorders>
            <w:shd w:val="clear" w:color="auto" w:fill="F2F2F2" w:themeFill="background1" w:themeFillShade="F2"/>
          </w:tcPr>
          <w:p w14:paraId="303C03A2" w14:textId="51160221" w:rsidR="006B5E51" w:rsidRDefault="006B5E51" w:rsidP="006B5E51">
            <w:pPr>
              <w:pStyle w:val="MerknadTR"/>
              <w:spacing w:line="160" w:lineRule="exact"/>
              <w:jc w:val="right"/>
              <w:rPr>
                <w:sz w:val="14"/>
                <w:szCs w:val="14"/>
              </w:rPr>
            </w:pPr>
            <w:r>
              <w:rPr>
                <w:sz w:val="14"/>
                <w:szCs w:val="14"/>
              </w:rPr>
              <w:t>51 654</w:t>
            </w:r>
          </w:p>
        </w:tc>
        <w:tc>
          <w:tcPr>
            <w:tcW w:w="0" w:type="auto"/>
            <w:tcBorders>
              <w:top w:val="nil"/>
              <w:left w:val="nil"/>
              <w:bottom w:val="nil"/>
              <w:right w:val="nil"/>
            </w:tcBorders>
            <w:shd w:val="clear" w:color="auto" w:fill="F2F2F2" w:themeFill="background1" w:themeFillShade="F2"/>
          </w:tcPr>
          <w:p w14:paraId="7ED29AEB" w14:textId="3B571530" w:rsidR="006B5E51" w:rsidRPr="006024A7" w:rsidRDefault="006B5E51" w:rsidP="006B5E51">
            <w:pPr>
              <w:pStyle w:val="MerknadTR"/>
              <w:spacing w:line="160" w:lineRule="exact"/>
              <w:jc w:val="right"/>
              <w:rPr>
                <w:sz w:val="14"/>
                <w:szCs w:val="14"/>
              </w:rPr>
            </w:pPr>
            <w:r>
              <w:rPr>
                <w:sz w:val="14"/>
                <w:szCs w:val="14"/>
              </w:rPr>
              <w:t>55 019</w:t>
            </w:r>
          </w:p>
        </w:tc>
        <w:tc>
          <w:tcPr>
            <w:tcW w:w="0" w:type="auto"/>
            <w:tcBorders>
              <w:top w:val="nil"/>
              <w:left w:val="nil"/>
              <w:bottom w:val="nil"/>
              <w:right w:val="nil"/>
            </w:tcBorders>
            <w:shd w:val="clear" w:color="auto" w:fill="F2F2F2" w:themeFill="background1" w:themeFillShade="F2"/>
          </w:tcPr>
          <w:p w14:paraId="6995D7A3" w14:textId="084F9AA3" w:rsidR="006B5E51" w:rsidRDefault="005F6AF4" w:rsidP="006B5E51">
            <w:pPr>
              <w:pStyle w:val="MerknadTR"/>
              <w:spacing w:line="160" w:lineRule="exact"/>
              <w:jc w:val="right"/>
              <w:rPr>
                <w:sz w:val="14"/>
                <w:szCs w:val="14"/>
              </w:rPr>
            </w:pPr>
            <w:r>
              <w:rPr>
                <w:sz w:val="14"/>
                <w:szCs w:val="14"/>
              </w:rPr>
              <w:t>55 093</w:t>
            </w:r>
          </w:p>
        </w:tc>
      </w:tr>
      <w:tr w:rsidR="006B5E51" w:rsidRPr="006024A7" w14:paraId="1FC37726" w14:textId="02069E94" w:rsidTr="0041529F">
        <w:trPr>
          <w:trHeight w:hRule="exact" w:val="227"/>
        </w:trPr>
        <w:tc>
          <w:tcPr>
            <w:tcW w:w="0" w:type="auto"/>
            <w:tcBorders>
              <w:top w:val="nil"/>
              <w:left w:val="nil"/>
              <w:bottom w:val="nil"/>
              <w:right w:val="nil"/>
            </w:tcBorders>
            <w:shd w:val="clear" w:color="auto" w:fill="F2F2F2" w:themeFill="background1" w:themeFillShade="F2"/>
          </w:tcPr>
          <w:p w14:paraId="4106C005" w14:textId="6CA14731" w:rsidR="006B5E51" w:rsidRPr="006024A7" w:rsidRDefault="006B5E51" w:rsidP="006B5E51">
            <w:pPr>
              <w:pStyle w:val="MerknadTR"/>
              <w:spacing w:line="160" w:lineRule="exact"/>
              <w:rPr>
                <w:sz w:val="14"/>
                <w:szCs w:val="14"/>
              </w:rPr>
            </w:pPr>
            <w:r w:rsidRPr="006024A7">
              <w:rPr>
                <w:sz w:val="14"/>
                <w:szCs w:val="14"/>
              </w:rPr>
              <w:t xml:space="preserve">Studenter på integrert master og lange </w:t>
            </w:r>
            <w:proofErr w:type="spellStart"/>
            <w:r w:rsidRPr="006024A7">
              <w:rPr>
                <w:sz w:val="14"/>
                <w:szCs w:val="14"/>
              </w:rPr>
              <w:t>profesjonsutd</w:t>
            </w:r>
            <w:proofErr w:type="spellEnd"/>
            <w:r>
              <w:rPr>
                <w:sz w:val="14"/>
                <w:szCs w:val="14"/>
              </w:rPr>
              <w:t>.</w:t>
            </w:r>
            <w:r w:rsidRPr="006024A7">
              <w:rPr>
                <w:sz w:val="14"/>
                <w:szCs w:val="14"/>
              </w:rPr>
              <w:t xml:space="preserve"> </w:t>
            </w:r>
          </w:p>
        </w:tc>
        <w:tc>
          <w:tcPr>
            <w:tcW w:w="0" w:type="auto"/>
            <w:tcBorders>
              <w:top w:val="nil"/>
              <w:left w:val="nil"/>
              <w:bottom w:val="nil"/>
              <w:right w:val="nil"/>
            </w:tcBorders>
            <w:shd w:val="clear" w:color="auto" w:fill="F2F2F2" w:themeFill="background1" w:themeFillShade="F2"/>
          </w:tcPr>
          <w:p w14:paraId="37ACCB80" w14:textId="390980A3" w:rsidR="00285B1F" w:rsidRDefault="00592F4F" w:rsidP="006B5E51">
            <w:pPr>
              <w:pStyle w:val="MerknadTR"/>
              <w:spacing w:line="160" w:lineRule="exact"/>
              <w:jc w:val="right"/>
              <w:rPr>
                <w:sz w:val="14"/>
                <w:szCs w:val="14"/>
              </w:rPr>
            </w:pPr>
            <w:r>
              <w:rPr>
                <w:sz w:val="14"/>
                <w:szCs w:val="14"/>
              </w:rPr>
              <w:t>37</w:t>
            </w:r>
            <w:r w:rsidRPr="00F41A2F">
              <w:rPr>
                <w:sz w:val="14"/>
                <w:szCs w:val="14"/>
              </w:rPr>
              <w:t> </w:t>
            </w:r>
            <w:r>
              <w:rPr>
                <w:sz w:val="14"/>
                <w:szCs w:val="14"/>
              </w:rPr>
              <w:t>717</w:t>
            </w:r>
          </w:p>
        </w:tc>
        <w:tc>
          <w:tcPr>
            <w:tcW w:w="0" w:type="auto"/>
            <w:tcBorders>
              <w:top w:val="nil"/>
              <w:left w:val="nil"/>
              <w:bottom w:val="nil"/>
              <w:right w:val="nil"/>
            </w:tcBorders>
            <w:shd w:val="clear" w:color="auto" w:fill="F2F2F2" w:themeFill="background1" w:themeFillShade="F2"/>
          </w:tcPr>
          <w:p w14:paraId="4468A6F6" w14:textId="1815A4E0" w:rsidR="006B5E51" w:rsidRDefault="006B5E51" w:rsidP="006B5E51">
            <w:pPr>
              <w:pStyle w:val="MerknadTR"/>
              <w:spacing w:line="160" w:lineRule="exact"/>
              <w:jc w:val="right"/>
              <w:rPr>
                <w:sz w:val="14"/>
                <w:szCs w:val="14"/>
              </w:rPr>
            </w:pPr>
            <w:r>
              <w:rPr>
                <w:sz w:val="14"/>
                <w:szCs w:val="14"/>
              </w:rPr>
              <w:t>41 220</w:t>
            </w:r>
          </w:p>
        </w:tc>
        <w:tc>
          <w:tcPr>
            <w:tcW w:w="0" w:type="auto"/>
            <w:tcBorders>
              <w:top w:val="nil"/>
              <w:left w:val="nil"/>
              <w:bottom w:val="nil"/>
              <w:right w:val="nil"/>
            </w:tcBorders>
            <w:shd w:val="clear" w:color="auto" w:fill="F2F2F2" w:themeFill="background1" w:themeFillShade="F2"/>
          </w:tcPr>
          <w:p w14:paraId="40041ABE" w14:textId="16D4A84F" w:rsidR="006B5E51" w:rsidRPr="006024A7" w:rsidRDefault="006B5E51" w:rsidP="006B5E51">
            <w:pPr>
              <w:pStyle w:val="MerknadTR"/>
              <w:spacing w:line="160" w:lineRule="exact"/>
              <w:jc w:val="right"/>
              <w:rPr>
                <w:sz w:val="14"/>
                <w:szCs w:val="14"/>
              </w:rPr>
            </w:pPr>
            <w:r>
              <w:rPr>
                <w:sz w:val="14"/>
                <w:szCs w:val="14"/>
              </w:rPr>
              <w:t>43 413</w:t>
            </w:r>
          </w:p>
        </w:tc>
        <w:tc>
          <w:tcPr>
            <w:tcW w:w="0" w:type="auto"/>
            <w:tcBorders>
              <w:top w:val="nil"/>
              <w:left w:val="nil"/>
              <w:bottom w:val="nil"/>
              <w:right w:val="nil"/>
            </w:tcBorders>
            <w:shd w:val="clear" w:color="auto" w:fill="F2F2F2" w:themeFill="background1" w:themeFillShade="F2"/>
          </w:tcPr>
          <w:p w14:paraId="52FE4033" w14:textId="3D24AB00" w:rsidR="006B5E51" w:rsidRDefault="004D4527" w:rsidP="006B5E51">
            <w:pPr>
              <w:pStyle w:val="MerknadTR"/>
              <w:spacing w:line="160" w:lineRule="exact"/>
              <w:jc w:val="right"/>
              <w:rPr>
                <w:sz w:val="14"/>
                <w:szCs w:val="14"/>
              </w:rPr>
            </w:pPr>
            <w:r>
              <w:rPr>
                <w:sz w:val="14"/>
                <w:szCs w:val="14"/>
              </w:rPr>
              <w:t>43 424</w:t>
            </w:r>
          </w:p>
        </w:tc>
      </w:tr>
      <w:tr w:rsidR="006B5E51" w:rsidRPr="006024A7" w14:paraId="34D942F4" w14:textId="0A541534" w:rsidTr="0041529F">
        <w:trPr>
          <w:trHeight w:hRule="exact" w:val="227"/>
        </w:trPr>
        <w:tc>
          <w:tcPr>
            <w:tcW w:w="0" w:type="auto"/>
            <w:tcBorders>
              <w:top w:val="nil"/>
              <w:left w:val="nil"/>
              <w:bottom w:val="nil"/>
              <w:right w:val="nil"/>
            </w:tcBorders>
            <w:shd w:val="clear" w:color="auto" w:fill="F2F2F2" w:themeFill="background1" w:themeFillShade="F2"/>
          </w:tcPr>
          <w:p w14:paraId="28BEA65A" w14:textId="77777777" w:rsidR="006B5E51" w:rsidRPr="006024A7" w:rsidRDefault="006B5E51" w:rsidP="006B5E51">
            <w:pPr>
              <w:pStyle w:val="MerknadTR"/>
              <w:spacing w:line="160" w:lineRule="exact"/>
              <w:rPr>
                <w:sz w:val="14"/>
                <w:szCs w:val="14"/>
              </w:rPr>
            </w:pPr>
            <w:r w:rsidRPr="006024A7">
              <w:rPr>
                <w:sz w:val="14"/>
                <w:szCs w:val="14"/>
              </w:rPr>
              <w:t>Bachelorstudenter</w:t>
            </w:r>
          </w:p>
        </w:tc>
        <w:tc>
          <w:tcPr>
            <w:tcW w:w="0" w:type="auto"/>
            <w:tcBorders>
              <w:top w:val="nil"/>
              <w:left w:val="nil"/>
              <w:bottom w:val="nil"/>
              <w:right w:val="nil"/>
            </w:tcBorders>
            <w:shd w:val="clear" w:color="auto" w:fill="F2F2F2" w:themeFill="background1" w:themeFillShade="F2"/>
          </w:tcPr>
          <w:p w14:paraId="5DA193FC" w14:textId="2306DA49" w:rsidR="00285B1F" w:rsidRDefault="005814F8" w:rsidP="006B5E51">
            <w:pPr>
              <w:pStyle w:val="MerknadTR"/>
              <w:spacing w:line="160" w:lineRule="exact"/>
              <w:jc w:val="right"/>
              <w:rPr>
                <w:sz w:val="14"/>
                <w:szCs w:val="14"/>
              </w:rPr>
            </w:pPr>
            <w:r>
              <w:rPr>
                <w:sz w:val="14"/>
                <w:szCs w:val="14"/>
              </w:rPr>
              <w:t>129</w:t>
            </w:r>
            <w:r w:rsidRPr="00F41A2F">
              <w:rPr>
                <w:sz w:val="14"/>
                <w:szCs w:val="14"/>
              </w:rPr>
              <w:t> </w:t>
            </w:r>
            <w:r>
              <w:rPr>
                <w:sz w:val="14"/>
                <w:szCs w:val="14"/>
              </w:rPr>
              <w:t>434</w:t>
            </w:r>
          </w:p>
        </w:tc>
        <w:tc>
          <w:tcPr>
            <w:tcW w:w="0" w:type="auto"/>
            <w:tcBorders>
              <w:top w:val="nil"/>
              <w:left w:val="nil"/>
              <w:bottom w:val="nil"/>
              <w:right w:val="nil"/>
            </w:tcBorders>
            <w:shd w:val="clear" w:color="auto" w:fill="F2F2F2" w:themeFill="background1" w:themeFillShade="F2"/>
          </w:tcPr>
          <w:p w14:paraId="5A6FE50B" w14:textId="3464BCC7" w:rsidR="006B5E51" w:rsidRDefault="006B5E51" w:rsidP="006B5E51">
            <w:pPr>
              <w:pStyle w:val="MerknadTR"/>
              <w:spacing w:line="160" w:lineRule="exact"/>
              <w:jc w:val="right"/>
              <w:rPr>
                <w:sz w:val="14"/>
                <w:szCs w:val="14"/>
              </w:rPr>
            </w:pPr>
            <w:r>
              <w:rPr>
                <w:sz w:val="14"/>
                <w:szCs w:val="14"/>
              </w:rPr>
              <w:t>134 384</w:t>
            </w:r>
          </w:p>
        </w:tc>
        <w:tc>
          <w:tcPr>
            <w:tcW w:w="0" w:type="auto"/>
            <w:tcBorders>
              <w:top w:val="nil"/>
              <w:left w:val="nil"/>
              <w:bottom w:val="nil"/>
              <w:right w:val="nil"/>
            </w:tcBorders>
            <w:shd w:val="clear" w:color="auto" w:fill="F2F2F2" w:themeFill="background1" w:themeFillShade="F2"/>
          </w:tcPr>
          <w:p w14:paraId="71D50E8C" w14:textId="77499851" w:rsidR="006B5E51" w:rsidRPr="006024A7" w:rsidRDefault="006B5E51" w:rsidP="006B5E51">
            <w:pPr>
              <w:pStyle w:val="MerknadTR"/>
              <w:spacing w:line="160" w:lineRule="exact"/>
              <w:jc w:val="right"/>
              <w:rPr>
                <w:sz w:val="14"/>
                <w:szCs w:val="14"/>
              </w:rPr>
            </w:pPr>
            <w:r>
              <w:rPr>
                <w:sz w:val="14"/>
                <w:szCs w:val="14"/>
              </w:rPr>
              <w:t>135 265</w:t>
            </w:r>
          </w:p>
        </w:tc>
        <w:tc>
          <w:tcPr>
            <w:tcW w:w="0" w:type="auto"/>
            <w:tcBorders>
              <w:top w:val="nil"/>
              <w:left w:val="nil"/>
              <w:bottom w:val="nil"/>
              <w:right w:val="nil"/>
            </w:tcBorders>
            <w:shd w:val="clear" w:color="auto" w:fill="F2F2F2" w:themeFill="background1" w:themeFillShade="F2"/>
          </w:tcPr>
          <w:p w14:paraId="56BE11CE" w14:textId="4AD6D825" w:rsidR="006B5E51" w:rsidRDefault="006C1C83" w:rsidP="006B5E51">
            <w:pPr>
              <w:pStyle w:val="MerknadTR"/>
              <w:spacing w:line="160" w:lineRule="exact"/>
              <w:jc w:val="right"/>
              <w:rPr>
                <w:sz w:val="14"/>
                <w:szCs w:val="14"/>
              </w:rPr>
            </w:pPr>
            <w:r>
              <w:rPr>
                <w:sz w:val="14"/>
                <w:szCs w:val="14"/>
              </w:rPr>
              <w:t>133 122</w:t>
            </w:r>
          </w:p>
        </w:tc>
      </w:tr>
      <w:tr w:rsidR="006B5E51" w:rsidRPr="006024A7" w14:paraId="63747F4E" w14:textId="7DEA93BB" w:rsidTr="0041529F">
        <w:trPr>
          <w:trHeight w:hRule="exact" w:val="227"/>
        </w:trPr>
        <w:tc>
          <w:tcPr>
            <w:tcW w:w="0" w:type="auto"/>
            <w:tcBorders>
              <w:top w:val="nil"/>
              <w:left w:val="nil"/>
              <w:bottom w:val="nil"/>
              <w:right w:val="nil"/>
            </w:tcBorders>
            <w:shd w:val="clear" w:color="auto" w:fill="F2F2F2" w:themeFill="background1" w:themeFillShade="F2"/>
          </w:tcPr>
          <w:p w14:paraId="0DEA65AF" w14:textId="77777777" w:rsidR="006B5E51" w:rsidRPr="006024A7" w:rsidRDefault="006B5E51" w:rsidP="006B5E51">
            <w:pPr>
              <w:pStyle w:val="MerknadTR"/>
              <w:spacing w:line="160" w:lineRule="exact"/>
              <w:rPr>
                <w:b/>
                <w:sz w:val="14"/>
                <w:szCs w:val="14"/>
              </w:rPr>
            </w:pPr>
            <w:r w:rsidRPr="006024A7">
              <w:rPr>
                <w:sz w:val="14"/>
                <w:szCs w:val="14"/>
              </w:rPr>
              <w:t xml:space="preserve">Studenter på årskurs </w:t>
            </w:r>
          </w:p>
        </w:tc>
        <w:tc>
          <w:tcPr>
            <w:tcW w:w="0" w:type="auto"/>
            <w:tcBorders>
              <w:top w:val="nil"/>
              <w:left w:val="nil"/>
              <w:bottom w:val="nil"/>
              <w:right w:val="nil"/>
            </w:tcBorders>
            <w:shd w:val="clear" w:color="auto" w:fill="F2F2F2" w:themeFill="background1" w:themeFillShade="F2"/>
          </w:tcPr>
          <w:p w14:paraId="0571C791" w14:textId="57B78791" w:rsidR="00285B1F" w:rsidRDefault="00FA7BE6" w:rsidP="006B5E51">
            <w:pPr>
              <w:pStyle w:val="MerknadTR"/>
              <w:spacing w:line="160" w:lineRule="exact"/>
              <w:jc w:val="right"/>
              <w:rPr>
                <w:sz w:val="14"/>
                <w:szCs w:val="14"/>
              </w:rPr>
            </w:pPr>
            <w:r>
              <w:rPr>
                <w:sz w:val="14"/>
                <w:szCs w:val="14"/>
              </w:rPr>
              <w:t>24</w:t>
            </w:r>
            <w:r w:rsidRPr="00F41A2F">
              <w:rPr>
                <w:sz w:val="14"/>
                <w:szCs w:val="14"/>
              </w:rPr>
              <w:t> </w:t>
            </w:r>
            <w:r>
              <w:rPr>
                <w:sz w:val="14"/>
                <w:szCs w:val="14"/>
              </w:rPr>
              <w:t>028</w:t>
            </w:r>
          </w:p>
        </w:tc>
        <w:tc>
          <w:tcPr>
            <w:tcW w:w="0" w:type="auto"/>
            <w:tcBorders>
              <w:top w:val="nil"/>
              <w:left w:val="nil"/>
              <w:bottom w:val="nil"/>
              <w:right w:val="nil"/>
            </w:tcBorders>
            <w:shd w:val="clear" w:color="auto" w:fill="F2F2F2" w:themeFill="background1" w:themeFillShade="F2"/>
          </w:tcPr>
          <w:p w14:paraId="19B1EA2C" w14:textId="77777777" w:rsidR="006B5E51" w:rsidRPr="006024A7" w:rsidRDefault="006B5E51" w:rsidP="006B5E51">
            <w:pPr>
              <w:pStyle w:val="MerknadTR"/>
              <w:spacing w:line="160" w:lineRule="exact"/>
              <w:jc w:val="right"/>
              <w:rPr>
                <w:sz w:val="14"/>
                <w:szCs w:val="14"/>
              </w:rPr>
            </w:pPr>
            <w:r>
              <w:rPr>
                <w:sz w:val="14"/>
                <w:szCs w:val="14"/>
              </w:rPr>
              <w:t>25 069</w:t>
            </w:r>
          </w:p>
          <w:p w14:paraId="59714691" w14:textId="77777777" w:rsidR="006B5E51" w:rsidRPr="006024A7" w:rsidRDefault="006B5E51" w:rsidP="006B5E51">
            <w:pPr>
              <w:pStyle w:val="MerknadTR"/>
              <w:tabs>
                <w:tab w:val="left" w:pos="300"/>
              </w:tabs>
              <w:spacing w:line="160" w:lineRule="exact"/>
              <w:jc w:val="right"/>
              <w:rPr>
                <w:sz w:val="14"/>
                <w:szCs w:val="14"/>
              </w:rPr>
            </w:pPr>
            <w:r w:rsidRPr="006024A7">
              <w:rPr>
                <w:sz w:val="14"/>
                <w:szCs w:val="14"/>
              </w:rPr>
              <w:tab/>
            </w:r>
          </w:p>
          <w:p w14:paraId="69AD056F" w14:textId="77777777" w:rsidR="006B5E51" w:rsidRPr="006024A7" w:rsidRDefault="006B5E51" w:rsidP="006B5E51">
            <w:pPr>
              <w:jc w:val="right"/>
              <w:rPr>
                <w:rFonts w:ascii="Arial" w:hAnsi="Arial" w:cs="Arial"/>
                <w:color w:val="000000"/>
                <w:sz w:val="14"/>
                <w:szCs w:val="14"/>
              </w:rPr>
            </w:pPr>
            <w:r w:rsidRPr="006024A7">
              <w:rPr>
                <w:rFonts w:ascii="Arial" w:hAnsi="Arial" w:cs="Arial"/>
                <w:color w:val="000000"/>
                <w:sz w:val="14"/>
                <w:szCs w:val="14"/>
              </w:rPr>
              <w:t>23 925</w:t>
            </w:r>
          </w:p>
          <w:p w14:paraId="2DB66E95" w14:textId="77777777" w:rsidR="006B5E51" w:rsidRPr="006024A7" w:rsidRDefault="006B5E51" w:rsidP="006B5E51">
            <w:pPr>
              <w:pStyle w:val="MerknadTR"/>
              <w:tabs>
                <w:tab w:val="left" w:pos="300"/>
              </w:tabs>
              <w:spacing w:line="160" w:lineRule="exact"/>
              <w:jc w:val="right"/>
              <w:rPr>
                <w:sz w:val="14"/>
                <w:szCs w:val="14"/>
              </w:rPr>
            </w:pPr>
          </w:p>
          <w:p w14:paraId="4ABD1C40" w14:textId="77777777" w:rsidR="006B5E51" w:rsidRPr="006024A7" w:rsidRDefault="006B5E51" w:rsidP="006B5E51">
            <w:pPr>
              <w:jc w:val="right"/>
              <w:rPr>
                <w:rFonts w:ascii="Arial" w:hAnsi="Arial" w:cs="Arial"/>
                <w:color w:val="000000"/>
                <w:sz w:val="14"/>
                <w:szCs w:val="14"/>
              </w:rPr>
            </w:pPr>
            <w:r w:rsidRPr="006024A7">
              <w:rPr>
                <w:rFonts w:ascii="Arial" w:hAnsi="Arial" w:cs="Arial"/>
                <w:color w:val="000000"/>
                <w:sz w:val="14"/>
                <w:szCs w:val="14"/>
              </w:rPr>
              <w:t>23 925</w:t>
            </w:r>
          </w:p>
          <w:p w14:paraId="6D616CCB" w14:textId="19ABF443"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5DA1AEE" w14:textId="5D654F6A" w:rsidR="006B5E51" w:rsidRPr="006024A7" w:rsidRDefault="006B5E51" w:rsidP="006B5E51">
            <w:pPr>
              <w:pStyle w:val="MerknadTR"/>
              <w:tabs>
                <w:tab w:val="left" w:pos="300"/>
              </w:tabs>
              <w:spacing w:line="160" w:lineRule="exact"/>
              <w:jc w:val="right"/>
              <w:rPr>
                <w:sz w:val="14"/>
                <w:szCs w:val="14"/>
              </w:rPr>
            </w:pPr>
            <w:r w:rsidRPr="00932849">
              <w:rPr>
                <w:sz w:val="14"/>
                <w:szCs w:val="18"/>
              </w:rPr>
              <w:t>24 039</w:t>
            </w:r>
          </w:p>
        </w:tc>
        <w:tc>
          <w:tcPr>
            <w:tcW w:w="0" w:type="auto"/>
            <w:tcBorders>
              <w:top w:val="nil"/>
              <w:left w:val="nil"/>
              <w:bottom w:val="nil"/>
              <w:right w:val="nil"/>
            </w:tcBorders>
            <w:shd w:val="clear" w:color="auto" w:fill="F2F2F2" w:themeFill="background1" w:themeFillShade="F2"/>
          </w:tcPr>
          <w:p w14:paraId="2B3276A7" w14:textId="0441AFD6" w:rsidR="006B5E51" w:rsidRPr="00A50A37" w:rsidRDefault="007619B7" w:rsidP="006B5E51">
            <w:pPr>
              <w:pStyle w:val="MerknadTR"/>
              <w:spacing w:line="160" w:lineRule="exact"/>
              <w:jc w:val="right"/>
              <w:rPr>
                <w:sz w:val="14"/>
                <w:szCs w:val="14"/>
              </w:rPr>
            </w:pPr>
            <w:r w:rsidRPr="00A50A37">
              <w:rPr>
                <w:sz w:val="14"/>
                <w:szCs w:val="14"/>
              </w:rPr>
              <w:t>22 013</w:t>
            </w:r>
          </w:p>
        </w:tc>
      </w:tr>
      <w:tr w:rsidR="006B5E51" w:rsidRPr="006024A7" w14:paraId="5FDA0358" w14:textId="2AAE52D1" w:rsidTr="0041529F">
        <w:trPr>
          <w:trHeight w:hRule="exact" w:val="227"/>
        </w:trPr>
        <w:tc>
          <w:tcPr>
            <w:tcW w:w="0" w:type="auto"/>
            <w:tcBorders>
              <w:top w:val="nil"/>
              <w:left w:val="nil"/>
              <w:bottom w:val="nil"/>
              <w:right w:val="nil"/>
            </w:tcBorders>
            <w:shd w:val="clear" w:color="auto" w:fill="F2F2F2" w:themeFill="background1" w:themeFillShade="F2"/>
          </w:tcPr>
          <w:p w14:paraId="0744C528" w14:textId="77777777" w:rsidR="006B5E51" w:rsidRPr="006024A7" w:rsidRDefault="006B5E51" w:rsidP="006B5E51">
            <w:pPr>
              <w:pStyle w:val="MerknadTR"/>
              <w:spacing w:line="160" w:lineRule="exact"/>
              <w:rPr>
                <w:b/>
                <w:sz w:val="14"/>
                <w:szCs w:val="14"/>
              </w:rPr>
            </w:pPr>
            <w:r w:rsidRPr="006024A7">
              <w:rPr>
                <w:sz w:val="14"/>
                <w:szCs w:val="14"/>
              </w:rPr>
              <w:t xml:space="preserve">Studenter på korte programmer </w:t>
            </w:r>
          </w:p>
        </w:tc>
        <w:tc>
          <w:tcPr>
            <w:tcW w:w="0" w:type="auto"/>
            <w:tcBorders>
              <w:top w:val="nil"/>
              <w:left w:val="nil"/>
              <w:bottom w:val="nil"/>
              <w:right w:val="nil"/>
            </w:tcBorders>
            <w:shd w:val="clear" w:color="auto" w:fill="F2F2F2" w:themeFill="background1" w:themeFillShade="F2"/>
          </w:tcPr>
          <w:p w14:paraId="24067C04" w14:textId="7EBEFB0A" w:rsidR="00285B1F" w:rsidRDefault="00923A03" w:rsidP="006B5E51">
            <w:pPr>
              <w:pStyle w:val="MerknadTR"/>
              <w:spacing w:line="160" w:lineRule="exact"/>
              <w:jc w:val="right"/>
              <w:rPr>
                <w:sz w:val="14"/>
                <w:szCs w:val="14"/>
              </w:rPr>
            </w:pPr>
            <w:r>
              <w:rPr>
                <w:sz w:val="14"/>
                <w:szCs w:val="14"/>
              </w:rPr>
              <w:t>21</w:t>
            </w:r>
            <w:r w:rsidRPr="00F41A2F">
              <w:rPr>
                <w:sz w:val="14"/>
                <w:szCs w:val="14"/>
              </w:rPr>
              <w:t> </w:t>
            </w:r>
            <w:r>
              <w:rPr>
                <w:sz w:val="14"/>
                <w:szCs w:val="14"/>
              </w:rPr>
              <w:t>112</w:t>
            </w:r>
          </w:p>
        </w:tc>
        <w:tc>
          <w:tcPr>
            <w:tcW w:w="0" w:type="auto"/>
            <w:tcBorders>
              <w:top w:val="nil"/>
              <w:left w:val="nil"/>
              <w:bottom w:val="nil"/>
              <w:right w:val="nil"/>
            </w:tcBorders>
            <w:shd w:val="clear" w:color="auto" w:fill="F2F2F2" w:themeFill="background1" w:themeFillShade="F2"/>
          </w:tcPr>
          <w:p w14:paraId="290917C8" w14:textId="0C2AAA1E" w:rsidR="006B5E51" w:rsidRDefault="006B5E51" w:rsidP="006B5E51">
            <w:pPr>
              <w:pStyle w:val="MerknadTR"/>
              <w:spacing w:line="160" w:lineRule="exact"/>
              <w:jc w:val="right"/>
              <w:rPr>
                <w:sz w:val="14"/>
                <w:szCs w:val="14"/>
              </w:rPr>
            </w:pPr>
            <w:r>
              <w:rPr>
                <w:sz w:val="14"/>
                <w:szCs w:val="14"/>
              </w:rPr>
              <w:t>19 721</w:t>
            </w:r>
          </w:p>
        </w:tc>
        <w:tc>
          <w:tcPr>
            <w:tcW w:w="0" w:type="auto"/>
            <w:tcBorders>
              <w:top w:val="nil"/>
              <w:left w:val="nil"/>
              <w:bottom w:val="nil"/>
              <w:right w:val="nil"/>
            </w:tcBorders>
            <w:shd w:val="clear" w:color="auto" w:fill="F2F2F2" w:themeFill="background1" w:themeFillShade="F2"/>
          </w:tcPr>
          <w:p w14:paraId="2C321B38" w14:textId="12A4763E" w:rsidR="006B5E51" w:rsidRPr="006024A7" w:rsidRDefault="006B5E51" w:rsidP="006B5E51">
            <w:pPr>
              <w:pStyle w:val="MerknadTR"/>
              <w:spacing w:line="160" w:lineRule="exact"/>
              <w:jc w:val="right"/>
              <w:rPr>
                <w:sz w:val="14"/>
                <w:szCs w:val="14"/>
              </w:rPr>
            </w:pPr>
            <w:r>
              <w:rPr>
                <w:sz w:val="14"/>
                <w:szCs w:val="14"/>
              </w:rPr>
              <w:t>25 185</w:t>
            </w:r>
          </w:p>
        </w:tc>
        <w:tc>
          <w:tcPr>
            <w:tcW w:w="0" w:type="auto"/>
            <w:tcBorders>
              <w:top w:val="nil"/>
              <w:left w:val="nil"/>
              <w:bottom w:val="nil"/>
              <w:right w:val="nil"/>
            </w:tcBorders>
            <w:shd w:val="clear" w:color="auto" w:fill="F2F2F2" w:themeFill="background1" w:themeFillShade="F2"/>
          </w:tcPr>
          <w:p w14:paraId="7CABF589" w14:textId="5FD00651" w:rsidR="006B5E51" w:rsidRDefault="00386C1A" w:rsidP="006B5E51">
            <w:pPr>
              <w:pStyle w:val="MerknadTR"/>
              <w:spacing w:line="160" w:lineRule="exact"/>
              <w:jc w:val="right"/>
              <w:rPr>
                <w:sz w:val="14"/>
                <w:szCs w:val="14"/>
              </w:rPr>
            </w:pPr>
            <w:r>
              <w:rPr>
                <w:sz w:val="14"/>
                <w:szCs w:val="14"/>
              </w:rPr>
              <w:t>23 504</w:t>
            </w:r>
          </w:p>
        </w:tc>
      </w:tr>
      <w:tr w:rsidR="006B5E51" w:rsidRPr="006024A7" w14:paraId="69D9B27B" w14:textId="543417C4" w:rsidTr="0041529F">
        <w:trPr>
          <w:trHeight w:hRule="exact" w:val="227"/>
        </w:trPr>
        <w:tc>
          <w:tcPr>
            <w:tcW w:w="0" w:type="auto"/>
            <w:tcBorders>
              <w:top w:val="nil"/>
              <w:left w:val="nil"/>
              <w:bottom w:val="nil"/>
              <w:right w:val="nil"/>
            </w:tcBorders>
            <w:shd w:val="clear" w:color="auto" w:fill="F2F2F2" w:themeFill="background1" w:themeFillShade="F2"/>
          </w:tcPr>
          <w:p w14:paraId="49BF23BB" w14:textId="77777777" w:rsidR="006B5E51" w:rsidRPr="006024A7" w:rsidRDefault="006B5E51" w:rsidP="006B5E51">
            <w:pPr>
              <w:pStyle w:val="MerknadTR"/>
              <w:spacing w:line="160" w:lineRule="exact"/>
              <w:rPr>
                <w:sz w:val="14"/>
                <w:szCs w:val="14"/>
              </w:rPr>
            </w:pPr>
            <w:r w:rsidRPr="006024A7">
              <w:rPr>
                <w:sz w:val="14"/>
                <w:szCs w:val="14"/>
              </w:rPr>
              <w:t xml:space="preserve">Andre </w:t>
            </w:r>
          </w:p>
        </w:tc>
        <w:tc>
          <w:tcPr>
            <w:tcW w:w="0" w:type="auto"/>
            <w:tcBorders>
              <w:top w:val="nil"/>
              <w:left w:val="nil"/>
              <w:bottom w:val="nil"/>
              <w:right w:val="nil"/>
            </w:tcBorders>
            <w:shd w:val="clear" w:color="auto" w:fill="F2F2F2" w:themeFill="background1" w:themeFillShade="F2"/>
          </w:tcPr>
          <w:p w14:paraId="3425AC6B" w14:textId="7B6CD272" w:rsidR="00285B1F" w:rsidRDefault="003B6ACA" w:rsidP="006B5E51">
            <w:pPr>
              <w:pStyle w:val="MerknadTR"/>
              <w:spacing w:line="160" w:lineRule="exact"/>
              <w:jc w:val="right"/>
              <w:rPr>
                <w:sz w:val="14"/>
                <w:szCs w:val="14"/>
              </w:rPr>
            </w:pPr>
            <w:r>
              <w:rPr>
                <w:sz w:val="14"/>
                <w:szCs w:val="14"/>
              </w:rPr>
              <w:t>1</w:t>
            </w:r>
            <w:r w:rsidRPr="00F41A2F">
              <w:rPr>
                <w:sz w:val="14"/>
                <w:szCs w:val="14"/>
              </w:rPr>
              <w:t> </w:t>
            </w:r>
            <w:r>
              <w:rPr>
                <w:sz w:val="14"/>
                <w:szCs w:val="14"/>
              </w:rPr>
              <w:t>080</w:t>
            </w:r>
          </w:p>
        </w:tc>
        <w:tc>
          <w:tcPr>
            <w:tcW w:w="0" w:type="auto"/>
            <w:tcBorders>
              <w:top w:val="nil"/>
              <w:left w:val="nil"/>
              <w:bottom w:val="nil"/>
              <w:right w:val="nil"/>
            </w:tcBorders>
            <w:shd w:val="clear" w:color="auto" w:fill="F2F2F2" w:themeFill="background1" w:themeFillShade="F2"/>
          </w:tcPr>
          <w:p w14:paraId="6265A8DE" w14:textId="779747DA" w:rsidR="006B5E51" w:rsidRDefault="006B5E51" w:rsidP="006B5E51">
            <w:pPr>
              <w:pStyle w:val="MerknadTR"/>
              <w:spacing w:line="160" w:lineRule="exact"/>
              <w:jc w:val="right"/>
              <w:rPr>
                <w:sz w:val="14"/>
                <w:szCs w:val="14"/>
              </w:rPr>
            </w:pPr>
            <w:r>
              <w:rPr>
                <w:sz w:val="14"/>
                <w:szCs w:val="14"/>
              </w:rPr>
              <w:t>1 126</w:t>
            </w:r>
          </w:p>
        </w:tc>
        <w:tc>
          <w:tcPr>
            <w:tcW w:w="0" w:type="auto"/>
            <w:tcBorders>
              <w:top w:val="nil"/>
              <w:left w:val="nil"/>
              <w:bottom w:val="nil"/>
              <w:right w:val="nil"/>
            </w:tcBorders>
            <w:shd w:val="clear" w:color="auto" w:fill="F2F2F2" w:themeFill="background1" w:themeFillShade="F2"/>
          </w:tcPr>
          <w:p w14:paraId="2A494424" w14:textId="4A58EF1B" w:rsidR="006B5E51" w:rsidRPr="006024A7" w:rsidRDefault="006B5E51" w:rsidP="006B5E51">
            <w:pPr>
              <w:pStyle w:val="MerknadTR"/>
              <w:spacing w:line="160" w:lineRule="exact"/>
              <w:jc w:val="right"/>
              <w:rPr>
                <w:sz w:val="14"/>
                <w:szCs w:val="14"/>
              </w:rPr>
            </w:pPr>
            <w:r>
              <w:rPr>
                <w:sz w:val="14"/>
                <w:szCs w:val="14"/>
              </w:rPr>
              <w:t>1 142</w:t>
            </w:r>
          </w:p>
        </w:tc>
        <w:tc>
          <w:tcPr>
            <w:tcW w:w="0" w:type="auto"/>
            <w:tcBorders>
              <w:top w:val="nil"/>
              <w:left w:val="nil"/>
              <w:bottom w:val="nil"/>
              <w:right w:val="nil"/>
            </w:tcBorders>
            <w:shd w:val="clear" w:color="auto" w:fill="F2F2F2" w:themeFill="background1" w:themeFillShade="F2"/>
          </w:tcPr>
          <w:p w14:paraId="6D80935E" w14:textId="248A37E0" w:rsidR="006B5E51" w:rsidRDefault="00A213AF" w:rsidP="006B5E51">
            <w:pPr>
              <w:pStyle w:val="MerknadTR"/>
              <w:spacing w:line="160" w:lineRule="exact"/>
              <w:jc w:val="right"/>
              <w:rPr>
                <w:sz w:val="14"/>
                <w:szCs w:val="14"/>
              </w:rPr>
            </w:pPr>
            <w:r>
              <w:rPr>
                <w:sz w:val="14"/>
                <w:szCs w:val="14"/>
              </w:rPr>
              <w:t>1 020</w:t>
            </w:r>
          </w:p>
        </w:tc>
      </w:tr>
      <w:tr w:rsidR="006B5E51" w:rsidRPr="006024A7" w14:paraId="1913791B" w14:textId="58BDC5EF" w:rsidTr="0041529F">
        <w:trPr>
          <w:trHeight w:hRule="exact" w:val="227"/>
        </w:trPr>
        <w:tc>
          <w:tcPr>
            <w:tcW w:w="0" w:type="auto"/>
            <w:tcBorders>
              <w:top w:val="nil"/>
              <w:left w:val="nil"/>
              <w:bottom w:val="nil"/>
              <w:right w:val="nil"/>
            </w:tcBorders>
            <w:shd w:val="clear" w:color="auto" w:fill="F2F2F2" w:themeFill="background1" w:themeFillShade="F2"/>
          </w:tcPr>
          <w:p w14:paraId="5FA11763" w14:textId="77777777" w:rsidR="006B5E51" w:rsidRPr="006024A7" w:rsidRDefault="006B5E51" w:rsidP="006B5E51">
            <w:pPr>
              <w:pStyle w:val="MerknadTR"/>
              <w:spacing w:line="160" w:lineRule="exact"/>
              <w:rPr>
                <w:sz w:val="14"/>
                <w:szCs w:val="14"/>
              </w:rPr>
            </w:pPr>
            <w:r w:rsidRPr="006024A7">
              <w:rPr>
                <w:sz w:val="14"/>
                <w:szCs w:val="14"/>
              </w:rPr>
              <w:t xml:space="preserve">Innvandrere i høyere utdanning </w:t>
            </w:r>
          </w:p>
        </w:tc>
        <w:tc>
          <w:tcPr>
            <w:tcW w:w="0" w:type="auto"/>
            <w:tcBorders>
              <w:top w:val="nil"/>
              <w:left w:val="nil"/>
              <w:bottom w:val="nil"/>
              <w:right w:val="nil"/>
            </w:tcBorders>
            <w:shd w:val="clear" w:color="auto" w:fill="F2F2F2" w:themeFill="background1" w:themeFillShade="F2"/>
          </w:tcPr>
          <w:p w14:paraId="56B89AF1" w14:textId="1DF66FC7" w:rsidR="00285B1F" w:rsidRDefault="00EB3E10" w:rsidP="006B5E51">
            <w:pPr>
              <w:pStyle w:val="MerknadTR"/>
              <w:spacing w:line="160" w:lineRule="exact"/>
              <w:jc w:val="right"/>
              <w:rPr>
                <w:sz w:val="14"/>
                <w:szCs w:val="14"/>
              </w:rPr>
            </w:pPr>
            <w:r>
              <w:rPr>
                <w:sz w:val="14"/>
                <w:szCs w:val="14"/>
              </w:rPr>
              <w:t>30</w:t>
            </w:r>
            <w:r w:rsidR="00EB74E8" w:rsidRPr="00F41A2F">
              <w:rPr>
                <w:sz w:val="14"/>
                <w:szCs w:val="14"/>
              </w:rPr>
              <w:t> </w:t>
            </w:r>
            <w:r w:rsidR="00EB74E8">
              <w:rPr>
                <w:sz w:val="14"/>
                <w:szCs w:val="14"/>
              </w:rPr>
              <w:t>374</w:t>
            </w:r>
          </w:p>
        </w:tc>
        <w:tc>
          <w:tcPr>
            <w:tcW w:w="0" w:type="auto"/>
            <w:tcBorders>
              <w:top w:val="nil"/>
              <w:left w:val="nil"/>
              <w:bottom w:val="nil"/>
              <w:right w:val="nil"/>
            </w:tcBorders>
            <w:shd w:val="clear" w:color="auto" w:fill="F2F2F2" w:themeFill="background1" w:themeFillShade="F2"/>
          </w:tcPr>
          <w:p w14:paraId="2E3A844D" w14:textId="01AC6A90" w:rsidR="006B5E51" w:rsidRDefault="006B5E51" w:rsidP="006B5E51">
            <w:pPr>
              <w:pStyle w:val="MerknadTR"/>
              <w:spacing w:line="160" w:lineRule="exact"/>
              <w:jc w:val="right"/>
              <w:rPr>
                <w:sz w:val="14"/>
                <w:szCs w:val="14"/>
              </w:rPr>
            </w:pPr>
            <w:r>
              <w:rPr>
                <w:sz w:val="14"/>
                <w:szCs w:val="14"/>
              </w:rPr>
              <w:t>33 152</w:t>
            </w:r>
          </w:p>
        </w:tc>
        <w:tc>
          <w:tcPr>
            <w:tcW w:w="0" w:type="auto"/>
            <w:tcBorders>
              <w:top w:val="nil"/>
              <w:left w:val="nil"/>
              <w:bottom w:val="nil"/>
              <w:right w:val="nil"/>
            </w:tcBorders>
            <w:shd w:val="clear" w:color="auto" w:fill="F2F2F2" w:themeFill="background1" w:themeFillShade="F2"/>
          </w:tcPr>
          <w:p w14:paraId="420B10B9" w14:textId="50D9BCB1" w:rsidR="006B5E51" w:rsidRPr="006024A7" w:rsidRDefault="006B5E51" w:rsidP="006B5E51">
            <w:pPr>
              <w:pStyle w:val="MerknadTR"/>
              <w:spacing w:line="160" w:lineRule="exact"/>
              <w:jc w:val="right"/>
              <w:rPr>
                <w:sz w:val="14"/>
                <w:szCs w:val="14"/>
              </w:rPr>
            </w:pPr>
            <w:r>
              <w:rPr>
                <w:sz w:val="14"/>
                <w:szCs w:val="14"/>
              </w:rPr>
              <w:t>34 408</w:t>
            </w:r>
          </w:p>
        </w:tc>
        <w:tc>
          <w:tcPr>
            <w:tcW w:w="0" w:type="auto"/>
            <w:tcBorders>
              <w:top w:val="nil"/>
              <w:left w:val="nil"/>
              <w:bottom w:val="nil"/>
              <w:right w:val="nil"/>
            </w:tcBorders>
            <w:shd w:val="clear" w:color="auto" w:fill="F2F2F2" w:themeFill="background1" w:themeFillShade="F2"/>
          </w:tcPr>
          <w:p w14:paraId="035F501F" w14:textId="6655975A" w:rsidR="006B5E51" w:rsidRDefault="00210A46" w:rsidP="006B5E51">
            <w:pPr>
              <w:pStyle w:val="MerknadTR"/>
              <w:spacing w:line="160" w:lineRule="exact"/>
              <w:jc w:val="right"/>
              <w:rPr>
                <w:sz w:val="14"/>
                <w:szCs w:val="14"/>
              </w:rPr>
            </w:pPr>
            <w:r>
              <w:rPr>
                <w:sz w:val="14"/>
                <w:szCs w:val="14"/>
              </w:rPr>
              <w:t>34 879</w:t>
            </w:r>
          </w:p>
        </w:tc>
      </w:tr>
      <w:tr w:rsidR="006B5E51" w:rsidRPr="006024A7" w14:paraId="2EA97AF8" w14:textId="7725BD6C" w:rsidTr="0041529F">
        <w:trPr>
          <w:trHeight w:hRule="exact" w:val="227"/>
        </w:trPr>
        <w:tc>
          <w:tcPr>
            <w:tcW w:w="0" w:type="auto"/>
            <w:tcBorders>
              <w:top w:val="nil"/>
              <w:left w:val="nil"/>
              <w:bottom w:val="nil"/>
              <w:right w:val="nil"/>
            </w:tcBorders>
            <w:shd w:val="clear" w:color="auto" w:fill="F2F2F2" w:themeFill="background1" w:themeFillShade="F2"/>
          </w:tcPr>
          <w:p w14:paraId="1B19C333" w14:textId="26D6C134" w:rsidR="006B5E51" w:rsidRPr="006024A7" w:rsidRDefault="006B5E51" w:rsidP="006B5E51">
            <w:pPr>
              <w:pStyle w:val="MerknadTR"/>
              <w:spacing w:line="160" w:lineRule="exact"/>
              <w:rPr>
                <w:sz w:val="14"/>
                <w:szCs w:val="14"/>
              </w:rPr>
            </w:pPr>
            <w:r w:rsidRPr="006024A7">
              <w:rPr>
                <w:sz w:val="14"/>
                <w:szCs w:val="14"/>
              </w:rPr>
              <w:t>Andel studenter på fleksible utdanningstilbud</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0EACF97A" w14:textId="68C7D7E8" w:rsidR="00285B1F" w:rsidRDefault="00503D8C" w:rsidP="006B5E51">
            <w:pPr>
              <w:pStyle w:val="MerknadTR"/>
              <w:spacing w:line="160" w:lineRule="exact"/>
              <w:jc w:val="right"/>
              <w:rPr>
                <w:sz w:val="14"/>
                <w:szCs w:val="14"/>
              </w:rPr>
            </w:pPr>
            <w:r>
              <w:rPr>
                <w:sz w:val="14"/>
                <w:szCs w:val="14"/>
              </w:rPr>
              <w:t>8,7</w:t>
            </w:r>
          </w:p>
        </w:tc>
        <w:tc>
          <w:tcPr>
            <w:tcW w:w="0" w:type="auto"/>
            <w:tcBorders>
              <w:top w:val="nil"/>
              <w:left w:val="nil"/>
              <w:bottom w:val="nil"/>
              <w:right w:val="nil"/>
            </w:tcBorders>
            <w:shd w:val="clear" w:color="auto" w:fill="F2F2F2" w:themeFill="background1" w:themeFillShade="F2"/>
          </w:tcPr>
          <w:p w14:paraId="2489598A" w14:textId="4E80CD3C" w:rsidR="006B5E51" w:rsidRDefault="006B5E51" w:rsidP="006B5E51">
            <w:pPr>
              <w:pStyle w:val="MerknadTR"/>
              <w:spacing w:line="160" w:lineRule="exact"/>
              <w:jc w:val="right"/>
              <w:rPr>
                <w:sz w:val="14"/>
                <w:szCs w:val="14"/>
              </w:rPr>
            </w:pPr>
            <w:r>
              <w:rPr>
                <w:sz w:val="14"/>
                <w:szCs w:val="14"/>
              </w:rPr>
              <w:t>10,1</w:t>
            </w:r>
          </w:p>
        </w:tc>
        <w:tc>
          <w:tcPr>
            <w:tcW w:w="0" w:type="auto"/>
            <w:tcBorders>
              <w:top w:val="nil"/>
              <w:left w:val="nil"/>
              <w:bottom w:val="nil"/>
              <w:right w:val="nil"/>
            </w:tcBorders>
            <w:shd w:val="clear" w:color="auto" w:fill="F2F2F2" w:themeFill="background1" w:themeFillShade="F2"/>
          </w:tcPr>
          <w:p w14:paraId="46622C75" w14:textId="4C28C2FE" w:rsidR="006B5E51" w:rsidRPr="006024A7" w:rsidRDefault="006B5E51" w:rsidP="006B5E51">
            <w:pPr>
              <w:pStyle w:val="MerknadTR"/>
              <w:spacing w:line="160" w:lineRule="exact"/>
              <w:jc w:val="right"/>
              <w:rPr>
                <w:sz w:val="14"/>
                <w:szCs w:val="14"/>
              </w:rPr>
            </w:pPr>
            <w:r>
              <w:rPr>
                <w:sz w:val="14"/>
                <w:szCs w:val="14"/>
              </w:rPr>
              <w:t>10,7</w:t>
            </w:r>
          </w:p>
        </w:tc>
        <w:tc>
          <w:tcPr>
            <w:tcW w:w="0" w:type="auto"/>
            <w:tcBorders>
              <w:top w:val="nil"/>
              <w:left w:val="nil"/>
              <w:bottom w:val="nil"/>
              <w:right w:val="nil"/>
            </w:tcBorders>
            <w:shd w:val="clear" w:color="auto" w:fill="F2F2F2" w:themeFill="background1" w:themeFillShade="F2"/>
          </w:tcPr>
          <w:p w14:paraId="7DE0D5F6" w14:textId="3B90AD33" w:rsidR="006B5E51" w:rsidRDefault="001D61D9" w:rsidP="006B5E51">
            <w:pPr>
              <w:pStyle w:val="MerknadTR"/>
              <w:spacing w:line="160" w:lineRule="exact"/>
              <w:jc w:val="right"/>
              <w:rPr>
                <w:sz w:val="14"/>
                <w:szCs w:val="14"/>
              </w:rPr>
            </w:pPr>
            <w:r>
              <w:rPr>
                <w:sz w:val="14"/>
                <w:szCs w:val="14"/>
              </w:rPr>
              <w:t>10,4</w:t>
            </w:r>
          </w:p>
        </w:tc>
      </w:tr>
      <w:tr w:rsidR="006B5E51" w:rsidRPr="006024A7" w14:paraId="584CB309" w14:textId="08B252C1" w:rsidTr="0041529F">
        <w:trPr>
          <w:trHeight w:hRule="exact" w:val="227"/>
        </w:trPr>
        <w:tc>
          <w:tcPr>
            <w:tcW w:w="0" w:type="auto"/>
            <w:tcBorders>
              <w:top w:val="nil"/>
              <w:left w:val="nil"/>
              <w:bottom w:val="nil"/>
              <w:right w:val="nil"/>
            </w:tcBorders>
            <w:shd w:val="clear" w:color="auto" w:fill="F2F2F2" w:themeFill="background1" w:themeFillShade="F2"/>
          </w:tcPr>
          <w:p w14:paraId="36DF521D"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665DC21"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6292BED"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05DEA18" w14:textId="7440D49B"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C1D5941" w14:textId="77777777" w:rsidR="006B5E51" w:rsidRPr="006024A7" w:rsidRDefault="006B5E51" w:rsidP="006B5E51">
            <w:pPr>
              <w:pStyle w:val="MerknadTR"/>
              <w:spacing w:line="160" w:lineRule="exact"/>
              <w:jc w:val="right"/>
              <w:rPr>
                <w:sz w:val="14"/>
                <w:szCs w:val="14"/>
              </w:rPr>
            </w:pPr>
          </w:p>
        </w:tc>
      </w:tr>
      <w:tr w:rsidR="006B5E51" w:rsidRPr="006024A7" w14:paraId="652C2229" w14:textId="49B6F759" w:rsidTr="0041529F">
        <w:trPr>
          <w:trHeight w:hRule="exact" w:val="227"/>
        </w:trPr>
        <w:tc>
          <w:tcPr>
            <w:tcW w:w="0" w:type="auto"/>
            <w:tcBorders>
              <w:top w:val="nil"/>
              <w:left w:val="nil"/>
              <w:bottom w:val="nil"/>
              <w:right w:val="nil"/>
            </w:tcBorders>
            <w:shd w:val="clear" w:color="auto" w:fill="F2F2F2" w:themeFill="background1" w:themeFillShade="F2"/>
          </w:tcPr>
          <w:p w14:paraId="617E45A9" w14:textId="54581175" w:rsidR="006B5E51" w:rsidRPr="006024A7" w:rsidRDefault="006B5E51" w:rsidP="006B5E51">
            <w:pPr>
              <w:pStyle w:val="MerknadTR"/>
              <w:spacing w:line="160" w:lineRule="exact"/>
              <w:rPr>
                <w:sz w:val="14"/>
                <w:szCs w:val="14"/>
              </w:rPr>
            </w:pPr>
            <w:r w:rsidRPr="006024A7">
              <w:rPr>
                <w:b/>
                <w:sz w:val="14"/>
                <w:szCs w:val="14"/>
              </w:rPr>
              <w:t>Gjennomstrømming</w:t>
            </w:r>
          </w:p>
        </w:tc>
        <w:tc>
          <w:tcPr>
            <w:tcW w:w="0" w:type="auto"/>
            <w:tcBorders>
              <w:top w:val="nil"/>
              <w:left w:val="nil"/>
              <w:bottom w:val="nil"/>
              <w:right w:val="nil"/>
            </w:tcBorders>
            <w:shd w:val="clear" w:color="auto" w:fill="F2F2F2" w:themeFill="background1" w:themeFillShade="F2"/>
          </w:tcPr>
          <w:p w14:paraId="0912AF5D"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FC92362"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4434A72" w14:textId="442663A2"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B3BDD8A" w14:textId="77777777" w:rsidR="006B5E51" w:rsidRDefault="006B5E51" w:rsidP="006B5E51">
            <w:pPr>
              <w:pStyle w:val="MerknadTR"/>
              <w:spacing w:line="160" w:lineRule="exact"/>
              <w:jc w:val="right"/>
              <w:rPr>
                <w:sz w:val="14"/>
                <w:szCs w:val="14"/>
              </w:rPr>
            </w:pPr>
          </w:p>
        </w:tc>
      </w:tr>
      <w:tr w:rsidR="006B5E51" w:rsidRPr="006024A7" w14:paraId="65A90427" w14:textId="6B162E8E" w:rsidTr="0041529F">
        <w:trPr>
          <w:trHeight w:hRule="exact" w:val="227"/>
        </w:trPr>
        <w:tc>
          <w:tcPr>
            <w:tcW w:w="0" w:type="auto"/>
            <w:tcBorders>
              <w:top w:val="nil"/>
              <w:left w:val="nil"/>
              <w:bottom w:val="nil"/>
              <w:right w:val="nil"/>
            </w:tcBorders>
            <w:shd w:val="clear" w:color="auto" w:fill="F2F2F2" w:themeFill="background1" w:themeFillShade="F2"/>
          </w:tcPr>
          <w:p w14:paraId="6C7CAB8C" w14:textId="77777777" w:rsidR="006B5E51" w:rsidRPr="006024A7" w:rsidRDefault="006B5E51" w:rsidP="006B5E51">
            <w:pPr>
              <w:pStyle w:val="MerknadTR"/>
              <w:spacing w:line="160" w:lineRule="exact"/>
              <w:rPr>
                <w:b/>
                <w:sz w:val="14"/>
                <w:szCs w:val="14"/>
              </w:rPr>
            </w:pPr>
            <w:r w:rsidRPr="006024A7">
              <w:rPr>
                <w:sz w:val="14"/>
                <w:szCs w:val="14"/>
              </w:rPr>
              <w:t xml:space="preserve">Nye studiepoeng per heltidsstudent </w:t>
            </w:r>
          </w:p>
        </w:tc>
        <w:tc>
          <w:tcPr>
            <w:tcW w:w="0" w:type="auto"/>
            <w:tcBorders>
              <w:top w:val="nil"/>
              <w:left w:val="nil"/>
              <w:bottom w:val="nil"/>
              <w:right w:val="nil"/>
            </w:tcBorders>
            <w:shd w:val="clear" w:color="auto" w:fill="F2F2F2" w:themeFill="background1" w:themeFillShade="F2"/>
          </w:tcPr>
          <w:p w14:paraId="6E0C0693" w14:textId="259E14FA" w:rsidR="00285B1F" w:rsidRDefault="0052007E" w:rsidP="006B5E51">
            <w:pPr>
              <w:pStyle w:val="MerknadTR"/>
              <w:spacing w:line="160" w:lineRule="exact"/>
              <w:jc w:val="right"/>
              <w:rPr>
                <w:sz w:val="14"/>
                <w:szCs w:val="14"/>
              </w:rPr>
            </w:pPr>
            <w:r>
              <w:rPr>
                <w:sz w:val="14"/>
                <w:szCs w:val="14"/>
              </w:rPr>
              <w:t>46,1</w:t>
            </w:r>
          </w:p>
        </w:tc>
        <w:tc>
          <w:tcPr>
            <w:tcW w:w="0" w:type="auto"/>
            <w:tcBorders>
              <w:top w:val="nil"/>
              <w:left w:val="nil"/>
              <w:bottom w:val="nil"/>
              <w:right w:val="nil"/>
            </w:tcBorders>
            <w:shd w:val="clear" w:color="auto" w:fill="F2F2F2" w:themeFill="background1" w:themeFillShade="F2"/>
          </w:tcPr>
          <w:p w14:paraId="5CAC1AC3" w14:textId="3E4E561C" w:rsidR="006B5E51" w:rsidRDefault="006B5E51" w:rsidP="006B5E51">
            <w:pPr>
              <w:pStyle w:val="MerknadTR"/>
              <w:spacing w:line="160" w:lineRule="exact"/>
              <w:jc w:val="right"/>
              <w:rPr>
                <w:sz w:val="14"/>
                <w:szCs w:val="14"/>
              </w:rPr>
            </w:pPr>
            <w:r>
              <w:rPr>
                <w:sz w:val="14"/>
                <w:szCs w:val="14"/>
              </w:rPr>
              <w:t>47,2</w:t>
            </w:r>
          </w:p>
        </w:tc>
        <w:tc>
          <w:tcPr>
            <w:tcW w:w="0" w:type="auto"/>
            <w:tcBorders>
              <w:top w:val="nil"/>
              <w:left w:val="nil"/>
              <w:bottom w:val="nil"/>
              <w:right w:val="nil"/>
            </w:tcBorders>
            <w:shd w:val="clear" w:color="auto" w:fill="F2F2F2" w:themeFill="background1" w:themeFillShade="F2"/>
          </w:tcPr>
          <w:p w14:paraId="05CE18B8" w14:textId="52CD6B4E" w:rsidR="006B5E51" w:rsidRPr="006024A7" w:rsidRDefault="006B5E51" w:rsidP="006B5E51">
            <w:pPr>
              <w:pStyle w:val="MerknadTR"/>
              <w:spacing w:line="160" w:lineRule="exact"/>
              <w:jc w:val="right"/>
              <w:rPr>
                <w:sz w:val="14"/>
                <w:szCs w:val="14"/>
              </w:rPr>
            </w:pPr>
            <w:r>
              <w:rPr>
                <w:sz w:val="14"/>
                <w:szCs w:val="14"/>
              </w:rPr>
              <w:t>46,9</w:t>
            </w:r>
          </w:p>
        </w:tc>
        <w:tc>
          <w:tcPr>
            <w:tcW w:w="0" w:type="auto"/>
            <w:tcBorders>
              <w:top w:val="nil"/>
              <w:left w:val="nil"/>
              <w:bottom w:val="nil"/>
              <w:right w:val="nil"/>
            </w:tcBorders>
            <w:shd w:val="clear" w:color="auto" w:fill="F2F2F2" w:themeFill="background1" w:themeFillShade="F2"/>
          </w:tcPr>
          <w:p w14:paraId="4D04E476" w14:textId="3153E783" w:rsidR="006B5E51" w:rsidRDefault="001D4585" w:rsidP="006B5E51">
            <w:pPr>
              <w:pStyle w:val="MerknadTR"/>
              <w:spacing w:line="160" w:lineRule="exact"/>
              <w:jc w:val="right"/>
              <w:rPr>
                <w:sz w:val="14"/>
                <w:szCs w:val="14"/>
              </w:rPr>
            </w:pPr>
            <w:r>
              <w:rPr>
                <w:sz w:val="14"/>
                <w:szCs w:val="14"/>
              </w:rPr>
              <w:t>46,7</w:t>
            </w:r>
          </w:p>
        </w:tc>
      </w:tr>
      <w:tr w:rsidR="006B5E51" w:rsidRPr="006024A7" w14:paraId="2CA8B5C4" w14:textId="768E85E6" w:rsidTr="0041529F">
        <w:trPr>
          <w:trHeight w:hRule="exact" w:val="227"/>
        </w:trPr>
        <w:tc>
          <w:tcPr>
            <w:tcW w:w="0" w:type="auto"/>
            <w:tcBorders>
              <w:top w:val="nil"/>
              <w:left w:val="nil"/>
              <w:bottom w:val="nil"/>
              <w:right w:val="nil"/>
            </w:tcBorders>
            <w:shd w:val="clear" w:color="auto" w:fill="F2F2F2" w:themeFill="background1" w:themeFillShade="F2"/>
          </w:tcPr>
          <w:p w14:paraId="20113153" w14:textId="57F853E7" w:rsidR="006B5E51" w:rsidRPr="006024A7" w:rsidRDefault="006B5E51" w:rsidP="006B5E51">
            <w:pPr>
              <w:pStyle w:val="MerknadTR"/>
              <w:spacing w:line="160" w:lineRule="exact"/>
              <w:rPr>
                <w:sz w:val="14"/>
                <w:szCs w:val="14"/>
              </w:rPr>
            </w:pPr>
            <w:r w:rsidRPr="006024A7">
              <w:rPr>
                <w:sz w:val="14"/>
                <w:szCs w:val="14"/>
              </w:rPr>
              <w:t>Gjennomføring iht. utdanningsplan</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6859D371" w14:textId="293AD2F4" w:rsidR="00285B1F" w:rsidRDefault="0065679F" w:rsidP="006B5E51">
            <w:pPr>
              <w:pStyle w:val="MerknadTR"/>
              <w:spacing w:line="160" w:lineRule="exact"/>
              <w:jc w:val="right"/>
              <w:rPr>
                <w:sz w:val="14"/>
                <w:szCs w:val="14"/>
              </w:rPr>
            </w:pPr>
            <w:r>
              <w:rPr>
                <w:sz w:val="14"/>
                <w:szCs w:val="14"/>
              </w:rPr>
              <w:t>86,7</w:t>
            </w:r>
          </w:p>
        </w:tc>
        <w:tc>
          <w:tcPr>
            <w:tcW w:w="0" w:type="auto"/>
            <w:tcBorders>
              <w:top w:val="nil"/>
              <w:left w:val="nil"/>
              <w:bottom w:val="nil"/>
              <w:right w:val="nil"/>
            </w:tcBorders>
            <w:shd w:val="clear" w:color="auto" w:fill="F2F2F2" w:themeFill="background1" w:themeFillShade="F2"/>
          </w:tcPr>
          <w:p w14:paraId="0BA50B35" w14:textId="5E4A3C73" w:rsidR="006B5E51" w:rsidRDefault="006B5E51" w:rsidP="006B5E51">
            <w:pPr>
              <w:pStyle w:val="MerknadTR"/>
              <w:spacing w:line="160" w:lineRule="exact"/>
              <w:jc w:val="right"/>
              <w:rPr>
                <w:sz w:val="14"/>
                <w:szCs w:val="14"/>
              </w:rPr>
            </w:pPr>
            <w:r>
              <w:rPr>
                <w:sz w:val="14"/>
                <w:szCs w:val="14"/>
              </w:rPr>
              <w:t>88,3</w:t>
            </w:r>
          </w:p>
        </w:tc>
        <w:tc>
          <w:tcPr>
            <w:tcW w:w="0" w:type="auto"/>
            <w:tcBorders>
              <w:top w:val="nil"/>
              <w:left w:val="nil"/>
              <w:bottom w:val="nil"/>
              <w:right w:val="nil"/>
            </w:tcBorders>
            <w:shd w:val="clear" w:color="auto" w:fill="F2F2F2" w:themeFill="background1" w:themeFillShade="F2"/>
          </w:tcPr>
          <w:p w14:paraId="4E9DF8DF" w14:textId="2D9A71CB" w:rsidR="006B5E51" w:rsidRPr="006024A7" w:rsidRDefault="006B5E51" w:rsidP="006B5E51">
            <w:pPr>
              <w:pStyle w:val="MerknadTR"/>
              <w:spacing w:line="160" w:lineRule="exact"/>
              <w:jc w:val="right"/>
              <w:rPr>
                <w:sz w:val="14"/>
                <w:szCs w:val="14"/>
              </w:rPr>
            </w:pPr>
            <w:r>
              <w:rPr>
                <w:sz w:val="14"/>
                <w:szCs w:val="14"/>
              </w:rPr>
              <w:t>86,9</w:t>
            </w:r>
          </w:p>
        </w:tc>
        <w:tc>
          <w:tcPr>
            <w:tcW w:w="0" w:type="auto"/>
            <w:tcBorders>
              <w:top w:val="nil"/>
              <w:left w:val="nil"/>
              <w:bottom w:val="nil"/>
              <w:right w:val="nil"/>
            </w:tcBorders>
            <w:shd w:val="clear" w:color="auto" w:fill="F2F2F2" w:themeFill="background1" w:themeFillShade="F2"/>
          </w:tcPr>
          <w:p w14:paraId="54B3BC18" w14:textId="05735E92" w:rsidR="006B5E51" w:rsidRDefault="00C015E0" w:rsidP="006B5E51">
            <w:pPr>
              <w:pStyle w:val="MerknadTR"/>
              <w:spacing w:line="160" w:lineRule="exact"/>
              <w:jc w:val="right"/>
              <w:rPr>
                <w:sz w:val="14"/>
                <w:szCs w:val="14"/>
              </w:rPr>
            </w:pPr>
            <w:r>
              <w:rPr>
                <w:sz w:val="14"/>
                <w:szCs w:val="14"/>
              </w:rPr>
              <w:t>86,3</w:t>
            </w:r>
          </w:p>
        </w:tc>
      </w:tr>
      <w:tr w:rsidR="006B5E51" w:rsidRPr="006024A7" w14:paraId="2339401B" w14:textId="319998E7" w:rsidTr="0041529F">
        <w:trPr>
          <w:trHeight w:hRule="exact" w:val="227"/>
        </w:trPr>
        <w:tc>
          <w:tcPr>
            <w:tcW w:w="0" w:type="auto"/>
            <w:tcBorders>
              <w:top w:val="nil"/>
              <w:left w:val="nil"/>
              <w:bottom w:val="nil"/>
              <w:right w:val="nil"/>
            </w:tcBorders>
            <w:shd w:val="clear" w:color="auto" w:fill="F2F2F2" w:themeFill="background1" w:themeFillShade="F2"/>
          </w:tcPr>
          <w:p w14:paraId="5F51E8F5" w14:textId="226779F7" w:rsidR="006B5E51" w:rsidRPr="006024A7" w:rsidRDefault="006B5E51" w:rsidP="006B5E51">
            <w:pPr>
              <w:pStyle w:val="MerknadTR"/>
              <w:spacing w:line="160" w:lineRule="exact"/>
              <w:rPr>
                <w:sz w:val="14"/>
                <w:szCs w:val="14"/>
              </w:rPr>
            </w:pPr>
            <w:r w:rsidRPr="006024A7">
              <w:rPr>
                <w:sz w:val="14"/>
                <w:szCs w:val="14"/>
              </w:rPr>
              <w:t xml:space="preserve">Mastergradsstudenter </w:t>
            </w:r>
            <w:proofErr w:type="spellStart"/>
            <w:proofErr w:type="gramStart"/>
            <w:r w:rsidRPr="006024A7">
              <w:rPr>
                <w:sz w:val="14"/>
                <w:szCs w:val="14"/>
              </w:rPr>
              <w:t>gj.ført</w:t>
            </w:r>
            <w:proofErr w:type="spellEnd"/>
            <w:proofErr w:type="gramEnd"/>
            <w:r w:rsidRPr="006024A7">
              <w:rPr>
                <w:sz w:val="14"/>
                <w:szCs w:val="14"/>
              </w:rPr>
              <w:t xml:space="preserve"> på normert tid</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32C583CF" w14:textId="069299F3" w:rsidR="00285B1F" w:rsidRDefault="0065679F" w:rsidP="006B5E51">
            <w:pPr>
              <w:pStyle w:val="MerknadTR"/>
              <w:spacing w:line="160" w:lineRule="exact"/>
              <w:jc w:val="right"/>
              <w:rPr>
                <w:sz w:val="14"/>
                <w:szCs w:val="14"/>
              </w:rPr>
            </w:pPr>
            <w:r>
              <w:rPr>
                <w:sz w:val="14"/>
                <w:szCs w:val="14"/>
              </w:rPr>
              <w:t>55,7</w:t>
            </w:r>
          </w:p>
        </w:tc>
        <w:tc>
          <w:tcPr>
            <w:tcW w:w="0" w:type="auto"/>
            <w:tcBorders>
              <w:top w:val="nil"/>
              <w:left w:val="nil"/>
              <w:bottom w:val="nil"/>
              <w:right w:val="nil"/>
            </w:tcBorders>
            <w:shd w:val="clear" w:color="auto" w:fill="F2F2F2" w:themeFill="background1" w:themeFillShade="F2"/>
          </w:tcPr>
          <w:p w14:paraId="58F6973A" w14:textId="60FDDE2B" w:rsidR="006B5E51" w:rsidRDefault="006B5E51" w:rsidP="006B5E51">
            <w:pPr>
              <w:pStyle w:val="MerknadTR"/>
              <w:spacing w:line="160" w:lineRule="exact"/>
              <w:jc w:val="right"/>
              <w:rPr>
                <w:sz w:val="14"/>
                <w:szCs w:val="14"/>
              </w:rPr>
            </w:pPr>
            <w:r>
              <w:rPr>
                <w:sz w:val="14"/>
                <w:szCs w:val="14"/>
              </w:rPr>
              <w:t>53,9</w:t>
            </w:r>
          </w:p>
        </w:tc>
        <w:tc>
          <w:tcPr>
            <w:tcW w:w="0" w:type="auto"/>
            <w:tcBorders>
              <w:top w:val="nil"/>
              <w:left w:val="nil"/>
              <w:bottom w:val="nil"/>
              <w:right w:val="nil"/>
            </w:tcBorders>
            <w:shd w:val="clear" w:color="auto" w:fill="F2F2F2" w:themeFill="background1" w:themeFillShade="F2"/>
          </w:tcPr>
          <w:p w14:paraId="6462E727" w14:textId="190C4626" w:rsidR="006B5E51" w:rsidRPr="006024A7" w:rsidRDefault="006B5E51" w:rsidP="006B5E51">
            <w:pPr>
              <w:pStyle w:val="MerknadTR"/>
              <w:spacing w:line="160" w:lineRule="exact"/>
              <w:jc w:val="right"/>
              <w:rPr>
                <w:sz w:val="14"/>
                <w:szCs w:val="14"/>
              </w:rPr>
            </w:pPr>
            <w:r>
              <w:rPr>
                <w:sz w:val="14"/>
                <w:szCs w:val="14"/>
              </w:rPr>
              <w:t>57,1</w:t>
            </w:r>
          </w:p>
        </w:tc>
        <w:tc>
          <w:tcPr>
            <w:tcW w:w="0" w:type="auto"/>
            <w:tcBorders>
              <w:top w:val="nil"/>
              <w:left w:val="nil"/>
              <w:bottom w:val="nil"/>
              <w:right w:val="nil"/>
            </w:tcBorders>
            <w:shd w:val="clear" w:color="auto" w:fill="F2F2F2" w:themeFill="background1" w:themeFillShade="F2"/>
          </w:tcPr>
          <w:p w14:paraId="6C8BB620" w14:textId="3FBCC4DB" w:rsidR="006B5E51" w:rsidRDefault="00285B1F" w:rsidP="006B5E51">
            <w:pPr>
              <w:pStyle w:val="MerknadTR"/>
              <w:spacing w:line="160" w:lineRule="exact"/>
              <w:jc w:val="right"/>
              <w:rPr>
                <w:sz w:val="14"/>
                <w:szCs w:val="14"/>
              </w:rPr>
            </w:pPr>
            <w:r>
              <w:rPr>
                <w:sz w:val="14"/>
                <w:szCs w:val="14"/>
              </w:rPr>
              <w:t>5</w:t>
            </w:r>
            <w:r w:rsidR="00FB5AE5">
              <w:rPr>
                <w:sz w:val="14"/>
                <w:szCs w:val="14"/>
              </w:rPr>
              <w:t>6</w:t>
            </w:r>
            <w:r>
              <w:rPr>
                <w:sz w:val="14"/>
                <w:szCs w:val="14"/>
              </w:rPr>
              <w:t>,</w:t>
            </w:r>
            <w:r w:rsidR="00FB5AE5">
              <w:rPr>
                <w:sz w:val="14"/>
                <w:szCs w:val="14"/>
              </w:rPr>
              <w:t>0</w:t>
            </w:r>
          </w:p>
        </w:tc>
      </w:tr>
      <w:tr w:rsidR="006B5E51" w:rsidRPr="006024A7" w14:paraId="49CE1E2B" w14:textId="2376BB7F" w:rsidTr="0041529F">
        <w:trPr>
          <w:trHeight w:hRule="exact" w:val="227"/>
        </w:trPr>
        <w:tc>
          <w:tcPr>
            <w:tcW w:w="0" w:type="auto"/>
            <w:tcBorders>
              <w:top w:val="nil"/>
              <w:left w:val="nil"/>
              <w:bottom w:val="nil"/>
              <w:right w:val="nil"/>
            </w:tcBorders>
            <w:shd w:val="clear" w:color="auto" w:fill="F2F2F2" w:themeFill="background1" w:themeFillShade="F2"/>
          </w:tcPr>
          <w:p w14:paraId="665D12D7" w14:textId="48A09BB2" w:rsidR="006B5E51" w:rsidRPr="006024A7" w:rsidRDefault="006B5E51" w:rsidP="006B5E51">
            <w:pPr>
              <w:pStyle w:val="MerknadTR"/>
              <w:spacing w:line="160" w:lineRule="exact"/>
              <w:rPr>
                <w:sz w:val="14"/>
                <w:szCs w:val="14"/>
              </w:rPr>
            </w:pPr>
            <w:r w:rsidRPr="006024A7">
              <w:rPr>
                <w:sz w:val="14"/>
                <w:szCs w:val="14"/>
              </w:rPr>
              <w:t xml:space="preserve">Bachelorgradsstudenter </w:t>
            </w:r>
            <w:proofErr w:type="spellStart"/>
            <w:proofErr w:type="gramStart"/>
            <w:r w:rsidRPr="006024A7">
              <w:rPr>
                <w:sz w:val="14"/>
                <w:szCs w:val="14"/>
              </w:rPr>
              <w:t>gj.ført</w:t>
            </w:r>
            <w:proofErr w:type="spellEnd"/>
            <w:proofErr w:type="gramEnd"/>
            <w:r w:rsidRPr="006024A7">
              <w:rPr>
                <w:sz w:val="14"/>
                <w:szCs w:val="14"/>
              </w:rPr>
              <w:t xml:space="preserve"> på normert tid</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6F347CA6" w14:textId="48577F93" w:rsidR="00285B1F" w:rsidRDefault="00F808E3" w:rsidP="006B5E51">
            <w:pPr>
              <w:pStyle w:val="MerknadTR"/>
              <w:spacing w:line="160" w:lineRule="exact"/>
              <w:jc w:val="right"/>
              <w:rPr>
                <w:sz w:val="14"/>
                <w:szCs w:val="14"/>
              </w:rPr>
            </w:pPr>
            <w:r>
              <w:rPr>
                <w:sz w:val="14"/>
                <w:szCs w:val="14"/>
              </w:rPr>
              <w:t>49,8</w:t>
            </w:r>
          </w:p>
        </w:tc>
        <w:tc>
          <w:tcPr>
            <w:tcW w:w="0" w:type="auto"/>
            <w:tcBorders>
              <w:top w:val="nil"/>
              <w:left w:val="nil"/>
              <w:bottom w:val="nil"/>
              <w:right w:val="nil"/>
            </w:tcBorders>
            <w:shd w:val="clear" w:color="auto" w:fill="F2F2F2" w:themeFill="background1" w:themeFillShade="F2"/>
          </w:tcPr>
          <w:p w14:paraId="4CACF783" w14:textId="06410206" w:rsidR="006B5E51" w:rsidRDefault="006B5E51" w:rsidP="006B5E51">
            <w:pPr>
              <w:pStyle w:val="MerknadTR"/>
              <w:spacing w:line="160" w:lineRule="exact"/>
              <w:jc w:val="right"/>
              <w:rPr>
                <w:sz w:val="14"/>
                <w:szCs w:val="14"/>
              </w:rPr>
            </w:pPr>
            <w:r>
              <w:rPr>
                <w:sz w:val="14"/>
                <w:szCs w:val="14"/>
              </w:rPr>
              <w:t>51,7</w:t>
            </w:r>
          </w:p>
        </w:tc>
        <w:tc>
          <w:tcPr>
            <w:tcW w:w="0" w:type="auto"/>
            <w:tcBorders>
              <w:top w:val="nil"/>
              <w:left w:val="nil"/>
              <w:bottom w:val="nil"/>
              <w:right w:val="nil"/>
            </w:tcBorders>
            <w:shd w:val="clear" w:color="auto" w:fill="F2F2F2" w:themeFill="background1" w:themeFillShade="F2"/>
          </w:tcPr>
          <w:p w14:paraId="1BA8A371" w14:textId="06EBEBA3" w:rsidR="006B5E51" w:rsidRPr="006024A7" w:rsidRDefault="006B5E51" w:rsidP="006B5E51">
            <w:pPr>
              <w:pStyle w:val="MerknadTR"/>
              <w:spacing w:line="160" w:lineRule="exact"/>
              <w:jc w:val="right"/>
              <w:rPr>
                <w:sz w:val="14"/>
                <w:szCs w:val="14"/>
              </w:rPr>
            </w:pPr>
            <w:r>
              <w:rPr>
                <w:sz w:val="14"/>
                <w:szCs w:val="14"/>
              </w:rPr>
              <w:t>54,7</w:t>
            </w:r>
          </w:p>
        </w:tc>
        <w:tc>
          <w:tcPr>
            <w:tcW w:w="0" w:type="auto"/>
            <w:tcBorders>
              <w:top w:val="nil"/>
              <w:left w:val="nil"/>
              <w:bottom w:val="nil"/>
              <w:right w:val="nil"/>
            </w:tcBorders>
            <w:shd w:val="clear" w:color="auto" w:fill="F2F2F2" w:themeFill="background1" w:themeFillShade="F2"/>
          </w:tcPr>
          <w:p w14:paraId="1D03C657" w14:textId="4B08BBA7" w:rsidR="006B5E51" w:rsidRDefault="00285B1F" w:rsidP="006B5E51">
            <w:pPr>
              <w:pStyle w:val="MerknadTR"/>
              <w:spacing w:line="160" w:lineRule="exact"/>
              <w:jc w:val="right"/>
              <w:rPr>
                <w:sz w:val="14"/>
                <w:szCs w:val="14"/>
              </w:rPr>
            </w:pPr>
            <w:r>
              <w:rPr>
                <w:sz w:val="14"/>
                <w:szCs w:val="14"/>
              </w:rPr>
              <w:t>5</w:t>
            </w:r>
            <w:r w:rsidR="00FB5AE5">
              <w:rPr>
                <w:sz w:val="14"/>
                <w:szCs w:val="14"/>
              </w:rPr>
              <w:t>6</w:t>
            </w:r>
            <w:r>
              <w:rPr>
                <w:sz w:val="14"/>
                <w:szCs w:val="14"/>
              </w:rPr>
              <w:t>,</w:t>
            </w:r>
            <w:r w:rsidR="00FB5AE5">
              <w:rPr>
                <w:sz w:val="14"/>
                <w:szCs w:val="14"/>
              </w:rPr>
              <w:t>4</w:t>
            </w:r>
          </w:p>
        </w:tc>
      </w:tr>
      <w:tr w:rsidR="006B5E51" w:rsidRPr="006024A7" w14:paraId="197DF70F" w14:textId="043D23B2" w:rsidTr="0041529F">
        <w:trPr>
          <w:trHeight w:hRule="exact" w:val="227"/>
        </w:trPr>
        <w:tc>
          <w:tcPr>
            <w:tcW w:w="0" w:type="auto"/>
            <w:tcBorders>
              <w:top w:val="nil"/>
              <w:left w:val="nil"/>
              <w:bottom w:val="nil"/>
              <w:right w:val="nil"/>
            </w:tcBorders>
            <w:shd w:val="clear" w:color="auto" w:fill="F2F2F2" w:themeFill="background1" w:themeFillShade="F2"/>
          </w:tcPr>
          <w:p w14:paraId="03682EB1" w14:textId="42A9CC48" w:rsidR="006B5E51" w:rsidRPr="006024A7" w:rsidRDefault="006B5E51" w:rsidP="006B5E51">
            <w:pPr>
              <w:pStyle w:val="MerknadTR"/>
              <w:spacing w:line="160" w:lineRule="exact"/>
              <w:rPr>
                <w:sz w:val="14"/>
                <w:szCs w:val="14"/>
              </w:rPr>
            </w:pPr>
            <w:r w:rsidRPr="006024A7">
              <w:rPr>
                <w:sz w:val="14"/>
                <w:szCs w:val="14"/>
              </w:rPr>
              <w:t xml:space="preserve">Master, </w:t>
            </w:r>
            <w:proofErr w:type="spellStart"/>
            <w:proofErr w:type="gramStart"/>
            <w:r w:rsidRPr="006024A7">
              <w:rPr>
                <w:sz w:val="14"/>
                <w:szCs w:val="14"/>
              </w:rPr>
              <w:t>gj.ført</w:t>
            </w:r>
            <w:proofErr w:type="spellEnd"/>
            <w:proofErr w:type="gramEnd"/>
            <w:r w:rsidRPr="006024A7">
              <w:rPr>
                <w:sz w:val="14"/>
                <w:szCs w:val="14"/>
              </w:rPr>
              <w:t xml:space="preserve"> normert tid + ett år</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13617E2C" w14:textId="252DBD9E" w:rsidR="00285B1F" w:rsidRDefault="004D7E2D" w:rsidP="006B5E51">
            <w:pPr>
              <w:pStyle w:val="MerknadTR"/>
              <w:spacing w:line="160" w:lineRule="exact"/>
              <w:jc w:val="right"/>
              <w:rPr>
                <w:sz w:val="14"/>
                <w:szCs w:val="14"/>
              </w:rPr>
            </w:pPr>
            <w:r>
              <w:rPr>
                <w:sz w:val="14"/>
                <w:szCs w:val="14"/>
              </w:rPr>
              <w:t>71,4</w:t>
            </w:r>
          </w:p>
        </w:tc>
        <w:tc>
          <w:tcPr>
            <w:tcW w:w="0" w:type="auto"/>
            <w:tcBorders>
              <w:top w:val="nil"/>
              <w:left w:val="nil"/>
              <w:bottom w:val="nil"/>
              <w:right w:val="nil"/>
            </w:tcBorders>
            <w:shd w:val="clear" w:color="auto" w:fill="F2F2F2" w:themeFill="background1" w:themeFillShade="F2"/>
          </w:tcPr>
          <w:p w14:paraId="3DCED4D6" w14:textId="06F750F6" w:rsidR="006B5E51" w:rsidRDefault="006B5E51" w:rsidP="006B5E51">
            <w:pPr>
              <w:pStyle w:val="MerknadTR"/>
              <w:spacing w:line="160" w:lineRule="exact"/>
              <w:jc w:val="right"/>
              <w:rPr>
                <w:sz w:val="14"/>
                <w:szCs w:val="14"/>
              </w:rPr>
            </w:pPr>
            <w:r>
              <w:rPr>
                <w:sz w:val="14"/>
                <w:szCs w:val="14"/>
              </w:rPr>
              <w:t>72,5</w:t>
            </w:r>
          </w:p>
        </w:tc>
        <w:tc>
          <w:tcPr>
            <w:tcW w:w="0" w:type="auto"/>
            <w:tcBorders>
              <w:top w:val="nil"/>
              <w:left w:val="nil"/>
              <w:bottom w:val="nil"/>
              <w:right w:val="nil"/>
            </w:tcBorders>
            <w:shd w:val="clear" w:color="auto" w:fill="F2F2F2" w:themeFill="background1" w:themeFillShade="F2"/>
          </w:tcPr>
          <w:p w14:paraId="4ED3F253" w14:textId="23BB78CD" w:rsidR="006B5E51" w:rsidRPr="006024A7" w:rsidRDefault="006B5E51" w:rsidP="006B5E51">
            <w:pPr>
              <w:pStyle w:val="MerknadTR"/>
              <w:spacing w:line="160" w:lineRule="exact"/>
              <w:jc w:val="right"/>
              <w:rPr>
                <w:sz w:val="14"/>
                <w:szCs w:val="14"/>
              </w:rPr>
            </w:pPr>
            <w:r>
              <w:rPr>
                <w:sz w:val="14"/>
                <w:szCs w:val="14"/>
              </w:rPr>
              <w:t>73,0</w:t>
            </w:r>
          </w:p>
        </w:tc>
        <w:tc>
          <w:tcPr>
            <w:tcW w:w="0" w:type="auto"/>
            <w:tcBorders>
              <w:top w:val="nil"/>
              <w:left w:val="nil"/>
              <w:bottom w:val="nil"/>
              <w:right w:val="nil"/>
            </w:tcBorders>
            <w:shd w:val="clear" w:color="auto" w:fill="F2F2F2" w:themeFill="background1" w:themeFillShade="F2"/>
          </w:tcPr>
          <w:p w14:paraId="388F0A67" w14:textId="78123FA3" w:rsidR="006B5E51" w:rsidRDefault="005C79BC" w:rsidP="006B5E51">
            <w:pPr>
              <w:pStyle w:val="MerknadTR"/>
              <w:spacing w:line="160" w:lineRule="exact"/>
              <w:jc w:val="right"/>
              <w:rPr>
                <w:sz w:val="14"/>
                <w:szCs w:val="14"/>
              </w:rPr>
            </w:pPr>
            <w:r>
              <w:rPr>
                <w:sz w:val="14"/>
                <w:szCs w:val="14"/>
              </w:rPr>
              <w:t>73,</w:t>
            </w:r>
            <w:r w:rsidR="00FB5AE5">
              <w:rPr>
                <w:sz w:val="14"/>
                <w:szCs w:val="14"/>
              </w:rPr>
              <w:t>6</w:t>
            </w:r>
          </w:p>
        </w:tc>
      </w:tr>
      <w:tr w:rsidR="006B5E51" w:rsidRPr="006024A7" w14:paraId="0A28D83D" w14:textId="4D0B8CD5" w:rsidTr="0041529F">
        <w:trPr>
          <w:trHeight w:hRule="exact" w:val="227"/>
        </w:trPr>
        <w:tc>
          <w:tcPr>
            <w:tcW w:w="0" w:type="auto"/>
            <w:tcBorders>
              <w:top w:val="nil"/>
              <w:left w:val="nil"/>
              <w:bottom w:val="nil"/>
              <w:right w:val="nil"/>
            </w:tcBorders>
            <w:shd w:val="clear" w:color="auto" w:fill="F2F2F2" w:themeFill="background1" w:themeFillShade="F2"/>
          </w:tcPr>
          <w:p w14:paraId="107BA7EF" w14:textId="188DFE03" w:rsidR="006B5E51" w:rsidRPr="006024A7" w:rsidRDefault="006B5E51" w:rsidP="006B5E51">
            <w:pPr>
              <w:pStyle w:val="MerknadTR"/>
              <w:spacing w:line="160" w:lineRule="exact"/>
              <w:rPr>
                <w:sz w:val="14"/>
                <w:szCs w:val="14"/>
              </w:rPr>
            </w:pPr>
            <w:r w:rsidRPr="006024A7">
              <w:rPr>
                <w:sz w:val="14"/>
                <w:szCs w:val="14"/>
              </w:rPr>
              <w:t xml:space="preserve">Bachelor, </w:t>
            </w:r>
            <w:proofErr w:type="spellStart"/>
            <w:proofErr w:type="gramStart"/>
            <w:r w:rsidRPr="006024A7">
              <w:rPr>
                <w:sz w:val="14"/>
                <w:szCs w:val="14"/>
              </w:rPr>
              <w:t>gj.ført</w:t>
            </w:r>
            <w:proofErr w:type="spellEnd"/>
            <w:proofErr w:type="gramEnd"/>
            <w:r w:rsidRPr="006024A7">
              <w:rPr>
                <w:sz w:val="14"/>
                <w:szCs w:val="14"/>
              </w:rPr>
              <w:t xml:space="preserve"> normert tid + ett år</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501A3862" w14:textId="029DC3BF" w:rsidR="00285B1F" w:rsidRDefault="004D7E2D" w:rsidP="006B5E51">
            <w:pPr>
              <w:pStyle w:val="MerknadTR"/>
              <w:spacing w:line="160" w:lineRule="exact"/>
              <w:jc w:val="right"/>
              <w:rPr>
                <w:sz w:val="14"/>
                <w:szCs w:val="14"/>
              </w:rPr>
            </w:pPr>
            <w:r>
              <w:rPr>
                <w:sz w:val="14"/>
                <w:szCs w:val="14"/>
              </w:rPr>
              <w:t>60,8</w:t>
            </w:r>
          </w:p>
        </w:tc>
        <w:tc>
          <w:tcPr>
            <w:tcW w:w="0" w:type="auto"/>
            <w:tcBorders>
              <w:top w:val="nil"/>
              <w:left w:val="nil"/>
              <w:bottom w:val="nil"/>
              <w:right w:val="nil"/>
            </w:tcBorders>
            <w:shd w:val="clear" w:color="auto" w:fill="F2F2F2" w:themeFill="background1" w:themeFillShade="F2"/>
          </w:tcPr>
          <w:p w14:paraId="54F5421E" w14:textId="58E9AA5C" w:rsidR="006B5E51" w:rsidRDefault="006B5E51" w:rsidP="006B5E51">
            <w:pPr>
              <w:pStyle w:val="MerknadTR"/>
              <w:spacing w:line="160" w:lineRule="exact"/>
              <w:jc w:val="right"/>
              <w:rPr>
                <w:sz w:val="14"/>
                <w:szCs w:val="14"/>
              </w:rPr>
            </w:pPr>
            <w:r>
              <w:rPr>
                <w:sz w:val="14"/>
                <w:szCs w:val="14"/>
              </w:rPr>
              <w:t>62,4</w:t>
            </w:r>
          </w:p>
        </w:tc>
        <w:tc>
          <w:tcPr>
            <w:tcW w:w="0" w:type="auto"/>
            <w:tcBorders>
              <w:top w:val="nil"/>
              <w:left w:val="nil"/>
              <w:bottom w:val="nil"/>
              <w:right w:val="nil"/>
            </w:tcBorders>
            <w:shd w:val="clear" w:color="auto" w:fill="F2F2F2" w:themeFill="background1" w:themeFillShade="F2"/>
          </w:tcPr>
          <w:p w14:paraId="72E6391D" w14:textId="6A1606DE" w:rsidR="006B5E51" w:rsidRPr="006024A7" w:rsidRDefault="006B5E51" w:rsidP="006B5E51">
            <w:pPr>
              <w:pStyle w:val="MerknadTR"/>
              <w:spacing w:line="160" w:lineRule="exact"/>
              <w:jc w:val="right"/>
              <w:rPr>
                <w:sz w:val="14"/>
                <w:szCs w:val="14"/>
              </w:rPr>
            </w:pPr>
            <w:r>
              <w:rPr>
                <w:sz w:val="14"/>
                <w:szCs w:val="14"/>
              </w:rPr>
              <w:t>64,5</w:t>
            </w:r>
          </w:p>
        </w:tc>
        <w:tc>
          <w:tcPr>
            <w:tcW w:w="0" w:type="auto"/>
            <w:tcBorders>
              <w:top w:val="nil"/>
              <w:left w:val="nil"/>
              <w:bottom w:val="nil"/>
              <w:right w:val="nil"/>
            </w:tcBorders>
            <w:shd w:val="clear" w:color="auto" w:fill="F2F2F2" w:themeFill="background1" w:themeFillShade="F2"/>
          </w:tcPr>
          <w:p w14:paraId="4F26AA5C" w14:textId="7C8857ED" w:rsidR="006B5E51" w:rsidRDefault="00285B1F" w:rsidP="006B5E51">
            <w:pPr>
              <w:pStyle w:val="MerknadTR"/>
              <w:spacing w:line="160" w:lineRule="exact"/>
              <w:jc w:val="right"/>
              <w:rPr>
                <w:sz w:val="14"/>
                <w:szCs w:val="14"/>
              </w:rPr>
            </w:pPr>
            <w:r>
              <w:rPr>
                <w:sz w:val="14"/>
                <w:szCs w:val="14"/>
              </w:rPr>
              <w:t>6</w:t>
            </w:r>
            <w:r w:rsidR="00FB5AE5">
              <w:rPr>
                <w:sz w:val="14"/>
                <w:szCs w:val="14"/>
              </w:rPr>
              <w:t>6</w:t>
            </w:r>
            <w:r>
              <w:rPr>
                <w:sz w:val="14"/>
                <w:szCs w:val="14"/>
              </w:rPr>
              <w:t>,</w:t>
            </w:r>
            <w:r w:rsidR="00FB5AE5">
              <w:rPr>
                <w:sz w:val="14"/>
                <w:szCs w:val="14"/>
              </w:rPr>
              <w:t>0</w:t>
            </w:r>
          </w:p>
        </w:tc>
      </w:tr>
      <w:tr w:rsidR="006B5E51" w:rsidRPr="006024A7" w14:paraId="765B2368" w14:textId="23685A6F" w:rsidTr="0041529F">
        <w:trPr>
          <w:trHeight w:hRule="exact" w:val="227"/>
        </w:trPr>
        <w:tc>
          <w:tcPr>
            <w:tcW w:w="0" w:type="auto"/>
            <w:tcBorders>
              <w:top w:val="nil"/>
              <w:left w:val="nil"/>
              <w:bottom w:val="nil"/>
              <w:right w:val="nil"/>
            </w:tcBorders>
            <w:shd w:val="clear" w:color="auto" w:fill="F2F2F2" w:themeFill="background1" w:themeFillShade="F2"/>
          </w:tcPr>
          <w:p w14:paraId="5BFC625E"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479A7142"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FF4D667"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C56918D" w14:textId="49A9BE42"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5621895" w14:textId="77777777" w:rsidR="006B5E51" w:rsidRPr="006024A7" w:rsidRDefault="006B5E51" w:rsidP="006B5E51">
            <w:pPr>
              <w:pStyle w:val="MerknadTR"/>
              <w:spacing w:line="160" w:lineRule="exact"/>
              <w:jc w:val="right"/>
              <w:rPr>
                <w:sz w:val="14"/>
                <w:szCs w:val="14"/>
              </w:rPr>
            </w:pPr>
          </w:p>
        </w:tc>
      </w:tr>
      <w:tr w:rsidR="006B5E51" w:rsidRPr="006024A7" w14:paraId="72CAD579" w14:textId="23F277C4" w:rsidTr="0041529F">
        <w:trPr>
          <w:trHeight w:hRule="exact" w:val="227"/>
        </w:trPr>
        <w:tc>
          <w:tcPr>
            <w:tcW w:w="0" w:type="auto"/>
            <w:tcBorders>
              <w:top w:val="nil"/>
              <w:left w:val="nil"/>
              <w:bottom w:val="nil"/>
              <w:right w:val="nil"/>
            </w:tcBorders>
            <w:shd w:val="clear" w:color="auto" w:fill="F2F2F2" w:themeFill="background1" w:themeFillShade="F2"/>
          </w:tcPr>
          <w:p w14:paraId="28F1B2FF" w14:textId="08FEB5B0" w:rsidR="006B5E51" w:rsidRPr="006024A7" w:rsidRDefault="006B5E51" w:rsidP="006B5E51">
            <w:pPr>
              <w:pStyle w:val="MerknadTR"/>
              <w:spacing w:line="160" w:lineRule="exact"/>
              <w:rPr>
                <w:sz w:val="14"/>
                <w:szCs w:val="14"/>
              </w:rPr>
            </w:pPr>
            <w:r w:rsidRPr="006024A7">
              <w:rPr>
                <w:b/>
                <w:sz w:val="14"/>
                <w:szCs w:val="14"/>
              </w:rPr>
              <w:t>Uteksaminerte kandidater</w:t>
            </w:r>
          </w:p>
        </w:tc>
        <w:tc>
          <w:tcPr>
            <w:tcW w:w="0" w:type="auto"/>
            <w:tcBorders>
              <w:top w:val="nil"/>
              <w:left w:val="nil"/>
              <w:bottom w:val="nil"/>
              <w:right w:val="nil"/>
            </w:tcBorders>
            <w:shd w:val="clear" w:color="auto" w:fill="F2F2F2" w:themeFill="background1" w:themeFillShade="F2"/>
          </w:tcPr>
          <w:p w14:paraId="6A226E5D"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861E6D7"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B6CB72D" w14:textId="422108F8"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7E96E80" w14:textId="77777777" w:rsidR="006B5E51" w:rsidRDefault="006B5E51" w:rsidP="006B5E51">
            <w:pPr>
              <w:pStyle w:val="MerknadTR"/>
              <w:spacing w:line="160" w:lineRule="exact"/>
              <w:jc w:val="right"/>
              <w:rPr>
                <w:sz w:val="14"/>
                <w:szCs w:val="14"/>
              </w:rPr>
            </w:pPr>
          </w:p>
        </w:tc>
      </w:tr>
      <w:tr w:rsidR="006B5E51" w:rsidRPr="006024A7" w14:paraId="1D343275" w14:textId="3566E8D0" w:rsidTr="0041529F">
        <w:trPr>
          <w:trHeight w:hRule="exact" w:val="227"/>
        </w:trPr>
        <w:tc>
          <w:tcPr>
            <w:tcW w:w="0" w:type="auto"/>
            <w:tcBorders>
              <w:top w:val="nil"/>
              <w:left w:val="nil"/>
              <w:bottom w:val="nil"/>
              <w:right w:val="nil"/>
            </w:tcBorders>
            <w:shd w:val="clear" w:color="auto" w:fill="F2F2F2" w:themeFill="background1" w:themeFillShade="F2"/>
          </w:tcPr>
          <w:p w14:paraId="77B45D27" w14:textId="77777777" w:rsidR="006B5E51" w:rsidRPr="006024A7" w:rsidRDefault="006B5E51" w:rsidP="006B5E51">
            <w:pPr>
              <w:pStyle w:val="MerknadTR"/>
              <w:spacing w:line="160" w:lineRule="exact"/>
              <w:rPr>
                <w:b/>
                <w:sz w:val="14"/>
                <w:szCs w:val="14"/>
              </w:rPr>
            </w:pPr>
            <w:r w:rsidRPr="006024A7">
              <w:rPr>
                <w:sz w:val="14"/>
                <w:szCs w:val="14"/>
              </w:rPr>
              <w:t>Antall uteksaminerte kandidater</w:t>
            </w:r>
          </w:p>
        </w:tc>
        <w:tc>
          <w:tcPr>
            <w:tcW w:w="0" w:type="auto"/>
            <w:tcBorders>
              <w:top w:val="nil"/>
              <w:left w:val="nil"/>
              <w:bottom w:val="nil"/>
              <w:right w:val="nil"/>
            </w:tcBorders>
            <w:shd w:val="clear" w:color="auto" w:fill="F2F2F2" w:themeFill="background1" w:themeFillShade="F2"/>
          </w:tcPr>
          <w:p w14:paraId="019935B6" w14:textId="64BFF746" w:rsidR="00285B1F" w:rsidRDefault="00A96FF8" w:rsidP="006B5E51">
            <w:pPr>
              <w:pStyle w:val="MerknadTR"/>
              <w:spacing w:line="160" w:lineRule="exact"/>
              <w:jc w:val="right"/>
              <w:rPr>
                <w:sz w:val="14"/>
                <w:szCs w:val="14"/>
              </w:rPr>
            </w:pPr>
            <w:r>
              <w:rPr>
                <w:sz w:val="14"/>
                <w:szCs w:val="14"/>
              </w:rPr>
              <w:t>48</w:t>
            </w:r>
            <w:r w:rsidRPr="00F41A2F">
              <w:rPr>
                <w:sz w:val="14"/>
                <w:szCs w:val="14"/>
              </w:rPr>
              <w:t> </w:t>
            </w:r>
            <w:r>
              <w:rPr>
                <w:sz w:val="14"/>
                <w:szCs w:val="14"/>
              </w:rPr>
              <w:t>333</w:t>
            </w:r>
          </w:p>
        </w:tc>
        <w:tc>
          <w:tcPr>
            <w:tcW w:w="0" w:type="auto"/>
            <w:tcBorders>
              <w:top w:val="nil"/>
              <w:left w:val="nil"/>
              <w:bottom w:val="nil"/>
              <w:right w:val="nil"/>
            </w:tcBorders>
            <w:shd w:val="clear" w:color="auto" w:fill="F2F2F2" w:themeFill="background1" w:themeFillShade="F2"/>
          </w:tcPr>
          <w:p w14:paraId="78D9E0B9" w14:textId="477097AA" w:rsidR="006B5E51" w:rsidRDefault="006B5E51" w:rsidP="006B5E51">
            <w:pPr>
              <w:pStyle w:val="MerknadTR"/>
              <w:spacing w:line="160" w:lineRule="exact"/>
              <w:jc w:val="right"/>
              <w:rPr>
                <w:sz w:val="14"/>
                <w:szCs w:val="14"/>
              </w:rPr>
            </w:pPr>
            <w:r>
              <w:rPr>
                <w:sz w:val="14"/>
                <w:szCs w:val="14"/>
              </w:rPr>
              <w:t>50 727</w:t>
            </w:r>
          </w:p>
        </w:tc>
        <w:tc>
          <w:tcPr>
            <w:tcW w:w="0" w:type="auto"/>
            <w:tcBorders>
              <w:top w:val="nil"/>
              <w:left w:val="nil"/>
              <w:bottom w:val="nil"/>
              <w:right w:val="nil"/>
            </w:tcBorders>
            <w:shd w:val="clear" w:color="auto" w:fill="F2F2F2" w:themeFill="background1" w:themeFillShade="F2"/>
          </w:tcPr>
          <w:p w14:paraId="413BDA05" w14:textId="66C8100F" w:rsidR="006B5E51" w:rsidRPr="006024A7" w:rsidRDefault="006B5E51" w:rsidP="006B5E51">
            <w:pPr>
              <w:pStyle w:val="MerknadTR"/>
              <w:spacing w:line="160" w:lineRule="exact"/>
              <w:jc w:val="right"/>
              <w:rPr>
                <w:sz w:val="14"/>
                <w:szCs w:val="14"/>
              </w:rPr>
            </w:pPr>
            <w:r>
              <w:rPr>
                <w:sz w:val="14"/>
                <w:szCs w:val="14"/>
              </w:rPr>
              <w:t>51 </w:t>
            </w:r>
            <w:r w:rsidR="00285B1F">
              <w:rPr>
                <w:sz w:val="14"/>
                <w:szCs w:val="14"/>
              </w:rPr>
              <w:t>25</w:t>
            </w:r>
            <w:r w:rsidR="00583294">
              <w:rPr>
                <w:sz w:val="14"/>
                <w:szCs w:val="14"/>
              </w:rPr>
              <w:t>7</w:t>
            </w:r>
          </w:p>
        </w:tc>
        <w:tc>
          <w:tcPr>
            <w:tcW w:w="0" w:type="auto"/>
            <w:tcBorders>
              <w:top w:val="nil"/>
              <w:left w:val="nil"/>
              <w:bottom w:val="nil"/>
              <w:right w:val="nil"/>
            </w:tcBorders>
            <w:shd w:val="clear" w:color="auto" w:fill="F2F2F2" w:themeFill="background1" w:themeFillShade="F2"/>
          </w:tcPr>
          <w:p w14:paraId="47FE3786" w14:textId="2F930500" w:rsidR="006B5E51" w:rsidRDefault="00285B1F" w:rsidP="006B5E51">
            <w:pPr>
              <w:pStyle w:val="MerknadTR"/>
              <w:spacing w:line="160" w:lineRule="exact"/>
              <w:jc w:val="right"/>
              <w:rPr>
                <w:sz w:val="14"/>
                <w:szCs w:val="14"/>
              </w:rPr>
            </w:pPr>
            <w:r>
              <w:rPr>
                <w:sz w:val="14"/>
                <w:szCs w:val="14"/>
              </w:rPr>
              <w:t>5</w:t>
            </w:r>
            <w:r w:rsidR="00A00B3A">
              <w:rPr>
                <w:sz w:val="14"/>
                <w:szCs w:val="14"/>
              </w:rPr>
              <w:t>3</w:t>
            </w:r>
            <w:r>
              <w:rPr>
                <w:sz w:val="14"/>
                <w:szCs w:val="14"/>
              </w:rPr>
              <w:t> </w:t>
            </w:r>
            <w:r w:rsidR="009524C4">
              <w:rPr>
                <w:sz w:val="14"/>
                <w:szCs w:val="14"/>
              </w:rPr>
              <w:t>97</w:t>
            </w:r>
            <w:r w:rsidR="00660513">
              <w:rPr>
                <w:sz w:val="14"/>
                <w:szCs w:val="14"/>
              </w:rPr>
              <w:t>3</w:t>
            </w:r>
          </w:p>
        </w:tc>
      </w:tr>
      <w:tr w:rsidR="006B5E51" w:rsidRPr="006024A7" w14:paraId="7B3010A3" w14:textId="4776BB7B" w:rsidTr="0041529F">
        <w:trPr>
          <w:trHeight w:hRule="exact" w:val="227"/>
        </w:trPr>
        <w:tc>
          <w:tcPr>
            <w:tcW w:w="0" w:type="auto"/>
            <w:tcBorders>
              <w:top w:val="nil"/>
              <w:left w:val="nil"/>
              <w:bottom w:val="nil"/>
              <w:right w:val="nil"/>
            </w:tcBorders>
            <w:shd w:val="clear" w:color="auto" w:fill="F2F2F2" w:themeFill="background1" w:themeFillShade="F2"/>
          </w:tcPr>
          <w:p w14:paraId="76807377" w14:textId="77777777" w:rsidR="006B5E51" w:rsidRPr="006024A7" w:rsidRDefault="006B5E51" w:rsidP="006B5E51">
            <w:pPr>
              <w:pStyle w:val="MerknadTR"/>
              <w:spacing w:line="160" w:lineRule="exact"/>
              <w:rPr>
                <w:b/>
                <w:sz w:val="14"/>
                <w:szCs w:val="14"/>
              </w:rPr>
            </w:pPr>
            <w:r w:rsidRPr="006024A7">
              <w:rPr>
                <w:sz w:val="14"/>
                <w:szCs w:val="14"/>
              </w:rPr>
              <w:t>Sykepleierutdanning</w:t>
            </w:r>
          </w:p>
        </w:tc>
        <w:tc>
          <w:tcPr>
            <w:tcW w:w="0" w:type="auto"/>
            <w:tcBorders>
              <w:top w:val="nil"/>
              <w:left w:val="nil"/>
              <w:bottom w:val="nil"/>
              <w:right w:val="nil"/>
            </w:tcBorders>
            <w:shd w:val="clear" w:color="auto" w:fill="F2F2F2" w:themeFill="background1" w:themeFillShade="F2"/>
          </w:tcPr>
          <w:p w14:paraId="4A002901" w14:textId="0926372A" w:rsidR="00285B1F" w:rsidRDefault="00340675" w:rsidP="006B5E51">
            <w:pPr>
              <w:pStyle w:val="MerknadTR"/>
              <w:spacing w:line="160" w:lineRule="exact"/>
              <w:jc w:val="right"/>
              <w:rPr>
                <w:sz w:val="14"/>
                <w:szCs w:val="14"/>
              </w:rPr>
            </w:pPr>
            <w:r>
              <w:rPr>
                <w:sz w:val="14"/>
                <w:szCs w:val="14"/>
              </w:rPr>
              <w:t>4</w:t>
            </w:r>
            <w:r w:rsidRPr="00F41A2F">
              <w:rPr>
                <w:sz w:val="14"/>
                <w:szCs w:val="14"/>
              </w:rPr>
              <w:t> </w:t>
            </w:r>
            <w:r>
              <w:rPr>
                <w:sz w:val="14"/>
                <w:szCs w:val="14"/>
              </w:rPr>
              <w:t>119</w:t>
            </w:r>
          </w:p>
        </w:tc>
        <w:tc>
          <w:tcPr>
            <w:tcW w:w="0" w:type="auto"/>
            <w:tcBorders>
              <w:top w:val="nil"/>
              <w:left w:val="nil"/>
              <w:bottom w:val="nil"/>
              <w:right w:val="nil"/>
            </w:tcBorders>
            <w:shd w:val="clear" w:color="auto" w:fill="F2F2F2" w:themeFill="background1" w:themeFillShade="F2"/>
          </w:tcPr>
          <w:p w14:paraId="2DA89743" w14:textId="3AAE96DC" w:rsidR="006B5E51" w:rsidRDefault="006B5E51" w:rsidP="006B5E51">
            <w:pPr>
              <w:pStyle w:val="MerknadTR"/>
              <w:spacing w:line="160" w:lineRule="exact"/>
              <w:jc w:val="right"/>
              <w:rPr>
                <w:sz w:val="14"/>
                <w:szCs w:val="14"/>
              </w:rPr>
            </w:pPr>
            <w:r>
              <w:rPr>
                <w:sz w:val="14"/>
                <w:szCs w:val="14"/>
              </w:rPr>
              <w:t>4 174</w:t>
            </w:r>
          </w:p>
        </w:tc>
        <w:tc>
          <w:tcPr>
            <w:tcW w:w="0" w:type="auto"/>
            <w:tcBorders>
              <w:top w:val="nil"/>
              <w:left w:val="nil"/>
              <w:bottom w:val="nil"/>
              <w:right w:val="nil"/>
            </w:tcBorders>
            <w:shd w:val="clear" w:color="auto" w:fill="F2F2F2" w:themeFill="background1" w:themeFillShade="F2"/>
          </w:tcPr>
          <w:p w14:paraId="3628DAA4" w14:textId="600F2F67" w:rsidR="006B5E51" w:rsidRPr="006024A7" w:rsidRDefault="006B5E51" w:rsidP="006B5E51">
            <w:pPr>
              <w:pStyle w:val="MerknadTR"/>
              <w:spacing w:line="160" w:lineRule="exact"/>
              <w:jc w:val="right"/>
              <w:rPr>
                <w:sz w:val="14"/>
                <w:szCs w:val="14"/>
              </w:rPr>
            </w:pPr>
            <w:r>
              <w:rPr>
                <w:sz w:val="14"/>
                <w:szCs w:val="14"/>
              </w:rPr>
              <w:t>4 240</w:t>
            </w:r>
          </w:p>
        </w:tc>
        <w:tc>
          <w:tcPr>
            <w:tcW w:w="0" w:type="auto"/>
            <w:tcBorders>
              <w:top w:val="nil"/>
              <w:left w:val="nil"/>
              <w:bottom w:val="nil"/>
              <w:right w:val="nil"/>
            </w:tcBorders>
            <w:shd w:val="clear" w:color="auto" w:fill="F2F2F2" w:themeFill="background1" w:themeFillShade="F2"/>
          </w:tcPr>
          <w:p w14:paraId="310328EA" w14:textId="04D38132" w:rsidR="006B5E51" w:rsidRDefault="008D7581" w:rsidP="006B5E51">
            <w:pPr>
              <w:pStyle w:val="MerknadTR"/>
              <w:spacing w:line="160" w:lineRule="exact"/>
              <w:jc w:val="right"/>
              <w:rPr>
                <w:sz w:val="14"/>
                <w:szCs w:val="14"/>
              </w:rPr>
            </w:pPr>
            <w:r>
              <w:rPr>
                <w:sz w:val="14"/>
                <w:szCs w:val="14"/>
              </w:rPr>
              <w:t>4 437</w:t>
            </w:r>
          </w:p>
        </w:tc>
      </w:tr>
      <w:tr w:rsidR="006B5E51" w:rsidRPr="006024A7" w14:paraId="58B826E8" w14:textId="56EEE9AD" w:rsidTr="0041529F">
        <w:trPr>
          <w:trHeight w:hRule="exact" w:val="227"/>
        </w:trPr>
        <w:tc>
          <w:tcPr>
            <w:tcW w:w="0" w:type="auto"/>
            <w:tcBorders>
              <w:top w:val="nil"/>
              <w:left w:val="nil"/>
              <w:bottom w:val="nil"/>
              <w:right w:val="nil"/>
            </w:tcBorders>
            <w:shd w:val="clear" w:color="auto" w:fill="F2F2F2" w:themeFill="background1" w:themeFillShade="F2"/>
          </w:tcPr>
          <w:p w14:paraId="7DFB3818" w14:textId="77777777" w:rsidR="006B5E51" w:rsidRPr="006024A7" w:rsidRDefault="006B5E51" w:rsidP="006B5E51">
            <w:pPr>
              <w:pStyle w:val="MerknadTR"/>
              <w:spacing w:line="160" w:lineRule="exact"/>
              <w:rPr>
                <w:b/>
                <w:sz w:val="14"/>
                <w:szCs w:val="14"/>
              </w:rPr>
            </w:pPr>
            <w:r w:rsidRPr="006024A7">
              <w:rPr>
                <w:sz w:val="14"/>
                <w:szCs w:val="14"/>
              </w:rPr>
              <w:t>Grunnskolelærerutdanning (1–7 og 5–10)</w:t>
            </w:r>
          </w:p>
        </w:tc>
        <w:tc>
          <w:tcPr>
            <w:tcW w:w="0" w:type="auto"/>
            <w:tcBorders>
              <w:top w:val="nil"/>
              <w:left w:val="nil"/>
              <w:bottom w:val="nil"/>
              <w:right w:val="nil"/>
            </w:tcBorders>
            <w:shd w:val="clear" w:color="auto" w:fill="F2F2F2" w:themeFill="background1" w:themeFillShade="F2"/>
          </w:tcPr>
          <w:p w14:paraId="07BA11DB" w14:textId="5E1D31B6" w:rsidR="00285B1F" w:rsidRDefault="007812DC" w:rsidP="006B5E51">
            <w:pPr>
              <w:pStyle w:val="MerknadTR"/>
              <w:spacing w:line="160" w:lineRule="exact"/>
              <w:jc w:val="right"/>
              <w:rPr>
                <w:sz w:val="14"/>
                <w:szCs w:val="14"/>
              </w:rPr>
            </w:pPr>
            <w:r>
              <w:rPr>
                <w:sz w:val="14"/>
                <w:szCs w:val="14"/>
              </w:rPr>
              <w:t>2</w:t>
            </w:r>
            <w:r w:rsidRPr="00F41A2F">
              <w:rPr>
                <w:sz w:val="14"/>
                <w:szCs w:val="14"/>
              </w:rPr>
              <w:t> </w:t>
            </w:r>
            <w:r>
              <w:rPr>
                <w:sz w:val="14"/>
                <w:szCs w:val="14"/>
              </w:rPr>
              <w:t>156</w:t>
            </w:r>
          </w:p>
        </w:tc>
        <w:tc>
          <w:tcPr>
            <w:tcW w:w="0" w:type="auto"/>
            <w:tcBorders>
              <w:top w:val="nil"/>
              <w:left w:val="nil"/>
              <w:bottom w:val="nil"/>
              <w:right w:val="nil"/>
            </w:tcBorders>
            <w:shd w:val="clear" w:color="auto" w:fill="F2F2F2" w:themeFill="background1" w:themeFillShade="F2"/>
          </w:tcPr>
          <w:p w14:paraId="2D433AF2" w14:textId="6D49E991" w:rsidR="006B5E51" w:rsidRDefault="006B5E51" w:rsidP="006B5E51">
            <w:pPr>
              <w:pStyle w:val="MerknadTR"/>
              <w:spacing w:line="160" w:lineRule="exact"/>
              <w:jc w:val="right"/>
              <w:rPr>
                <w:sz w:val="14"/>
                <w:szCs w:val="14"/>
              </w:rPr>
            </w:pPr>
            <w:r>
              <w:rPr>
                <w:sz w:val="14"/>
                <w:szCs w:val="14"/>
              </w:rPr>
              <w:t>2 074</w:t>
            </w:r>
          </w:p>
        </w:tc>
        <w:tc>
          <w:tcPr>
            <w:tcW w:w="0" w:type="auto"/>
            <w:tcBorders>
              <w:top w:val="nil"/>
              <w:left w:val="nil"/>
              <w:bottom w:val="nil"/>
              <w:right w:val="nil"/>
            </w:tcBorders>
            <w:shd w:val="clear" w:color="auto" w:fill="F2F2F2" w:themeFill="background1" w:themeFillShade="F2"/>
          </w:tcPr>
          <w:p w14:paraId="29A3ECBA" w14:textId="419A5F41" w:rsidR="006B5E51" w:rsidRPr="006024A7" w:rsidRDefault="006B5E51" w:rsidP="006B5E51">
            <w:pPr>
              <w:pStyle w:val="MerknadTR"/>
              <w:spacing w:line="160" w:lineRule="exact"/>
              <w:jc w:val="right"/>
              <w:rPr>
                <w:sz w:val="14"/>
                <w:szCs w:val="14"/>
              </w:rPr>
            </w:pPr>
            <w:r>
              <w:rPr>
                <w:sz w:val="14"/>
                <w:szCs w:val="14"/>
              </w:rPr>
              <w:t>383</w:t>
            </w:r>
          </w:p>
        </w:tc>
        <w:tc>
          <w:tcPr>
            <w:tcW w:w="0" w:type="auto"/>
            <w:tcBorders>
              <w:top w:val="nil"/>
              <w:left w:val="nil"/>
              <w:bottom w:val="nil"/>
              <w:right w:val="nil"/>
            </w:tcBorders>
            <w:shd w:val="clear" w:color="auto" w:fill="F2F2F2" w:themeFill="background1" w:themeFillShade="F2"/>
          </w:tcPr>
          <w:p w14:paraId="26878025" w14:textId="61D8BE47" w:rsidR="006B5E51" w:rsidRDefault="005F147D" w:rsidP="006B5E51">
            <w:pPr>
              <w:pStyle w:val="MerknadTR"/>
              <w:spacing w:line="160" w:lineRule="exact"/>
              <w:jc w:val="right"/>
              <w:rPr>
                <w:sz w:val="14"/>
                <w:szCs w:val="14"/>
              </w:rPr>
            </w:pPr>
            <w:r>
              <w:rPr>
                <w:sz w:val="14"/>
                <w:szCs w:val="14"/>
              </w:rPr>
              <w:t>1 824</w:t>
            </w:r>
          </w:p>
        </w:tc>
      </w:tr>
      <w:tr w:rsidR="006B5E51" w:rsidRPr="006024A7" w14:paraId="52D2F8B3" w14:textId="69655D64" w:rsidTr="0041529F">
        <w:trPr>
          <w:trHeight w:hRule="exact" w:val="227"/>
        </w:trPr>
        <w:tc>
          <w:tcPr>
            <w:tcW w:w="0" w:type="auto"/>
            <w:tcBorders>
              <w:top w:val="nil"/>
              <w:left w:val="nil"/>
              <w:bottom w:val="nil"/>
              <w:right w:val="nil"/>
            </w:tcBorders>
            <w:shd w:val="clear" w:color="auto" w:fill="F2F2F2" w:themeFill="background1" w:themeFillShade="F2"/>
          </w:tcPr>
          <w:p w14:paraId="2BB98419" w14:textId="77777777" w:rsidR="006B5E51" w:rsidRPr="006024A7" w:rsidRDefault="006B5E51" w:rsidP="006B5E51">
            <w:pPr>
              <w:pStyle w:val="MerknadTR"/>
              <w:spacing w:line="160" w:lineRule="exact"/>
              <w:rPr>
                <w:b/>
                <w:sz w:val="14"/>
                <w:szCs w:val="14"/>
              </w:rPr>
            </w:pPr>
            <w:r w:rsidRPr="006024A7">
              <w:rPr>
                <w:sz w:val="14"/>
                <w:szCs w:val="14"/>
              </w:rPr>
              <w:t>Ingeniørutdanning</w:t>
            </w:r>
          </w:p>
        </w:tc>
        <w:tc>
          <w:tcPr>
            <w:tcW w:w="0" w:type="auto"/>
            <w:tcBorders>
              <w:top w:val="nil"/>
              <w:left w:val="nil"/>
              <w:bottom w:val="nil"/>
              <w:right w:val="nil"/>
            </w:tcBorders>
            <w:shd w:val="clear" w:color="auto" w:fill="F2F2F2" w:themeFill="background1" w:themeFillShade="F2"/>
          </w:tcPr>
          <w:p w14:paraId="2F90231B" w14:textId="6E4EABFC" w:rsidR="00285B1F" w:rsidRPr="00F41A2F" w:rsidRDefault="007812DC" w:rsidP="006B5E51">
            <w:pPr>
              <w:pStyle w:val="MerknadTR"/>
              <w:spacing w:line="160" w:lineRule="exact"/>
              <w:jc w:val="right"/>
              <w:rPr>
                <w:sz w:val="14"/>
                <w:szCs w:val="14"/>
              </w:rPr>
            </w:pPr>
            <w:r>
              <w:rPr>
                <w:sz w:val="14"/>
                <w:szCs w:val="14"/>
              </w:rPr>
              <w:t>2</w:t>
            </w:r>
            <w:r w:rsidRPr="00F41A2F">
              <w:rPr>
                <w:sz w:val="14"/>
                <w:szCs w:val="14"/>
              </w:rPr>
              <w:t> </w:t>
            </w:r>
            <w:r>
              <w:rPr>
                <w:sz w:val="14"/>
                <w:szCs w:val="14"/>
              </w:rPr>
              <w:t>746</w:t>
            </w:r>
          </w:p>
        </w:tc>
        <w:tc>
          <w:tcPr>
            <w:tcW w:w="0" w:type="auto"/>
            <w:tcBorders>
              <w:top w:val="nil"/>
              <w:left w:val="nil"/>
              <w:bottom w:val="nil"/>
              <w:right w:val="nil"/>
            </w:tcBorders>
            <w:shd w:val="clear" w:color="auto" w:fill="F2F2F2" w:themeFill="background1" w:themeFillShade="F2"/>
          </w:tcPr>
          <w:p w14:paraId="47925EE7" w14:textId="77777777" w:rsidR="006B5E51" w:rsidRPr="00F41A2F" w:rsidRDefault="006B5E51" w:rsidP="006B5E51">
            <w:pPr>
              <w:pStyle w:val="MerknadTR"/>
              <w:spacing w:line="160" w:lineRule="exact"/>
              <w:jc w:val="right"/>
              <w:rPr>
                <w:sz w:val="14"/>
                <w:szCs w:val="14"/>
              </w:rPr>
            </w:pPr>
            <w:r w:rsidRPr="00F41A2F">
              <w:rPr>
                <w:sz w:val="14"/>
                <w:szCs w:val="14"/>
              </w:rPr>
              <w:t>2 609</w:t>
            </w:r>
          </w:p>
          <w:p w14:paraId="09B489E0" w14:textId="4E5F2A82" w:rsidR="006B5E51" w:rsidRPr="00F41A2F"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D62B13A" w14:textId="5A451C79" w:rsidR="006B5E51" w:rsidRPr="006024A7" w:rsidRDefault="006B5E51" w:rsidP="006B5E51">
            <w:pPr>
              <w:pStyle w:val="MerknadTR"/>
              <w:spacing w:line="160" w:lineRule="exact"/>
              <w:jc w:val="right"/>
              <w:rPr>
                <w:sz w:val="14"/>
                <w:szCs w:val="14"/>
              </w:rPr>
            </w:pPr>
            <w:r>
              <w:rPr>
                <w:sz w:val="14"/>
                <w:szCs w:val="14"/>
              </w:rPr>
              <w:t>2 717</w:t>
            </w:r>
          </w:p>
        </w:tc>
        <w:tc>
          <w:tcPr>
            <w:tcW w:w="0" w:type="auto"/>
            <w:tcBorders>
              <w:top w:val="nil"/>
              <w:left w:val="nil"/>
              <w:bottom w:val="nil"/>
              <w:right w:val="nil"/>
            </w:tcBorders>
            <w:shd w:val="clear" w:color="auto" w:fill="F2F2F2" w:themeFill="background1" w:themeFillShade="F2"/>
          </w:tcPr>
          <w:p w14:paraId="70BCB532" w14:textId="64D3541A" w:rsidR="006B5E51" w:rsidRPr="00F41A2F" w:rsidRDefault="004128B6" w:rsidP="006B5E51">
            <w:pPr>
              <w:pStyle w:val="MerknadTR"/>
              <w:spacing w:line="160" w:lineRule="exact"/>
              <w:jc w:val="right"/>
              <w:rPr>
                <w:sz w:val="14"/>
                <w:szCs w:val="14"/>
              </w:rPr>
            </w:pPr>
            <w:r>
              <w:rPr>
                <w:sz w:val="14"/>
                <w:szCs w:val="14"/>
              </w:rPr>
              <w:t>2 </w:t>
            </w:r>
            <w:r w:rsidR="00F32280">
              <w:rPr>
                <w:sz w:val="14"/>
                <w:szCs w:val="14"/>
              </w:rPr>
              <w:t>485</w:t>
            </w:r>
          </w:p>
        </w:tc>
      </w:tr>
      <w:tr w:rsidR="006B5E51" w:rsidRPr="006024A7" w14:paraId="1CAD669E" w14:textId="644B0B0D" w:rsidTr="0041529F">
        <w:trPr>
          <w:trHeight w:hRule="exact" w:val="227"/>
        </w:trPr>
        <w:tc>
          <w:tcPr>
            <w:tcW w:w="0" w:type="auto"/>
            <w:tcBorders>
              <w:top w:val="nil"/>
              <w:left w:val="nil"/>
              <w:bottom w:val="nil"/>
              <w:right w:val="nil"/>
            </w:tcBorders>
            <w:shd w:val="clear" w:color="auto" w:fill="F2F2F2" w:themeFill="background1" w:themeFillShade="F2"/>
          </w:tcPr>
          <w:p w14:paraId="029BC459"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6B135EB"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A248557"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CC82B3A" w14:textId="3C7A47E2"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DF3E44A" w14:textId="77777777" w:rsidR="006B5E51" w:rsidRPr="006024A7" w:rsidRDefault="006B5E51" w:rsidP="006B5E51">
            <w:pPr>
              <w:pStyle w:val="MerknadTR"/>
              <w:spacing w:line="160" w:lineRule="exact"/>
              <w:jc w:val="right"/>
              <w:rPr>
                <w:sz w:val="14"/>
                <w:szCs w:val="14"/>
              </w:rPr>
            </w:pPr>
          </w:p>
        </w:tc>
      </w:tr>
      <w:tr w:rsidR="006B5E51" w:rsidRPr="006024A7" w14:paraId="3E63F578" w14:textId="7B081853" w:rsidTr="0041529F">
        <w:trPr>
          <w:trHeight w:hRule="exact" w:val="227"/>
        </w:trPr>
        <w:tc>
          <w:tcPr>
            <w:tcW w:w="0" w:type="auto"/>
            <w:tcBorders>
              <w:top w:val="nil"/>
              <w:left w:val="nil"/>
              <w:bottom w:val="nil"/>
              <w:right w:val="nil"/>
            </w:tcBorders>
            <w:shd w:val="clear" w:color="auto" w:fill="F2F2F2" w:themeFill="background1" w:themeFillShade="F2"/>
          </w:tcPr>
          <w:p w14:paraId="2F197F66" w14:textId="47D2EB08" w:rsidR="006B5E51" w:rsidRPr="006024A7" w:rsidRDefault="006B5E51" w:rsidP="006B5E51">
            <w:pPr>
              <w:pStyle w:val="MerknadTR"/>
              <w:spacing w:line="160" w:lineRule="exact"/>
              <w:rPr>
                <w:sz w:val="14"/>
                <w:szCs w:val="14"/>
              </w:rPr>
            </w:pPr>
            <w:r w:rsidRPr="006024A7">
              <w:rPr>
                <w:b/>
                <w:sz w:val="14"/>
                <w:szCs w:val="14"/>
              </w:rPr>
              <w:t>Karakterer</w:t>
            </w:r>
          </w:p>
        </w:tc>
        <w:tc>
          <w:tcPr>
            <w:tcW w:w="0" w:type="auto"/>
            <w:tcBorders>
              <w:top w:val="nil"/>
              <w:left w:val="nil"/>
              <w:bottom w:val="nil"/>
              <w:right w:val="nil"/>
            </w:tcBorders>
            <w:shd w:val="clear" w:color="auto" w:fill="F2F2F2" w:themeFill="background1" w:themeFillShade="F2"/>
          </w:tcPr>
          <w:p w14:paraId="39F0C7E0"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B8D1843"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0393078" w14:textId="215D18CC"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09A1A7F" w14:textId="77777777" w:rsidR="006B5E51" w:rsidRDefault="006B5E51" w:rsidP="006B5E51">
            <w:pPr>
              <w:pStyle w:val="MerknadTR"/>
              <w:spacing w:line="160" w:lineRule="exact"/>
              <w:jc w:val="right"/>
              <w:rPr>
                <w:sz w:val="14"/>
                <w:szCs w:val="14"/>
              </w:rPr>
            </w:pPr>
          </w:p>
        </w:tc>
      </w:tr>
      <w:tr w:rsidR="006B5E51" w:rsidRPr="006024A7" w14:paraId="70F5724A" w14:textId="4A1F0726" w:rsidTr="0041529F">
        <w:trPr>
          <w:trHeight w:hRule="exact" w:val="227"/>
        </w:trPr>
        <w:tc>
          <w:tcPr>
            <w:tcW w:w="0" w:type="auto"/>
            <w:tcBorders>
              <w:top w:val="nil"/>
              <w:left w:val="nil"/>
              <w:bottom w:val="nil"/>
              <w:right w:val="nil"/>
            </w:tcBorders>
            <w:shd w:val="clear" w:color="auto" w:fill="F2F2F2" w:themeFill="background1" w:themeFillShade="F2"/>
          </w:tcPr>
          <w:p w14:paraId="37073BE4" w14:textId="5F0875A1" w:rsidR="006B5E51" w:rsidRPr="006024A7" w:rsidRDefault="006B5E51" w:rsidP="006B5E51">
            <w:pPr>
              <w:pStyle w:val="MerknadTR"/>
              <w:spacing w:line="160" w:lineRule="exact"/>
              <w:rPr>
                <w:sz w:val="14"/>
                <w:szCs w:val="14"/>
              </w:rPr>
            </w:pPr>
            <w:r w:rsidRPr="006024A7">
              <w:rPr>
                <w:sz w:val="14"/>
                <w:szCs w:val="14"/>
              </w:rPr>
              <w:t>A og B</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1012C1D9" w14:textId="40EBD410" w:rsidR="00285B1F" w:rsidRDefault="00FA2414" w:rsidP="006B5E51">
            <w:pPr>
              <w:pStyle w:val="MerknadTR"/>
              <w:spacing w:line="160" w:lineRule="exact"/>
              <w:jc w:val="right"/>
              <w:rPr>
                <w:sz w:val="14"/>
                <w:szCs w:val="14"/>
              </w:rPr>
            </w:pPr>
            <w:r>
              <w:rPr>
                <w:sz w:val="14"/>
                <w:szCs w:val="14"/>
              </w:rPr>
              <w:t>40,3</w:t>
            </w:r>
          </w:p>
        </w:tc>
        <w:tc>
          <w:tcPr>
            <w:tcW w:w="0" w:type="auto"/>
            <w:tcBorders>
              <w:top w:val="nil"/>
              <w:left w:val="nil"/>
              <w:bottom w:val="nil"/>
              <w:right w:val="nil"/>
            </w:tcBorders>
            <w:shd w:val="clear" w:color="auto" w:fill="F2F2F2" w:themeFill="background1" w:themeFillShade="F2"/>
          </w:tcPr>
          <w:p w14:paraId="0DE22F86" w14:textId="554FAE3E" w:rsidR="006B5E51" w:rsidRDefault="006B5E51" w:rsidP="006B5E51">
            <w:pPr>
              <w:pStyle w:val="MerknadTR"/>
              <w:spacing w:line="160" w:lineRule="exact"/>
              <w:jc w:val="right"/>
              <w:rPr>
                <w:sz w:val="14"/>
                <w:szCs w:val="14"/>
              </w:rPr>
            </w:pPr>
            <w:r>
              <w:rPr>
                <w:sz w:val="14"/>
                <w:szCs w:val="14"/>
              </w:rPr>
              <w:t>42,6</w:t>
            </w:r>
          </w:p>
        </w:tc>
        <w:tc>
          <w:tcPr>
            <w:tcW w:w="0" w:type="auto"/>
            <w:tcBorders>
              <w:top w:val="nil"/>
              <w:left w:val="nil"/>
              <w:bottom w:val="nil"/>
              <w:right w:val="nil"/>
            </w:tcBorders>
            <w:shd w:val="clear" w:color="auto" w:fill="F2F2F2" w:themeFill="background1" w:themeFillShade="F2"/>
          </w:tcPr>
          <w:p w14:paraId="2B917252" w14:textId="28624253" w:rsidR="006B5E51" w:rsidRPr="006024A7" w:rsidRDefault="006B5E51" w:rsidP="006B5E51">
            <w:pPr>
              <w:pStyle w:val="MerknadTR"/>
              <w:spacing w:line="160" w:lineRule="exact"/>
              <w:jc w:val="right"/>
              <w:rPr>
                <w:sz w:val="14"/>
                <w:szCs w:val="14"/>
              </w:rPr>
            </w:pPr>
            <w:r>
              <w:rPr>
                <w:sz w:val="14"/>
                <w:szCs w:val="14"/>
              </w:rPr>
              <w:t>43,3</w:t>
            </w:r>
          </w:p>
        </w:tc>
        <w:tc>
          <w:tcPr>
            <w:tcW w:w="0" w:type="auto"/>
            <w:tcBorders>
              <w:top w:val="nil"/>
              <w:left w:val="nil"/>
              <w:bottom w:val="nil"/>
              <w:right w:val="nil"/>
            </w:tcBorders>
            <w:shd w:val="clear" w:color="auto" w:fill="F2F2F2" w:themeFill="background1" w:themeFillShade="F2"/>
          </w:tcPr>
          <w:p w14:paraId="23621752" w14:textId="6FD48216" w:rsidR="006B5E51" w:rsidRDefault="00E029FC" w:rsidP="006B5E51">
            <w:pPr>
              <w:pStyle w:val="MerknadTR"/>
              <w:spacing w:line="160" w:lineRule="exact"/>
              <w:jc w:val="right"/>
              <w:rPr>
                <w:sz w:val="14"/>
                <w:szCs w:val="14"/>
              </w:rPr>
            </w:pPr>
            <w:r>
              <w:rPr>
                <w:sz w:val="14"/>
                <w:szCs w:val="14"/>
              </w:rPr>
              <w:t>40,9</w:t>
            </w:r>
          </w:p>
        </w:tc>
      </w:tr>
      <w:tr w:rsidR="006B5E51" w:rsidRPr="006024A7" w14:paraId="4653F2CF" w14:textId="2C7666A6" w:rsidTr="0041529F">
        <w:trPr>
          <w:trHeight w:hRule="exact" w:val="227"/>
        </w:trPr>
        <w:tc>
          <w:tcPr>
            <w:tcW w:w="0" w:type="auto"/>
            <w:tcBorders>
              <w:top w:val="nil"/>
              <w:left w:val="nil"/>
              <w:bottom w:val="nil"/>
              <w:right w:val="nil"/>
            </w:tcBorders>
            <w:shd w:val="clear" w:color="auto" w:fill="F2F2F2" w:themeFill="background1" w:themeFillShade="F2"/>
          </w:tcPr>
          <w:p w14:paraId="132E65AA" w14:textId="284A3050" w:rsidR="006B5E51" w:rsidRPr="006024A7" w:rsidRDefault="006B5E51" w:rsidP="006B5E51">
            <w:pPr>
              <w:pStyle w:val="MerknadTR"/>
              <w:spacing w:line="160" w:lineRule="exact"/>
              <w:rPr>
                <w:b/>
                <w:sz w:val="14"/>
                <w:szCs w:val="14"/>
              </w:rPr>
            </w:pPr>
            <w:r w:rsidRPr="006024A7">
              <w:rPr>
                <w:sz w:val="14"/>
                <w:szCs w:val="14"/>
              </w:rPr>
              <w:t>Stryk</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4395084D" w14:textId="72C2E47C" w:rsidR="00285B1F" w:rsidRDefault="00FA2414" w:rsidP="006B5E51">
            <w:pPr>
              <w:pStyle w:val="MerknadTR"/>
              <w:spacing w:line="160" w:lineRule="exact"/>
              <w:jc w:val="right"/>
              <w:rPr>
                <w:sz w:val="14"/>
                <w:szCs w:val="14"/>
              </w:rPr>
            </w:pPr>
            <w:r>
              <w:rPr>
                <w:sz w:val="14"/>
                <w:szCs w:val="14"/>
              </w:rPr>
              <w:t>7,1</w:t>
            </w:r>
          </w:p>
        </w:tc>
        <w:tc>
          <w:tcPr>
            <w:tcW w:w="0" w:type="auto"/>
            <w:tcBorders>
              <w:top w:val="nil"/>
              <w:left w:val="nil"/>
              <w:bottom w:val="nil"/>
              <w:right w:val="nil"/>
            </w:tcBorders>
            <w:shd w:val="clear" w:color="auto" w:fill="F2F2F2" w:themeFill="background1" w:themeFillShade="F2"/>
          </w:tcPr>
          <w:p w14:paraId="5C025FC9" w14:textId="6CDC50B2" w:rsidR="006B5E51" w:rsidRDefault="006B5E51" w:rsidP="006B5E51">
            <w:pPr>
              <w:pStyle w:val="MerknadTR"/>
              <w:spacing w:line="160" w:lineRule="exact"/>
              <w:jc w:val="right"/>
              <w:rPr>
                <w:sz w:val="14"/>
                <w:szCs w:val="14"/>
              </w:rPr>
            </w:pPr>
            <w:r>
              <w:rPr>
                <w:sz w:val="14"/>
                <w:szCs w:val="14"/>
              </w:rPr>
              <w:t>5,8</w:t>
            </w:r>
          </w:p>
        </w:tc>
        <w:tc>
          <w:tcPr>
            <w:tcW w:w="0" w:type="auto"/>
            <w:tcBorders>
              <w:top w:val="nil"/>
              <w:left w:val="nil"/>
              <w:bottom w:val="nil"/>
              <w:right w:val="nil"/>
            </w:tcBorders>
            <w:shd w:val="clear" w:color="auto" w:fill="F2F2F2" w:themeFill="background1" w:themeFillShade="F2"/>
          </w:tcPr>
          <w:p w14:paraId="75FEEA12" w14:textId="5C972100" w:rsidR="006B5E51" w:rsidRPr="006024A7" w:rsidRDefault="006B5E51" w:rsidP="006B5E51">
            <w:pPr>
              <w:pStyle w:val="MerknadTR"/>
              <w:spacing w:line="160" w:lineRule="exact"/>
              <w:jc w:val="right"/>
              <w:rPr>
                <w:sz w:val="14"/>
                <w:szCs w:val="14"/>
              </w:rPr>
            </w:pPr>
            <w:r>
              <w:rPr>
                <w:sz w:val="14"/>
                <w:szCs w:val="14"/>
              </w:rPr>
              <w:t>5,8</w:t>
            </w:r>
          </w:p>
        </w:tc>
        <w:tc>
          <w:tcPr>
            <w:tcW w:w="0" w:type="auto"/>
            <w:tcBorders>
              <w:top w:val="nil"/>
              <w:left w:val="nil"/>
              <w:bottom w:val="nil"/>
              <w:right w:val="nil"/>
            </w:tcBorders>
            <w:shd w:val="clear" w:color="auto" w:fill="F2F2F2" w:themeFill="background1" w:themeFillShade="F2"/>
          </w:tcPr>
          <w:p w14:paraId="554CC0BA" w14:textId="0B3C848D" w:rsidR="006B5E51" w:rsidRDefault="00B36895" w:rsidP="006B5E51">
            <w:pPr>
              <w:pStyle w:val="MerknadTR"/>
              <w:spacing w:line="160" w:lineRule="exact"/>
              <w:jc w:val="right"/>
              <w:rPr>
                <w:sz w:val="14"/>
                <w:szCs w:val="14"/>
              </w:rPr>
            </w:pPr>
            <w:r>
              <w:rPr>
                <w:sz w:val="14"/>
                <w:szCs w:val="14"/>
              </w:rPr>
              <w:t>7,1</w:t>
            </w:r>
          </w:p>
        </w:tc>
      </w:tr>
      <w:tr w:rsidR="006B5E51" w:rsidRPr="006024A7" w14:paraId="56C0C217" w14:textId="69060866" w:rsidTr="0041529F">
        <w:trPr>
          <w:trHeight w:hRule="exact" w:val="227"/>
        </w:trPr>
        <w:tc>
          <w:tcPr>
            <w:tcW w:w="0" w:type="auto"/>
            <w:tcBorders>
              <w:top w:val="nil"/>
              <w:left w:val="nil"/>
              <w:bottom w:val="nil"/>
              <w:right w:val="nil"/>
            </w:tcBorders>
            <w:shd w:val="clear" w:color="auto" w:fill="F2F2F2" w:themeFill="background1" w:themeFillShade="F2"/>
          </w:tcPr>
          <w:p w14:paraId="1D96CDFC"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20FB0F8"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5CAB71E"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D690DC5" w14:textId="0DF61D32"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77D0E1E" w14:textId="77777777" w:rsidR="006B5E51" w:rsidRPr="006024A7" w:rsidRDefault="006B5E51" w:rsidP="006B5E51">
            <w:pPr>
              <w:pStyle w:val="MerknadTR"/>
              <w:spacing w:line="160" w:lineRule="exact"/>
              <w:jc w:val="right"/>
              <w:rPr>
                <w:sz w:val="14"/>
                <w:szCs w:val="14"/>
              </w:rPr>
            </w:pPr>
          </w:p>
        </w:tc>
      </w:tr>
      <w:tr w:rsidR="006B5E51" w:rsidRPr="006024A7" w14:paraId="59FCCB06" w14:textId="10B1D2CC" w:rsidTr="0041529F">
        <w:trPr>
          <w:trHeight w:hRule="exact" w:val="227"/>
        </w:trPr>
        <w:tc>
          <w:tcPr>
            <w:tcW w:w="0" w:type="auto"/>
            <w:tcBorders>
              <w:top w:val="nil"/>
              <w:left w:val="nil"/>
              <w:bottom w:val="nil"/>
              <w:right w:val="nil"/>
            </w:tcBorders>
            <w:shd w:val="clear" w:color="auto" w:fill="F2F2F2" w:themeFill="background1" w:themeFillShade="F2"/>
          </w:tcPr>
          <w:p w14:paraId="2F1BFF97" w14:textId="1DC804DB" w:rsidR="006B5E51" w:rsidRPr="006024A7" w:rsidRDefault="006B5E51" w:rsidP="006B5E51">
            <w:pPr>
              <w:pStyle w:val="MerknadTR"/>
              <w:spacing w:line="160" w:lineRule="exact"/>
              <w:rPr>
                <w:sz w:val="14"/>
                <w:szCs w:val="14"/>
              </w:rPr>
            </w:pPr>
            <w:r w:rsidRPr="006024A7">
              <w:rPr>
                <w:b/>
                <w:sz w:val="14"/>
                <w:szCs w:val="14"/>
              </w:rPr>
              <w:t>Doktorgrader</w:t>
            </w:r>
          </w:p>
        </w:tc>
        <w:tc>
          <w:tcPr>
            <w:tcW w:w="0" w:type="auto"/>
            <w:tcBorders>
              <w:top w:val="nil"/>
              <w:left w:val="nil"/>
              <w:bottom w:val="nil"/>
              <w:right w:val="nil"/>
            </w:tcBorders>
            <w:shd w:val="clear" w:color="auto" w:fill="F2F2F2" w:themeFill="background1" w:themeFillShade="F2"/>
          </w:tcPr>
          <w:p w14:paraId="79AA4EB1"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AE72051"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02921BD" w14:textId="2F1C4746"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0F08386" w14:textId="77777777" w:rsidR="006B5E51" w:rsidRDefault="006B5E51" w:rsidP="006B5E51">
            <w:pPr>
              <w:pStyle w:val="MerknadTR"/>
              <w:spacing w:line="160" w:lineRule="exact"/>
              <w:jc w:val="right"/>
              <w:rPr>
                <w:sz w:val="14"/>
                <w:szCs w:val="14"/>
              </w:rPr>
            </w:pPr>
          </w:p>
        </w:tc>
      </w:tr>
      <w:tr w:rsidR="006B5E51" w:rsidRPr="006024A7" w14:paraId="7DB7D0B0" w14:textId="68B0C8E2" w:rsidTr="0041529F">
        <w:trPr>
          <w:trHeight w:hRule="exact" w:val="227"/>
        </w:trPr>
        <w:tc>
          <w:tcPr>
            <w:tcW w:w="0" w:type="auto"/>
            <w:tcBorders>
              <w:top w:val="nil"/>
              <w:left w:val="nil"/>
              <w:bottom w:val="nil"/>
              <w:right w:val="nil"/>
            </w:tcBorders>
            <w:shd w:val="clear" w:color="auto" w:fill="F2F2F2" w:themeFill="background1" w:themeFillShade="F2"/>
          </w:tcPr>
          <w:p w14:paraId="5A96E64D" w14:textId="77777777" w:rsidR="006B5E51" w:rsidRPr="006024A7" w:rsidRDefault="006B5E51" w:rsidP="006B5E51">
            <w:pPr>
              <w:pStyle w:val="MerknadTR"/>
              <w:spacing w:line="160" w:lineRule="exact"/>
              <w:rPr>
                <w:sz w:val="14"/>
                <w:szCs w:val="14"/>
              </w:rPr>
            </w:pPr>
            <w:r w:rsidRPr="006024A7">
              <w:rPr>
                <w:sz w:val="14"/>
                <w:szCs w:val="14"/>
              </w:rPr>
              <w:t>Antall avlagte doktorgrader</w:t>
            </w:r>
          </w:p>
        </w:tc>
        <w:tc>
          <w:tcPr>
            <w:tcW w:w="0" w:type="auto"/>
            <w:tcBorders>
              <w:top w:val="nil"/>
              <w:left w:val="nil"/>
              <w:bottom w:val="nil"/>
              <w:right w:val="nil"/>
            </w:tcBorders>
            <w:shd w:val="clear" w:color="auto" w:fill="F2F2F2" w:themeFill="background1" w:themeFillShade="F2"/>
          </w:tcPr>
          <w:p w14:paraId="5D097B77" w14:textId="3DE3A643" w:rsidR="00285B1F" w:rsidRDefault="004C0E93" w:rsidP="006B5E51">
            <w:pPr>
              <w:pStyle w:val="MerknadTR"/>
              <w:spacing w:line="160" w:lineRule="exact"/>
              <w:jc w:val="right"/>
              <w:rPr>
                <w:sz w:val="14"/>
                <w:szCs w:val="14"/>
              </w:rPr>
            </w:pPr>
            <w:r>
              <w:rPr>
                <w:sz w:val="14"/>
                <w:szCs w:val="14"/>
              </w:rPr>
              <w:t>1</w:t>
            </w:r>
            <w:r w:rsidRPr="00F41A2F">
              <w:rPr>
                <w:sz w:val="14"/>
                <w:szCs w:val="14"/>
              </w:rPr>
              <w:t> </w:t>
            </w:r>
            <w:r>
              <w:rPr>
                <w:sz w:val="14"/>
                <w:szCs w:val="14"/>
              </w:rPr>
              <w:t>583</w:t>
            </w:r>
          </w:p>
        </w:tc>
        <w:tc>
          <w:tcPr>
            <w:tcW w:w="0" w:type="auto"/>
            <w:tcBorders>
              <w:top w:val="nil"/>
              <w:left w:val="nil"/>
              <w:bottom w:val="nil"/>
              <w:right w:val="nil"/>
            </w:tcBorders>
            <w:shd w:val="clear" w:color="auto" w:fill="F2F2F2" w:themeFill="background1" w:themeFillShade="F2"/>
          </w:tcPr>
          <w:p w14:paraId="1C9B2C70" w14:textId="5B10A424" w:rsidR="006B5E51" w:rsidRDefault="006B5E51" w:rsidP="006B5E51">
            <w:pPr>
              <w:pStyle w:val="MerknadTR"/>
              <w:spacing w:line="160" w:lineRule="exact"/>
              <w:jc w:val="right"/>
              <w:rPr>
                <w:sz w:val="14"/>
                <w:szCs w:val="14"/>
              </w:rPr>
            </w:pPr>
            <w:r>
              <w:rPr>
                <w:sz w:val="14"/>
                <w:szCs w:val="14"/>
              </w:rPr>
              <w:t>1 634</w:t>
            </w:r>
          </w:p>
        </w:tc>
        <w:tc>
          <w:tcPr>
            <w:tcW w:w="0" w:type="auto"/>
            <w:tcBorders>
              <w:top w:val="nil"/>
              <w:left w:val="nil"/>
              <w:bottom w:val="nil"/>
              <w:right w:val="nil"/>
            </w:tcBorders>
            <w:shd w:val="clear" w:color="auto" w:fill="F2F2F2" w:themeFill="background1" w:themeFillShade="F2"/>
          </w:tcPr>
          <w:p w14:paraId="6A0E104E" w14:textId="2CD9D558" w:rsidR="006B5E51" w:rsidRPr="006024A7" w:rsidRDefault="006B5E51" w:rsidP="006B5E51">
            <w:pPr>
              <w:pStyle w:val="MerknadTR"/>
              <w:spacing w:line="160" w:lineRule="exact"/>
              <w:jc w:val="right"/>
              <w:rPr>
                <w:sz w:val="14"/>
                <w:szCs w:val="14"/>
              </w:rPr>
            </w:pPr>
            <w:r w:rsidRPr="004212C9">
              <w:rPr>
                <w:sz w:val="14"/>
                <w:szCs w:val="14"/>
              </w:rPr>
              <w:t>1</w:t>
            </w:r>
            <w:r>
              <w:rPr>
                <w:sz w:val="14"/>
                <w:szCs w:val="14"/>
              </w:rPr>
              <w:t> </w:t>
            </w:r>
            <w:r w:rsidRPr="004212C9">
              <w:rPr>
                <w:sz w:val="14"/>
                <w:szCs w:val="14"/>
              </w:rPr>
              <w:t>60</w:t>
            </w:r>
            <w:r>
              <w:rPr>
                <w:sz w:val="14"/>
                <w:szCs w:val="14"/>
              </w:rPr>
              <w:t>1</w:t>
            </w:r>
          </w:p>
        </w:tc>
        <w:tc>
          <w:tcPr>
            <w:tcW w:w="0" w:type="auto"/>
            <w:tcBorders>
              <w:top w:val="nil"/>
              <w:left w:val="nil"/>
              <w:bottom w:val="nil"/>
              <w:right w:val="nil"/>
            </w:tcBorders>
            <w:shd w:val="clear" w:color="auto" w:fill="F2F2F2" w:themeFill="background1" w:themeFillShade="F2"/>
          </w:tcPr>
          <w:p w14:paraId="61176FD3" w14:textId="67E09E2C" w:rsidR="006B5E51" w:rsidRPr="004212C9" w:rsidRDefault="00AE754A" w:rsidP="006B5E51">
            <w:pPr>
              <w:pStyle w:val="MerknadTR"/>
              <w:spacing w:line="160" w:lineRule="exact"/>
              <w:jc w:val="right"/>
              <w:rPr>
                <w:sz w:val="14"/>
                <w:szCs w:val="14"/>
              </w:rPr>
            </w:pPr>
            <w:r>
              <w:rPr>
                <w:sz w:val="14"/>
                <w:szCs w:val="14"/>
              </w:rPr>
              <w:t>1 562</w:t>
            </w:r>
          </w:p>
        </w:tc>
      </w:tr>
      <w:tr w:rsidR="006B5E51" w:rsidRPr="006024A7" w14:paraId="542F4CEF" w14:textId="196BCE4C" w:rsidTr="0041529F">
        <w:trPr>
          <w:trHeight w:hRule="exact" w:val="227"/>
        </w:trPr>
        <w:tc>
          <w:tcPr>
            <w:tcW w:w="0" w:type="auto"/>
            <w:tcBorders>
              <w:top w:val="nil"/>
              <w:left w:val="nil"/>
              <w:bottom w:val="nil"/>
              <w:right w:val="nil"/>
            </w:tcBorders>
            <w:shd w:val="clear" w:color="auto" w:fill="F2F2F2" w:themeFill="background1" w:themeFillShade="F2"/>
          </w:tcPr>
          <w:p w14:paraId="0FCDF17E" w14:textId="4546AADF" w:rsidR="006B5E51" w:rsidRPr="006024A7" w:rsidRDefault="006B5E51" w:rsidP="006B5E51">
            <w:pPr>
              <w:pStyle w:val="MerknadTR"/>
              <w:spacing w:line="160" w:lineRule="exact"/>
              <w:rPr>
                <w:sz w:val="14"/>
                <w:szCs w:val="14"/>
              </w:rPr>
            </w:pPr>
            <w:r w:rsidRPr="006024A7">
              <w:rPr>
                <w:sz w:val="14"/>
                <w:szCs w:val="14"/>
              </w:rPr>
              <w:t>Andel kvinnelige doktorander</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2AC28261" w14:textId="338A7C5D" w:rsidR="00285B1F" w:rsidRDefault="004C0E93" w:rsidP="006B5E51">
            <w:pPr>
              <w:pStyle w:val="MerknadTR"/>
              <w:spacing w:line="160" w:lineRule="exact"/>
              <w:jc w:val="right"/>
              <w:rPr>
                <w:sz w:val="14"/>
                <w:szCs w:val="14"/>
              </w:rPr>
            </w:pPr>
            <w:r>
              <w:rPr>
                <w:sz w:val="14"/>
                <w:szCs w:val="14"/>
              </w:rPr>
              <w:t>49,9</w:t>
            </w:r>
          </w:p>
        </w:tc>
        <w:tc>
          <w:tcPr>
            <w:tcW w:w="0" w:type="auto"/>
            <w:tcBorders>
              <w:top w:val="nil"/>
              <w:left w:val="nil"/>
              <w:bottom w:val="nil"/>
              <w:right w:val="nil"/>
            </w:tcBorders>
            <w:shd w:val="clear" w:color="auto" w:fill="F2F2F2" w:themeFill="background1" w:themeFillShade="F2"/>
          </w:tcPr>
          <w:p w14:paraId="79DF3312" w14:textId="2875CD13" w:rsidR="006B5E51" w:rsidRDefault="006B5E51" w:rsidP="006B5E51">
            <w:pPr>
              <w:pStyle w:val="MerknadTR"/>
              <w:spacing w:line="160" w:lineRule="exact"/>
              <w:jc w:val="right"/>
              <w:rPr>
                <w:sz w:val="14"/>
                <w:szCs w:val="14"/>
              </w:rPr>
            </w:pPr>
            <w:r>
              <w:rPr>
                <w:sz w:val="14"/>
                <w:szCs w:val="14"/>
              </w:rPr>
              <w:t>50,6</w:t>
            </w:r>
          </w:p>
        </w:tc>
        <w:tc>
          <w:tcPr>
            <w:tcW w:w="0" w:type="auto"/>
            <w:tcBorders>
              <w:top w:val="nil"/>
              <w:left w:val="nil"/>
              <w:bottom w:val="nil"/>
              <w:right w:val="nil"/>
            </w:tcBorders>
            <w:shd w:val="clear" w:color="auto" w:fill="F2F2F2" w:themeFill="background1" w:themeFillShade="F2"/>
          </w:tcPr>
          <w:p w14:paraId="6AB6247F" w14:textId="3BDA4A5D" w:rsidR="006B5E51" w:rsidRPr="006024A7" w:rsidRDefault="006B5E51" w:rsidP="006B5E51">
            <w:pPr>
              <w:pStyle w:val="MerknadTR"/>
              <w:spacing w:line="160" w:lineRule="exact"/>
              <w:jc w:val="right"/>
              <w:rPr>
                <w:sz w:val="14"/>
                <w:szCs w:val="14"/>
              </w:rPr>
            </w:pPr>
            <w:r>
              <w:rPr>
                <w:sz w:val="14"/>
                <w:szCs w:val="14"/>
              </w:rPr>
              <w:t>51,2</w:t>
            </w:r>
          </w:p>
        </w:tc>
        <w:tc>
          <w:tcPr>
            <w:tcW w:w="0" w:type="auto"/>
            <w:tcBorders>
              <w:top w:val="nil"/>
              <w:left w:val="nil"/>
              <w:bottom w:val="nil"/>
              <w:right w:val="nil"/>
            </w:tcBorders>
            <w:shd w:val="clear" w:color="auto" w:fill="F2F2F2" w:themeFill="background1" w:themeFillShade="F2"/>
          </w:tcPr>
          <w:p w14:paraId="57D5F3AD" w14:textId="79603C24" w:rsidR="006B5E51" w:rsidRDefault="00EF4A2E" w:rsidP="006B5E51">
            <w:pPr>
              <w:pStyle w:val="MerknadTR"/>
              <w:spacing w:line="160" w:lineRule="exact"/>
              <w:jc w:val="right"/>
              <w:rPr>
                <w:sz w:val="14"/>
                <w:szCs w:val="14"/>
              </w:rPr>
            </w:pPr>
            <w:r>
              <w:rPr>
                <w:sz w:val="14"/>
                <w:szCs w:val="14"/>
              </w:rPr>
              <w:t>51,7</w:t>
            </w:r>
          </w:p>
        </w:tc>
      </w:tr>
      <w:tr w:rsidR="006B5E51" w:rsidRPr="006024A7" w14:paraId="3AA21C7B" w14:textId="41F19EE0" w:rsidTr="0041529F">
        <w:trPr>
          <w:trHeight w:hRule="exact" w:val="227"/>
        </w:trPr>
        <w:tc>
          <w:tcPr>
            <w:tcW w:w="0" w:type="auto"/>
            <w:tcBorders>
              <w:top w:val="nil"/>
              <w:left w:val="nil"/>
              <w:bottom w:val="nil"/>
              <w:right w:val="nil"/>
            </w:tcBorders>
            <w:shd w:val="clear" w:color="auto" w:fill="F2F2F2" w:themeFill="background1" w:themeFillShade="F2"/>
          </w:tcPr>
          <w:p w14:paraId="35A74205"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C2F40A7"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906356A"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C9C8172" w14:textId="0F382C3F"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D68C021" w14:textId="77777777" w:rsidR="006B5E51" w:rsidRPr="006024A7" w:rsidRDefault="006B5E51" w:rsidP="006B5E51">
            <w:pPr>
              <w:pStyle w:val="MerknadTR"/>
              <w:spacing w:line="160" w:lineRule="exact"/>
              <w:jc w:val="right"/>
              <w:rPr>
                <w:sz w:val="14"/>
                <w:szCs w:val="14"/>
              </w:rPr>
            </w:pPr>
          </w:p>
        </w:tc>
      </w:tr>
      <w:tr w:rsidR="006B5E51" w:rsidRPr="006024A7" w14:paraId="3D3003A8" w14:textId="710F9B2F" w:rsidTr="0041529F">
        <w:trPr>
          <w:trHeight w:hRule="exact" w:val="227"/>
        </w:trPr>
        <w:tc>
          <w:tcPr>
            <w:tcW w:w="0" w:type="auto"/>
            <w:tcBorders>
              <w:top w:val="nil"/>
              <w:left w:val="nil"/>
              <w:bottom w:val="nil"/>
              <w:right w:val="nil"/>
            </w:tcBorders>
            <w:shd w:val="clear" w:color="auto" w:fill="F2F2F2" w:themeFill="background1" w:themeFillShade="F2"/>
          </w:tcPr>
          <w:p w14:paraId="57F774C4" w14:textId="10291D6B" w:rsidR="006B5E51" w:rsidRPr="00BB4764" w:rsidRDefault="006B5E51" w:rsidP="006B5E51">
            <w:pPr>
              <w:pStyle w:val="MerknadTR"/>
              <w:spacing w:line="160" w:lineRule="exact"/>
              <w:rPr>
                <w:sz w:val="14"/>
                <w:szCs w:val="14"/>
                <w:lang w:val="nn-NO"/>
              </w:rPr>
            </w:pPr>
            <w:r w:rsidRPr="006024A7">
              <w:rPr>
                <w:b/>
                <w:sz w:val="14"/>
                <w:szCs w:val="14"/>
              </w:rPr>
              <w:t>Stipendiater i kunstnerisk stipendiatprogram</w:t>
            </w:r>
          </w:p>
        </w:tc>
        <w:tc>
          <w:tcPr>
            <w:tcW w:w="0" w:type="auto"/>
            <w:tcBorders>
              <w:top w:val="nil"/>
              <w:left w:val="nil"/>
              <w:bottom w:val="nil"/>
              <w:right w:val="nil"/>
            </w:tcBorders>
            <w:shd w:val="clear" w:color="auto" w:fill="F2F2F2" w:themeFill="background1" w:themeFillShade="F2"/>
          </w:tcPr>
          <w:p w14:paraId="57C44CD2" w14:textId="77777777" w:rsidR="00285B1F" w:rsidRDefault="00285B1F" w:rsidP="006B5E5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0C4FD614" w14:textId="77777777" w:rsidR="006B5E51" w:rsidRDefault="006B5E51" w:rsidP="006B5E5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4B476E5A" w14:textId="24026E57" w:rsidR="006B5E51" w:rsidRDefault="006B5E51" w:rsidP="006B5E5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7EC1413F" w14:textId="77777777" w:rsidR="006B5E51" w:rsidRDefault="006B5E51" w:rsidP="006B5E51">
            <w:pPr>
              <w:pStyle w:val="MerknadTR"/>
              <w:spacing w:line="160" w:lineRule="exact"/>
              <w:jc w:val="right"/>
              <w:rPr>
                <w:sz w:val="14"/>
                <w:szCs w:val="14"/>
                <w:lang w:val="nn-NO"/>
              </w:rPr>
            </w:pPr>
          </w:p>
        </w:tc>
      </w:tr>
      <w:tr w:rsidR="006B5E51" w:rsidRPr="006024A7" w14:paraId="3381DEE1" w14:textId="3BB91D06" w:rsidTr="0041529F">
        <w:trPr>
          <w:trHeight w:hRule="exact" w:val="227"/>
        </w:trPr>
        <w:tc>
          <w:tcPr>
            <w:tcW w:w="0" w:type="auto"/>
            <w:tcBorders>
              <w:top w:val="nil"/>
              <w:left w:val="nil"/>
              <w:bottom w:val="nil"/>
              <w:right w:val="nil"/>
            </w:tcBorders>
            <w:shd w:val="clear" w:color="auto" w:fill="F2F2F2" w:themeFill="background1" w:themeFillShade="F2"/>
          </w:tcPr>
          <w:p w14:paraId="0547E954" w14:textId="77777777" w:rsidR="006B5E51" w:rsidRPr="00BB4764" w:rsidRDefault="006B5E51" w:rsidP="006B5E51">
            <w:pPr>
              <w:pStyle w:val="MerknadTR"/>
              <w:spacing w:line="160" w:lineRule="exact"/>
              <w:rPr>
                <w:sz w:val="14"/>
                <w:szCs w:val="14"/>
                <w:lang w:val="nn-NO"/>
              </w:rPr>
            </w:pPr>
            <w:proofErr w:type="spellStart"/>
            <w:r w:rsidRPr="00BB4764">
              <w:rPr>
                <w:sz w:val="14"/>
                <w:szCs w:val="14"/>
                <w:lang w:val="nn-NO"/>
              </w:rPr>
              <w:t>Antall</w:t>
            </w:r>
            <w:proofErr w:type="spellEnd"/>
            <w:r w:rsidRPr="00BB4764">
              <w:rPr>
                <w:sz w:val="14"/>
                <w:szCs w:val="14"/>
                <w:lang w:val="nn-NO"/>
              </w:rPr>
              <w:t xml:space="preserve"> </w:t>
            </w:r>
            <w:proofErr w:type="spellStart"/>
            <w:r w:rsidRPr="00BB4764">
              <w:rPr>
                <w:sz w:val="14"/>
                <w:szCs w:val="14"/>
                <w:lang w:val="nn-NO"/>
              </w:rPr>
              <w:t>stipendiater</w:t>
            </w:r>
            <w:proofErr w:type="spellEnd"/>
            <w:r w:rsidRPr="00BB4764">
              <w:rPr>
                <w:sz w:val="14"/>
                <w:szCs w:val="14"/>
                <w:lang w:val="nn-NO"/>
              </w:rPr>
              <w:t xml:space="preserve"> i </w:t>
            </w:r>
            <w:proofErr w:type="spellStart"/>
            <w:r w:rsidRPr="00BB4764">
              <w:rPr>
                <w:sz w:val="14"/>
                <w:szCs w:val="14"/>
                <w:lang w:val="nn-NO"/>
              </w:rPr>
              <w:t>kunstnerisk</w:t>
            </w:r>
            <w:proofErr w:type="spellEnd"/>
            <w:r w:rsidRPr="00BB4764">
              <w:rPr>
                <w:sz w:val="14"/>
                <w:szCs w:val="14"/>
                <w:lang w:val="nn-NO"/>
              </w:rPr>
              <w:t xml:space="preserve"> utviklingsarbeid</w:t>
            </w:r>
          </w:p>
        </w:tc>
        <w:tc>
          <w:tcPr>
            <w:tcW w:w="0" w:type="auto"/>
            <w:tcBorders>
              <w:top w:val="nil"/>
              <w:left w:val="nil"/>
              <w:bottom w:val="nil"/>
              <w:right w:val="nil"/>
            </w:tcBorders>
            <w:shd w:val="clear" w:color="auto" w:fill="F2F2F2" w:themeFill="background1" w:themeFillShade="F2"/>
          </w:tcPr>
          <w:p w14:paraId="5F9C3DDE" w14:textId="42105B5E" w:rsidR="00285B1F" w:rsidRDefault="009B4E87" w:rsidP="006B5E51">
            <w:pPr>
              <w:pStyle w:val="MerknadTR"/>
              <w:spacing w:line="160" w:lineRule="exact"/>
              <w:jc w:val="right"/>
              <w:rPr>
                <w:sz w:val="14"/>
                <w:szCs w:val="14"/>
                <w:lang w:val="nn-NO"/>
              </w:rPr>
            </w:pPr>
            <w:r>
              <w:rPr>
                <w:sz w:val="14"/>
                <w:szCs w:val="14"/>
                <w:lang w:val="nn-NO"/>
              </w:rPr>
              <w:t>106</w:t>
            </w:r>
          </w:p>
        </w:tc>
        <w:tc>
          <w:tcPr>
            <w:tcW w:w="0" w:type="auto"/>
            <w:tcBorders>
              <w:top w:val="nil"/>
              <w:left w:val="nil"/>
              <w:bottom w:val="nil"/>
              <w:right w:val="nil"/>
            </w:tcBorders>
            <w:shd w:val="clear" w:color="auto" w:fill="F2F2F2" w:themeFill="background1" w:themeFillShade="F2"/>
          </w:tcPr>
          <w:p w14:paraId="3AFBD72A" w14:textId="4A491D21" w:rsidR="006B5E51" w:rsidRDefault="006B5E51" w:rsidP="006B5E51">
            <w:pPr>
              <w:pStyle w:val="MerknadTR"/>
              <w:spacing w:line="160" w:lineRule="exact"/>
              <w:jc w:val="right"/>
              <w:rPr>
                <w:sz w:val="14"/>
                <w:szCs w:val="14"/>
                <w:lang w:val="nn-NO"/>
              </w:rPr>
            </w:pPr>
            <w:r>
              <w:rPr>
                <w:sz w:val="14"/>
                <w:szCs w:val="14"/>
                <w:lang w:val="nn-NO"/>
              </w:rPr>
              <w:t>107</w:t>
            </w:r>
          </w:p>
        </w:tc>
        <w:tc>
          <w:tcPr>
            <w:tcW w:w="0" w:type="auto"/>
            <w:tcBorders>
              <w:top w:val="nil"/>
              <w:left w:val="nil"/>
              <w:bottom w:val="nil"/>
              <w:right w:val="nil"/>
            </w:tcBorders>
            <w:shd w:val="clear" w:color="auto" w:fill="F2F2F2" w:themeFill="background1" w:themeFillShade="F2"/>
          </w:tcPr>
          <w:p w14:paraId="32CEEB19" w14:textId="4063B0DF" w:rsidR="006B5E51" w:rsidRPr="00BB4764" w:rsidRDefault="006B5E51" w:rsidP="006B5E51">
            <w:pPr>
              <w:pStyle w:val="MerknadTR"/>
              <w:spacing w:line="160" w:lineRule="exact"/>
              <w:jc w:val="right"/>
              <w:rPr>
                <w:sz w:val="14"/>
                <w:szCs w:val="14"/>
                <w:lang w:val="nn-NO"/>
              </w:rPr>
            </w:pPr>
            <w:r>
              <w:rPr>
                <w:sz w:val="14"/>
                <w:szCs w:val="14"/>
                <w:lang w:val="nn-NO"/>
              </w:rPr>
              <w:t>118</w:t>
            </w:r>
          </w:p>
        </w:tc>
        <w:tc>
          <w:tcPr>
            <w:tcW w:w="0" w:type="auto"/>
            <w:tcBorders>
              <w:top w:val="nil"/>
              <w:left w:val="nil"/>
              <w:bottom w:val="nil"/>
              <w:right w:val="nil"/>
            </w:tcBorders>
            <w:shd w:val="clear" w:color="auto" w:fill="F2F2F2" w:themeFill="background1" w:themeFillShade="F2"/>
          </w:tcPr>
          <w:p w14:paraId="479B5083" w14:textId="424CF255" w:rsidR="006B5E51" w:rsidRDefault="00EE52A7" w:rsidP="006B5E51">
            <w:pPr>
              <w:pStyle w:val="MerknadTR"/>
              <w:spacing w:line="160" w:lineRule="exact"/>
              <w:jc w:val="right"/>
              <w:rPr>
                <w:sz w:val="14"/>
                <w:szCs w:val="14"/>
                <w:lang w:val="nn-NO"/>
              </w:rPr>
            </w:pPr>
            <w:r>
              <w:rPr>
                <w:sz w:val="14"/>
                <w:szCs w:val="14"/>
                <w:lang w:val="nn-NO"/>
              </w:rPr>
              <w:t>120</w:t>
            </w:r>
          </w:p>
        </w:tc>
      </w:tr>
      <w:tr w:rsidR="006B5E51" w:rsidRPr="006024A7" w14:paraId="22C056B3" w14:textId="422FE4FA" w:rsidTr="0041529F">
        <w:trPr>
          <w:trHeight w:hRule="exact" w:val="227"/>
        </w:trPr>
        <w:tc>
          <w:tcPr>
            <w:tcW w:w="0" w:type="auto"/>
            <w:tcBorders>
              <w:top w:val="nil"/>
              <w:left w:val="nil"/>
              <w:bottom w:val="nil"/>
              <w:right w:val="nil"/>
            </w:tcBorders>
            <w:shd w:val="clear" w:color="auto" w:fill="F2F2F2" w:themeFill="background1" w:themeFillShade="F2"/>
          </w:tcPr>
          <w:p w14:paraId="18502705" w14:textId="4C12EE17" w:rsidR="006B5E51" w:rsidRPr="006024A7" w:rsidRDefault="006B5E51" w:rsidP="006B5E51">
            <w:pPr>
              <w:pStyle w:val="MerknadTR"/>
              <w:spacing w:line="160" w:lineRule="exact"/>
              <w:rPr>
                <w:sz w:val="14"/>
                <w:szCs w:val="14"/>
              </w:rPr>
            </w:pPr>
            <w:r w:rsidRPr="006024A7">
              <w:rPr>
                <w:sz w:val="14"/>
                <w:szCs w:val="14"/>
              </w:rPr>
              <w:t>Fullførte kandidater</w:t>
            </w:r>
            <w:r w:rsidRPr="006024A7" w:rsidDel="00F80F12">
              <w:rPr>
                <w:sz w:val="14"/>
                <w:szCs w:val="14"/>
              </w:rPr>
              <w:t xml:space="preserve"> </w:t>
            </w:r>
            <w:r>
              <w:rPr>
                <w:sz w:val="14"/>
                <w:szCs w:val="14"/>
              </w:rPr>
              <w:t>(delvis overlapp med doktorgrader)</w:t>
            </w:r>
          </w:p>
        </w:tc>
        <w:tc>
          <w:tcPr>
            <w:tcW w:w="0" w:type="auto"/>
            <w:tcBorders>
              <w:top w:val="nil"/>
              <w:left w:val="nil"/>
              <w:bottom w:val="nil"/>
              <w:right w:val="nil"/>
            </w:tcBorders>
            <w:shd w:val="clear" w:color="auto" w:fill="F2F2F2" w:themeFill="background1" w:themeFillShade="F2"/>
          </w:tcPr>
          <w:p w14:paraId="1040DAE3" w14:textId="4BD21231" w:rsidR="00285B1F" w:rsidRDefault="009B4E87" w:rsidP="006B5E51">
            <w:pPr>
              <w:pStyle w:val="MerknadTR"/>
              <w:spacing w:line="160" w:lineRule="exact"/>
              <w:jc w:val="right"/>
              <w:rPr>
                <w:sz w:val="14"/>
                <w:szCs w:val="14"/>
              </w:rPr>
            </w:pPr>
            <w:r>
              <w:rPr>
                <w:sz w:val="14"/>
                <w:szCs w:val="14"/>
              </w:rPr>
              <w:t>12</w:t>
            </w:r>
          </w:p>
        </w:tc>
        <w:tc>
          <w:tcPr>
            <w:tcW w:w="0" w:type="auto"/>
            <w:tcBorders>
              <w:top w:val="nil"/>
              <w:left w:val="nil"/>
              <w:bottom w:val="nil"/>
              <w:right w:val="nil"/>
            </w:tcBorders>
            <w:shd w:val="clear" w:color="auto" w:fill="F2F2F2" w:themeFill="background1" w:themeFillShade="F2"/>
          </w:tcPr>
          <w:p w14:paraId="30A0F0B3" w14:textId="71EF62E9" w:rsidR="006B5E51" w:rsidRDefault="006B5E51" w:rsidP="006B5E51">
            <w:pPr>
              <w:pStyle w:val="MerknadTR"/>
              <w:spacing w:line="160" w:lineRule="exact"/>
              <w:jc w:val="right"/>
              <w:rPr>
                <w:sz w:val="14"/>
                <w:szCs w:val="14"/>
              </w:rPr>
            </w:pPr>
            <w:r>
              <w:rPr>
                <w:sz w:val="14"/>
                <w:szCs w:val="14"/>
              </w:rPr>
              <w:t>14</w:t>
            </w:r>
          </w:p>
        </w:tc>
        <w:tc>
          <w:tcPr>
            <w:tcW w:w="0" w:type="auto"/>
            <w:tcBorders>
              <w:top w:val="nil"/>
              <w:left w:val="nil"/>
              <w:bottom w:val="nil"/>
              <w:right w:val="nil"/>
            </w:tcBorders>
            <w:shd w:val="clear" w:color="auto" w:fill="F2F2F2" w:themeFill="background1" w:themeFillShade="F2"/>
          </w:tcPr>
          <w:p w14:paraId="55F5B704" w14:textId="4B8521BE" w:rsidR="006B5E51" w:rsidRPr="006024A7" w:rsidRDefault="006B5E51" w:rsidP="006B5E51">
            <w:pPr>
              <w:pStyle w:val="MerknadTR"/>
              <w:spacing w:line="160" w:lineRule="exact"/>
              <w:jc w:val="right"/>
              <w:rPr>
                <w:sz w:val="14"/>
                <w:szCs w:val="14"/>
              </w:rPr>
            </w:pPr>
            <w:r>
              <w:rPr>
                <w:sz w:val="14"/>
                <w:szCs w:val="14"/>
              </w:rPr>
              <w:t>7</w:t>
            </w:r>
          </w:p>
        </w:tc>
        <w:tc>
          <w:tcPr>
            <w:tcW w:w="0" w:type="auto"/>
            <w:tcBorders>
              <w:top w:val="nil"/>
              <w:left w:val="nil"/>
              <w:bottom w:val="nil"/>
              <w:right w:val="nil"/>
            </w:tcBorders>
            <w:shd w:val="clear" w:color="auto" w:fill="F2F2F2" w:themeFill="background1" w:themeFillShade="F2"/>
          </w:tcPr>
          <w:p w14:paraId="42700FAE" w14:textId="1F5F1356" w:rsidR="006B5E51" w:rsidRDefault="002C1A17" w:rsidP="006B5E51">
            <w:pPr>
              <w:pStyle w:val="MerknadTR"/>
              <w:spacing w:line="160" w:lineRule="exact"/>
              <w:jc w:val="right"/>
              <w:rPr>
                <w:sz w:val="14"/>
                <w:szCs w:val="14"/>
              </w:rPr>
            </w:pPr>
            <w:r>
              <w:rPr>
                <w:sz w:val="14"/>
                <w:szCs w:val="14"/>
              </w:rPr>
              <w:t>19</w:t>
            </w:r>
          </w:p>
        </w:tc>
      </w:tr>
      <w:tr w:rsidR="006B5E51" w:rsidRPr="006024A7" w14:paraId="6ED7BC2E" w14:textId="46D54220" w:rsidTr="0041529F">
        <w:trPr>
          <w:trHeight w:hRule="exact" w:val="227"/>
        </w:trPr>
        <w:tc>
          <w:tcPr>
            <w:tcW w:w="0" w:type="auto"/>
            <w:tcBorders>
              <w:top w:val="nil"/>
              <w:left w:val="nil"/>
              <w:bottom w:val="nil"/>
              <w:right w:val="nil"/>
            </w:tcBorders>
            <w:shd w:val="clear" w:color="auto" w:fill="F2F2F2" w:themeFill="background1" w:themeFillShade="F2"/>
          </w:tcPr>
          <w:p w14:paraId="47CAD390"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0ABF0EE5"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DFF2535"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B23208A" w14:textId="7A58DC0F"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E56AC59" w14:textId="77777777" w:rsidR="006B5E51" w:rsidRPr="006024A7" w:rsidRDefault="006B5E51" w:rsidP="006B5E51">
            <w:pPr>
              <w:pStyle w:val="MerknadTR"/>
              <w:spacing w:line="160" w:lineRule="exact"/>
              <w:jc w:val="right"/>
              <w:rPr>
                <w:sz w:val="14"/>
                <w:szCs w:val="14"/>
              </w:rPr>
            </w:pPr>
          </w:p>
        </w:tc>
      </w:tr>
      <w:tr w:rsidR="006B5E51" w:rsidRPr="006024A7" w14:paraId="4DBB3F4D" w14:textId="34D3F38B" w:rsidTr="0041529F">
        <w:trPr>
          <w:trHeight w:hRule="exact" w:val="227"/>
        </w:trPr>
        <w:tc>
          <w:tcPr>
            <w:tcW w:w="0" w:type="auto"/>
            <w:tcBorders>
              <w:top w:val="nil"/>
              <w:left w:val="nil"/>
              <w:bottom w:val="nil"/>
              <w:right w:val="nil"/>
            </w:tcBorders>
            <w:shd w:val="clear" w:color="auto" w:fill="F2F2F2" w:themeFill="background1" w:themeFillShade="F2"/>
          </w:tcPr>
          <w:p w14:paraId="5EDCCA22" w14:textId="44A850AB" w:rsidR="006B5E51" w:rsidRPr="006024A7" w:rsidRDefault="006B5E51" w:rsidP="006B5E51">
            <w:pPr>
              <w:pStyle w:val="MerknadTR"/>
              <w:spacing w:line="160" w:lineRule="exact"/>
              <w:rPr>
                <w:sz w:val="14"/>
                <w:szCs w:val="14"/>
              </w:rPr>
            </w:pPr>
            <w:r w:rsidRPr="006024A7">
              <w:rPr>
                <w:b/>
                <w:sz w:val="14"/>
                <w:szCs w:val="14"/>
              </w:rPr>
              <w:t>Vitenskapelig publisering</w:t>
            </w:r>
          </w:p>
        </w:tc>
        <w:tc>
          <w:tcPr>
            <w:tcW w:w="0" w:type="auto"/>
            <w:tcBorders>
              <w:top w:val="nil"/>
              <w:left w:val="nil"/>
              <w:bottom w:val="nil"/>
              <w:right w:val="nil"/>
            </w:tcBorders>
            <w:shd w:val="clear" w:color="auto" w:fill="F2F2F2" w:themeFill="background1" w:themeFillShade="F2"/>
          </w:tcPr>
          <w:p w14:paraId="11259357" w14:textId="77777777" w:rsidR="00285B1F"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1DB27E5" w14:textId="77777777"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743730F" w14:textId="078C0652" w:rsidR="006B5E51"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232E719" w14:textId="77777777" w:rsidR="006B5E51" w:rsidRDefault="006B5E51" w:rsidP="006B5E51">
            <w:pPr>
              <w:pStyle w:val="MerknadTR"/>
              <w:spacing w:line="160" w:lineRule="exact"/>
              <w:jc w:val="right"/>
              <w:rPr>
                <w:sz w:val="14"/>
                <w:szCs w:val="14"/>
              </w:rPr>
            </w:pPr>
          </w:p>
        </w:tc>
      </w:tr>
      <w:tr w:rsidR="006B5E51" w:rsidRPr="006024A7" w14:paraId="49F59A93" w14:textId="3C15AFC1" w:rsidTr="0041529F">
        <w:trPr>
          <w:trHeight w:hRule="exact" w:val="227"/>
        </w:trPr>
        <w:tc>
          <w:tcPr>
            <w:tcW w:w="0" w:type="auto"/>
            <w:tcBorders>
              <w:top w:val="nil"/>
              <w:left w:val="nil"/>
              <w:bottom w:val="nil"/>
              <w:right w:val="nil"/>
            </w:tcBorders>
            <w:shd w:val="clear" w:color="auto" w:fill="F2F2F2" w:themeFill="background1" w:themeFillShade="F2"/>
          </w:tcPr>
          <w:p w14:paraId="56FD7B2A" w14:textId="77777777" w:rsidR="006B5E51" w:rsidRPr="006024A7" w:rsidRDefault="006B5E51" w:rsidP="006B5E51">
            <w:pPr>
              <w:pStyle w:val="MerknadTR"/>
              <w:spacing w:line="160" w:lineRule="exact"/>
              <w:rPr>
                <w:sz w:val="14"/>
                <w:szCs w:val="14"/>
              </w:rPr>
            </w:pPr>
            <w:r w:rsidRPr="006024A7">
              <w:rPr>
                <w:sz w:val="14"/>
                <w:szCs w:val="14"/>
              </w:rPr>
              <w:t>Antall publiseringspoeng</w:t>
            </w:r>
          </w:p>
          <w:p w14:paraId="556AE421"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1556AC4A" w14:textId="6ACF099D" w:rsidR="00285B1F" w:rsidRDefault="00407E73" w:rsidP="006B5E51">
            <w:pPr>
              <w:pStyle w:val="MerknadTR"/>
              <w:spacing w:line="160" w:lineRule="exact"/>
              <w:jc w:val="right"/>
              <w:rPr>
                <w:sz w:val="14"/>
                <w:szCs w:val="14"/>
              </w:rPr>
            </w:pPr>
            <w:r>
              <w:rPr>
                <w:sz w:val="14"/>
                <w:szCs w:val="14"/>
              </w:rPr>
              <w:t>27</w:t>
            </w:r>
            <w:r w:rsidRPr="00F41A2F">
              <w:rPr>
                <w:sz w:val="14"/>
                <w:szCs w:val="14"/>
              </w:rPr>
              <w:t> </w:t>
            </w:r>
            <w:r>
              <w:rPr>
                <w:sz w:val="14"/>
                <w:szCs w:val="14"/>
              </w:rPr>
              <w:t>583</w:t>
            </w:r>
          </w:p>
        </w:tc>
        <w:tc>
          <w:tcPr>
            <w:tcW w:w="0" w:type="auto"/>
            <w:tcBorders>
              <w:top w:val="nil"/>
              <w:left w:val="nil"/>
              <w:bottom w:val="nil"/>
              <w:right w:val="nil"/>
            </w:tcBorders>
            <w:shd w:val="clear" w:color="auto" w:fill="F2F2F2" w:themeFill="background1" w:themeFillShade="F2"/>
          </w:tcPr>
          <w:p w14:paraId="32E521AF" w14:textId="07B28261" w:rsidR="006B5E51" w:rsidRDefault="006B5E51" w:rsidP="006B5E51">
            <w:pPr>
              <w:pStyle w:val="MerknadTR"/>
              <w:spacing w:line="160" w:lineRule="exact"/>
              <w:jc w:val="right"/>
              <w:rPr>
                <w:sz w:val="14"/>
                <w:szCs w:val="14"/>
              </w:rPr>
            </w:pPr>
            <w:r>
              <w:rPr>
                <w:sz w:val="14"/>
                <w:szCs w:val="14"/>
              </w:rPr>
              <w:t>29 325</w:t>
            </w:r>
          </w:p>
        </w:tc>
        <w:tc>
          <w:tcPr>
            <w:tcW w:w="0" w:type="auto"/>
            <w:tcBorders>
              <w:top w:val="nil"/>
              <w:left w:val="nil"/>
              <w:bottom w:val="nil"/>
              <w:right w:val="nil"/>
            </w:tcBorders>
            <w:shd w:val="clear" w:color="auto" w:fill="F2F2F2" w:themeFill="background1" w:themeFillShade="F2"/>
          </w:tcPr>
          <w:p w14:paraId="00BEB915" w14:textId="4D6C61D8" w:rsidR="006B5E51" w:rsidRPr="006024A7" w:rsidRDefault="006B5E51" w:rsidP="006B5E51">
            <w:pPr>
              <w:pStyle w:val="MerknadTR"/>
              <w:spacing w:line="160" w:lineRule="exact"/>
              <w:jc w:val="right"/>
              <w:rPr>
                <w:sz w:val="14"/>
                <w:szCs w:val="14"/>
              </w:rPr>
            </w:pPr>
            <w:r>
              <w:rPr>
                <w:sz w:val="14"/>
                <w:szCs w:val="14"/>
              </w:rPr>
              <w:t>31 561</w:t>
            </w:r>
          </w:p>
        </w:tc>
        <w:tc>
          <w:tcPr>
            <w:tcW w:w="0" w:type="auto"/>
            <w:tcBorders>
              <w:top w:val="nil"/>
              <w:left w:val="nil"/>
              <w:bottom w:val="nil"/>
              <w:right w:val="nil"/>
            </w:tcBorders>
            <w:shd w:val="clear" w:color="auto" w:fill="F2F2F2" w:themeFill="background1" w:themeFillShade="F2"/>
          </w:tcPr>
          <w:p w14:paraId="27045BCD" w14:textId="617FF54E" w:rsidR="006B5E51" w:rsidRDefault="00616890" w:rsidP="006B5E51">
            <w:pPr>
              <w:pStyle w:val="MerknadTR"/>
              <w:spacing w:line="160" w:lineRule="exact"/>
              <w:jc w:val="right"/>
              <w:rPr>
                <w:sz w:val="14"/>
                <w:szCs w:val="14"/>
              </w:rPr>
            </w:pPr>
            <w:r>
              <w:rPr>
                <w:sz w:val="14"/>
                <w:szCs w:val="14"/>
              </w:rPr>
              <w:t>29</w:t>
            </w:r>
            <w:r w:rsidRPr="00F41A2F">
              <w:rPr>
                <w:sz w:val="14"/>
                <w:szCs w:val="14"/>
              </w:rPr>
              <w:t> </w:t>
            </w:r>
            <w:r>
              <w:rPr>
                <w:sz w:val="14"/>
                <w:szCs w:val="14"/>
              </w:rPr>
              <w:t>505</w:t>
            </w:r>
          </w:p>
        </w:tc>
      </w:tr>
      <w:tr w:rsidR="006B5E51" w:rsidRPr="006024A7" w14:paraId="1773A153" w14:textId="3D318025" w:rsidTr="0041529F">
        <w:trPr>
          <w:trHeight w:hRule="exact" w:val="227"/>
        </w:trPr>
        <w:tc>
          <w:tcPr>
            <w:tcW w:w="0" w:type="auto"/>
            <w:tcBorders>
              <w:top w:val="nil"/>
              <w:left w:val="nil"/>
              <w:bottom w:val="nil"/>
              <w:right w:val="nil"/>
            </w:tcBorders>
            <w:shd w:val="clear" w:color="auto" w:fill="F2F2F2" w:themeFill="background1" w:themeFillShade="F2"/>
          </w:tcPr>
          <w:p w14:paraId="6E37D646" w14:textId="77777777" w:rsidR="006B5E51" w:rsidRPr="006024A7" w:rsidRDefault="006B5E51" w:rsidP="006B5E51">
            <w:pPr>
              <w:pStyle w:val="MerknadTR"/>
              <w:spacing w:line="160" w:lineRule="exact"/>
              <w:rPr>
                <w:sz w:val="14"/>
                <w:szCs w:val="14"/>
              </w:rPr>
            </w:pPr>
            <w:r w:rsidRPr="006024A7">
              <w:rPr>
                <w:sz w:val="14"/>
                <w:szCs w:val="14"/>
              </w:rPr>
              <w:t>Publiseringspoeng per faglige årsverk</w:t>
            </w:r>
          </w:p>
          <w:p w14:paraId="6F242DEB"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5AF2A70" w14:textId="25AB6116" w:rsidR="00285B1F" w:rsidRDefault="005508E5" w:rsidP="006B5E51">
            <w:pPr>
              <w:pStyle w:val="MerknadTR"/>
              <w:spacing w:line="160" w:lineRule="exact"/>
              <w:jc w:val="right"/>
              <w:rPr>
                <w:sz w:val="14"/>
                <w:szCs w:val="14"/>
              </w:rPr>
            </w:pPr>
            <w:r>
              <w:rPr>
                <w:sz w:val="14"/>
                <w:szCs w:val="14"/>
              </w:rPr>
              <w:t>1,19</w:t>
            </w:r>
          </w:p>
        </w:tc>
        <w:tc>
          <w:tcPr>
            <w:tcW w:w="0" w:type="auto"/>
            <w:tcBorders>
              <w:top w:val="nil"/>
              <w:left w:val="nil"/>
              <w:bottom w:val="nil"/>
              <w:right w:val="nil"/>
            </w:tcBorders>
            <w:shd w:val="clear" w:color="auto" w:fill="F2F2F2" w:themeFill="background1" w:themeFillShade="F2"/>
          </w:tcPr>
          <w:p w14:paraId="2D9F1CDC" w14:textId="66406EEB" w:rsidR="006B5E51" w:rsidRDefault="006B5E51" w:rsidP="006B5E51">
            <w:pPr>
              <w:pStyle w:val="MerknadTR"/>
              <w:spacing w:line="160" w:lineRule="exact"/>
              <w:jc w:val="right"/>
              <w:rPr>
                <w:sz w:val="14"/>
                <w:szCs w:val="14"/>
              </w:rPr>
            </w:pPr>
            <w:r>
              <w:rPr>
                <w:sz w:val="14"/>
                <w:szCs w:val="14"/>
              </w:rPr>
              <w:t>1,24</w:t>
            </w:r>
          </w:p>
        </w:tc>
        <w:tc>
          <w:tcPr>
            <w:tcW w:w="0" w:type="auto"/>
            <w:tcBorders>
              <w:top w:val="nil"/>
              <w:left w:val="nil"/>
              <w:bottom w:val="nil"/>
              <w:right w:val="nil"/>
            </w:tcBorders>
            <w:shd w:val="clear" w:color="auto" w:fill="F2F2F2" w:themeFill="background1" w:themeFillShade="F2"/>
          </w:tcPr>
          <w:p w14:paraId="5A027F30" w14:textId="51F283EB" w:rsidR="006B5E51" w:rsidRPr="006024A7" w:rsidRDefault="006B5E51" w:rsidP="006B5E51">
            <w:pPr>
              <w:pStyle w:val="MerknadTR"/>
              <w:spacing w:line="160" w:lineRule="exact"/>
              <w:jc w:val="right"/>
              <w:rPr>
                <w:sz w:val="14"/>
                <w:szCs w:val="14"/>
              </w:rPr>
            </w:pPr>
            <w:r>
              <w:rPr>
                <w:sz w:val="14"/>
                <w:szCs w:val="14"/>
              </w:rPr>
              <w:t>1,28</w:t>
            </w:r>
          </w:p>
        </w:tc>
        <w:tc>
          <w:tcPr>
            <w:tcW w:w="0" w:type="auto"/>
            <w:tcBorders>
              <w:top w:val="nil"/>
              <w:left w:val="nil"/>
              <w:bottom w:val="nil"/>
              <w:right w:val="nil"/>
            </w:tcBorders>
            <w:shd w:val="clear" w:color="auto" w:fill="F2F2F2" w:themeFill="background1" w:themeFillShade="F2"/>
          </w:tcPr>
          <w:p w14:paraId="2F0DF1CB" w14:textId="2E28891B" w:rsidR="006B5E51" w:rsidRDefault="00616890" w:rsidP="006B5E51">
            <w:pPr>
              <w:pStyle w:val="MerknadTR"/>
              <w:spacing w:line="160" w:lineRule="exact"/>
              <w:jc w:val="right"/>
              <w:rPr>
                <w:sz w:val="14"/>
                <w:szCs w:val="14"/>
              </w:rPr>
            </w:pPr>
            <w:r>
              <w:rPr>
                <w:sz w:val="14"/>
                <w:szCs w:val="14"/>
              </w:rPr>
              <w:t>1,17</w:t>
            </w:r>
          </w:p>
        </w:tc>
      </w:tr>
      <w:tr w:rsidR="006B5E51" w:rsidRPr="001213F3" w14:paraId="1FF2CBF5" w14:textId="1DB347DF" w:rsidTr="0041529F">
        <w:trPr>
          <w:trHeight w:hRule="exact" w:val="227"/>
        </w:trPr>
        <w:tc>
          <w:tcPr>
            <w:tcW w:w="0" w:type="auto"/>
            <w:tcBorders>
              <w:top w:val="nil"/>
              <w:left w:val="nil"/>
              <w:bottom w:val="nil"/>
              <w:right w:val="nil"/>
            </w:tcBorders>
            <w:shd w:val="clear" w:color="auto" w:fill="F2F2F2" w:themeFill="background1" w:themeFillShade="F2"/>
          </w:tcPr>
          <w:p w14:paraId="4A009E4E" w14:textId="0E187057" w:rsidR="006B5E51" w:rsidRPr="006024A7" w:rsidRDefault="006B5E51" w:rsidP="006B5E51">
            <w:pPr>
              <w:pStyle w:val="MerknadTR"/>
              <w:spacing w:line="160" w:lineRule="exact"/>
              <w:rPr>
                <w:sz w:val="14"/>
                <w:szCs w:val="14"/>
              </w:rPr>
            </w:pPr>
            <w:r w:rsidRPr="006024A7">
              <w:rPr>
                <w:sz w:val="14"/>
                <w:szCs w:val="14"/>
              </w:rPr>
              <w:t>Andelen publi</w:t>
            </w:r>
            <w:r>
              <w:rPr>
                <w:sz w:val="14"/>
                <w:szCs w:val="14"/>
              </w:rPr>
              <w:t>sering</w:t>
            </w:r>
            <w:r w:rsidRPr="006024A7">
              <w:rPr>
                <w:sz w:val="14"/>
                <w:szCs w:val="14"/>
              </w:rPr>
              <w:t xml:space="preserve"> på nivå</w:t>
            </w:r>
            <w:r>
              <w:rPr>
                <w:sz w:val="14"/>
                <w:szCs w:val="14"/>
              </w:rPr>
              <w:t>-</w:t>
            </w:r>
            <w:r w:rsidRPr="006024A7">
              <w:rPr>
                <w:sz w:val="14"/>
                <w:szCs w:val="14"/>
              </w:rPr>
              <w:t>2</w:t>
            </w:r>
            <w:r>
              <w:rPr>
                <w:sz w:val="14"/>
                <w:szCs w:val="14"/>
              </w:rPr>
              <w:t xml:space="preserve"> (%)</w:t>
            </w:r>
          </w:p>
        </w:tc>
        <w:tc>
          <w:tcPr>
            <w:tcW w:w="0" w:type="auto"/>
            <w:tcBorders>
              <w:top w:val="nil"/>
              <w:left w:val="nil"/>
              <w:bottom w:val="nil"/>
              <w:right w:val="nil"/>
            </w:tcBorders>
            <w:shd w:val="clear" w:color="auto" w:fill="F2F2F2" w:themeFill="background1" w:themeFillShade="F2"/>
          </w:tcPr>
          <w:p w14:paraId="332D0D1D" w14:textId="42C842B6" w:rsidR="00285B1F" w:rsidRDefault="00754A49" w:rsidP="006B5E51">
            <w:pPr>
              <w:pStyle w:val="MerknadTR"/>
              <w:spacing w:line="160" w:lineRule="exact"/>
              <w:jc w:val="right"/>
              <w:rPr>
                <w:sz w:val="14"/>
                <w:szCs w:val="14"/>
              </w:rPr>
            </w:pPr>
            <w:r>
              <w:rPr>
                <w:sz w:val="14"/>
                <w:szCs w:val="14"/>
              </w:rPr>
              <w:t>23,0</w:t>
            </w:r>
          </w:p>
        </w:tc>
        <w:tc>
          <w:tcPr>
            <w:tcW w:w="0" w:type="auto"/>
            <w:tcBorders>
              <w:top w:val="nil"/>
              <w:left w:val="nil"/>
              <w:bottom w:val="nil"/>
              <w:right w:val="nil"/>
            </w:tcBorders>
            <w:shd w:val="clear" w:color="auto" w:fill="F2F2F2" w:themeFill="background1" w:themeFillShade="F2"/>
          </w:tcPr>
          <w:p w14:paraId="74D5887B" w14:textId="50EC299A" w:rsidR="006B5E51" w:rsidRDefault="006B5E51" w:rsidP="006B5E51">
            <w:pPr>
              <w:pStyle w:val="MerknadTR"/>
              <w:spacing w:line="160" w:lineRule="exact"/>
              <w:jc w:val="right"/>
              <w:rPr>
                <w:sz w:val="14"/>
                <w:szCs w:val="14"/>
              </w:rPr>
            </w:pPr>
            <w:r>
              <w:rPr>
                <w:sz w:val="14"/>
                <w:szCs w:val="14"/>
              </w:rPr>
              <w:t>24,0</w:t>
            </w:r>
          </w:p>
        </w:tc>
        <w:tc>
          <w:tcPr>
            <w:tcW w:w="0" w:type="auto"/>
            <w:tcBorders>
              <w:top w:val="nil"/>
              <w:left w:val="nil"/>
              <w:bottom w:val="nil"/>
              <w:right w:val="nil"/>
            </w:tcBorders>
            <w:shd w:val="clear" w:color="auto" w:fill="F2F2F2" w:themeFill="background1" w:themeFillShade="F2"/>
          </w:tcPr>
          <w:p w14:paraId="14C5F62C" w14:textId="5FBBB027" w:rsidR="006B5E51" w:rsidRPr="006024A7" w:rsidRDefault="006B5E51" w:rsidP="006B5E51">
            <w:pPr>
              <w:pStyle w:val="MerknadTR"/>
              <w:spacing w:line="160" w:lineRule="exact"/>
              <w:jc w:val="right"/>
              <w:rPr>
                <w:sz w:val="14"/>
                <w:szCs w:val="14"/>
              </w:rPr>
            </w:pPr>
            <w:r>
              <w:rPr>
                <w:sz w:val="14"/>
                <w:szCs w:val="14"/>
              </w:rPr>
              <w:t>24,3</w:t>
            </w:r>
          </w:p>
        </w:tc>
        <w:tc>
          <w:tcPr>
            <w:tcW w:w="0" w:type="auto"/>
            <w:tcBorders>
              <w:top w:val="nil"/>
              <w:left w:val="nil"/>
              <w:bottom w:val="nil"/>
              <w:right w:val="nil"/>
            </w:tcBorders>
            <w:shd w:val="clear" w:color="auto" w:fill="F2F2F2" w:themeFill="background1" w:themeFillShade="F2"/>
          </w:tcPr>
          <w:p w14:paraId="01D8F52E" w14:textId="1EC48F63" w:rsidR="006B5E51" w:rsidRDefault="00616890" w:rsidP="006B5E51">
            <w:pPr>
              <w:pStyle w:val="MerknadTR"/>
              <w:spacing w:line="160" w:lineRule="exact"/>
              <w:jc w:val="right"/>
              <w:rPr>
                <w:sz w:val="14"/>
                <w:szCs w:val="14"/>
              </w:rPr>
            </w:pPr>
            <w:r>
              <w:rPr>
                <w:sz w:val="14"/>
                <w:szCs w:val="14"/>
              </w:rPr>
              <w:t>23,8</w:t>
            </w:r>
          </w:p>
        </w:tc>
      </w:tr>
      <w:tr w:rsidR="006B5E51" w:rsidRPr="006024A7" w14:paraId="0D5F100E" w14:textId="265B69AE" w:rsidTr="0041529F">
        <w:trPr>
          <w:trHeight w:hRule="exact" w:val="227"/>
        </w:trPr>
        <w:tc>
          <w:tcPr>
            <w:tcW w:w="0" w:type="auto"/>
            <w:tcBorders>
              <w:top w:val="nil"/>
              <w:left w:val="nil"/>
              <w:bottom w:val="nil"/>
              <w:right w:val="nil"/>
            </w:tcBorders>
            <w:shd w:val="clear" w:color="auto" w:fill="F2F2F2" w:themeFill="background1" w:themeFillShade="F2"/>
          </w:tcPr>
          <w:p w14:paraId="40874341" w14:textId="77777777" w:rsidR="006B5E51" w:rsidRPr="00BB4764" w:rsidRDefault="006B5E51" w:rsidP="006B5E51">
            <w:pPr>
              <w:pStyle w:val="MerknadTR"/>
              <w:spacing w:line="160" w:lineRule="exact"/>
              <w:rPr>
                <w:sz w:val="14"/>
                <w:szCs w:val="14"/>
                <w:lang w:val="nn-NO"/>
              </w:rPr>
            </w:pPr>
          </w:p>
        </w:tc>
        <w:tc>
          <w:tcPr>
            <w:tcW w:w="0" w:type="auto"/>
            <w:tcBorders>
              <w:top w:val="nil"/>
              <w:left w:val="nil"/>
              <w:bottom w:val="nil"/>
              <w:right w:val="nil"/>
            </w:tcBorders>
            <w:shd w:val="clear" w:color="auto" w:fill="F2F2F2" w:themeFill="background1" w:themeFillShade="F2"/>
          </w:tcPr>
          <w:p w14:paraId="5227C441" w14:textId="77777777" w:rsidR="00285B1F" w:rsidRPr="00BB4764" w:rsidRDefault="00285B1F" w:rsidP="006B5E5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0D8D3B8B" w14:textId="77777777" w:rsidR="006B5E51" w:rsidRPr="00BB4764" w:rsidRDefault="006B5E51" w:rsidP="006B5E5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202BF8DF" w14:textId="7C1A070B" w:rsidR="006B5E51" w:rsidRPr="00BB4764" w:rsidRDefault="006B5E51" w:rsidP="006B5E5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1BF1EE9D" w14:textId="77777777" w:rsidR="006B5E51" w:rsidRPr="00BB4764" w:rsidRDefault="006B5E51" w:rsidP="006B5E51">
            <w:pPr>
              <w:pStyle w:val="MerknadTR"/>
              <w:spacing w:line="160" w:lineRule="exact"/>
              <w:jc w:val="right"/>
              <w:rPr>
                <w:sz w:val="14"/>
                <w:szCs w:val="14"/>
                <w:lang w:val="nn-NO"/>
              </w:rPr>
            </w:pPr>
          </w:p>
        </w:tc>
      </w:tr>
      <w:tr w:rsidR="006B5E51" w:rsidRPr="006024A7" w14:paraId="5B7AA966" w14:textId="64B88DF2" w:rsidTr="0041529F">
        <w:trPr>
          <w:trHeight w:hRule="exact" w:val="227"/>
        </w:trPr>
        <w:tc>
          <w:tcPr>
            <w:tcW w:w="0" w:type="auto"/>
            <w:tcBorders>
              <w:top w:val="nil"/>
              <w:left w:val="nil"/>
              <w:bottom w:val="nil"/>
              <w:right w:val="nil"/>
            </w:tcBorders>
            <w:shd w:val="clear" w:color="auto" w:fill="F2F2F2" w:themeFill="background1" w:themeFillShade="F2"/>
            <w:vAlign w:val="center"/>
          </w:tcPr>
          <w:p w14:paraId="12F797B2" w14:textId="23F675B9" w:rsidR="006B5E51" w:rsidRPr="006024A7" w:rsidRDefault="006B5E51" w:rsidP="006B5E51">
            <w:pPr>
              <w:pStyle w:val="MerknadTR"/>
              <w:spacing w:line="160" w:lineRule="exact"/>
              <w:rPr>
                <w:sz w:val="14"/>
                <w:szCs w:val="14"/>
              </w:rPr>
            </w:pPr>
            <w:r w:rsidRPr="006024A7">
              <w:rPr>
                <w:b/>
                <w:sz w:val="14"/>
                <w:szCs w:val="14"/>
              </w:rPr>
              <w:t>Finansiering av forskning</w:t>
            </w:r>
            <w:r>
              <w:rPr>
                <w:b/>
                <w:sz w:val="14"/>
                <w:szCs w:val="14"/>
              </w:rPr>
              <w:t xml:space="preserve"> (i kroner)</w:t>
            </w:r>
          </w:p>
        </w:tc>
        <w:tc>
          <w:tcPr>
            <w:tcW w:w="0" w:type="auto"/>
            <w:tcBorders>
              <w:top w:val="nil"/>
              <w:left w:val="nil"/>
              <w:bottom w:val="nil"/>
              <w:right w:val="nil"/>
            </w:tcBorders>
            <w:shd w:val="clear" w:color="auto" w:fill="F2F2F2" w:themeFill="background1" w:themeFillShade="F2"/>
          </w:tcPr>
          <w:p w14:paraId="334C126F" w14:textId="77777777" w:rsidR="00285B1F" w:rsidRPr="006024A7" w:rsidRDefault="00285B1F"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D456776" w14:textId="77777777"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F833A64" w14:textId="0ED1AF79" w:rsidR="006B5E51" w:rsidRPr="006024A7" w:rsidRDefault="006B5E51" w:rsidP="006B5E5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72A58DB" w14:textId="77777777" w:rsidR="006B5E51" w:rsidRPr="006024A7" w:rsidRDefault="006B5E51" w:rsidP="006B5E51">
            <w:pPr>
              <w:pStyle w:val="MerknadTR"/>
              <w:spacing w:line="160" w:lineRule="exact"/>
              <w:jc w:val="right"/>
              <w:rPr>
                <w:sz w:val="14"/>
                <w:szCs w:val="14"/>
              </w:rPr>
            </w:pPr>
          </w:p>
        </w:tc>
      </w:tr>
      <w:tr w:rsidR="006B5E51" w:rsidRPr="001213F3" w14:paraId="1F459894" w14:textId="47337B0C" w:rsidTr="0041529F">
        <w:trPr>
          <w:trHeight w:hRule="exact" w:val="227"/>
        </w:trPr>
        <w:tc>
          <w:tcPr>
            <w:tcW w:w="0" w:type="auto"/>
            <w:tcBorders>
              <w:top w:val="nil"/>
              <w:left w:val="nil"/>
              <w:bottom w:val="nil"/>
              <w:right w:val="nil"/>
            </w:tcBorders>
            <w:shd w:val="clear" w:color="auto" w:fill="F2F2F2" w:themeFill="background1" w:themeFillShade="F2"/>
          </w:tcPr>
          <w:p w14:paraId="410EFCD2" w14:textId="6FDD9479" w:rsidR="006B5E51" w:rsidRPr="006024A7" w:rsidRDefault="006B5E51" w:rsidP="006B5E51">
            <w:pPr>
              <w:pStyle w:val="MerknadTR"/>
              <w:spacing w:line="160" w:lineRule="exact"/>
              <w:rPr>
                <w:sz w:val="14"/>
                <w:szCs w:val="14"/>
              </w:rPr>
            </w:pPr>
            <w:r>
              <w:rPr>
                <w:sz w:val="14"/>
                <w:szCs w:val="14"/>
              </w:rPr>
              <w:t>Finansiering</w:t>
            </w:r>
            <w:r w:rsidRPr="006024A7">
              <w:rPr>
                <w:sz w:val="14"/>
                <w:szCs w:val="14"/>
              </w:rPr>
              <w:t xml:space="preserve"> fra EU</w:t>
            </w:r>
            <w:r>
              <w:rPr>
                <w:sz w:val="14"/>
                <w:szCs w:val="14"/>
              </w:rPr>
              <w:t>, jf. note 1 årsregnskap</w:t>
            </w:r>
          </w:p>
          <w:p w14:paraId="0BC18846"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12D8ED8" w14:textId="353589A4" w:rsidR="00285B1F" w:rsidRDefault="00123B74" w:rsidP="006B5E51">
            <w:pPr>
              <w:pStyle w:val="MerknadTR"/>
              <w:spacing w:line="160" w:lineRule="exact"/>
              <w:jc w:val="right"/>
              <w:rPr>
                <w:sz w:val="14"/>
                <w:szCs w:val="14"/>
              </w:rPr>
            </w:pPr>
            <w:r>
              <w:rPr>
                <w:sz w:val="14"/>
                <w:szCs w:val="14"/>
              </w:rPr>
              <w:t>691 mill.</w:t>
            </w:r>
          </w:p>
        </w:tc>
        <w:tc>
          <w:tcPr>
            <w:tcW w:w="0" w:type="auto"/>
            <w:tcBorders>
              <w:top w:val="nil"/>
              <w:left w:val="nil"/>
              <w:bottom w:val="nil"/>
              <w:right w:val="nil"/>
            </w:tcBorders>
            <w:shd w:val="clear" w:color="auto" w:fill="F2F2F2" w:themeFill="background1" w:themeFillShade="F2"/>
          </w:tcPr>
          <w:p w14:paraId="4A384A86" w14:textId="0F04D8EF" w:rsidR="006B5E51" w:rsidRDefault="006B5E51" w:rsidP="006B5E51">
            <w:pPr>
              <w:pStyle w:val="MerknadTR"/>
              <w:spacing w:line="160" w:lineRule="exact"/>
              <w:jc w:val="right"/>
              <w:rPr>
                <w:sz w:val="14"/>
                <w:szCs w:val="14"/>
              </w:rPr>
            </w:pPr>
            <w:r>
              <w:rPr>
                <w:sz w:val="14"/>
                <w:szCs w:val="14"/>
              </w:rPr>
              <w:t>714 mill.</w:t>
            </w:r>
          </w:p>
        </w:tc>
        <w:tc>
          <w:tcPr>
            <w:tcW w:w="0" w:type="auto"/>
            <w:tcBorders>
              <w:top w:val="nil"/>
              <w:left w:val="nil"/>
              <w:bottom w:val="nil"/>
              <w:right w:val="nil"/>
            </w:tcBorders>
            <w:shd w:val="clear" w:color="auto" w:fill="F2F2F2" w:themeFill="background1" w:themeFillShade="F2"/>
          </w:tcPr>
          <w:p w14:paraId="1A958D38" w14:textId="3E61A395" w:rsidR="006B5E51" w:rsidRPr="006024A7" w:rsidRDefault="006B5E51" w:rsidP="006B5E51">
            <w:pPr>
              <w:pStyle w:val="MerknadTR"/>
              <w:spacing w:line="160" w:lineRule="exact"/>
              <w:jc w:val="right"/>
              <w:rPr>
                <w:sz w:val="14"/>
                <w:szCs w:val="14"/>
              </w:rPr>
            </w:pPr>
            <w:r>
              <w:rPr>
                <w:sz w:val="14"/>
                <w:szCs w:val="14"/>
              </w:rPr>
              <w:t>844 mill.</w:t>
            </w:r>
          </w:p>
        </w:tc>
        <w:tc>
          <w:tcPr>
            <w:tcW w:w="0" w:type="auto"/>
            <w:tcBorders>
              <w:top w:val="nil"/>
              <w:left w:val="nil"/>
              <w:bottom w:val="nil"/>
              <w:right w:val="nil"/>
            </w:tcBorders>
            <w:shd w:val="clear" w:color="auto" w:fill="F2F2F2" w:themeFill="background1" w:themeFillShade="F2"/>
          </w:tcPr>
          <w:p w14:paraId="1D045799" w14:textId="4CB52A36" w:rsidR="006B5E51" w:rsidRDefault="002B74CE" w:rsidP="006B5E51">
            <w:pPr>
              <w:pStyle w:val="MerknadTR"/>
              <w:spacing w:line="160" w:lineRule="exact"/>
              <w:jc w:val="right"/>
              <w:rPr>
                <w:sz w:val="14"/>
                <w:szCs w:val="14"/>
              </w:rPr>
            </w:pPr>
            <w:r>
              <w:rPr>
                <w:sz w:val="14"/>
                <w:szCs w:val="14"/>
              </w:rPr>
              <w:t>1,1 mrd.</w:t>
            </w:r>
          </w:p>
        </w:tc>
      </w:tr>
      <w:tr w:rsidR="006B5E51" w:rsidRPr="001213F3" w14:paraId="414929F6" w14:textId="5065C416" w:rsidTr="0041529F">
        <w:trPr>
          <w:trHeight w:hRule="exact" w:val="227"/>
        </w:trPr>
        <w:tc>
          <w:tcPr>
            <w:tcW w:w="0" w:type="auto"/>
            <w:tcBorders>
              <w:top w:val="nil"/>
              <w:left w:val="nil"/>
              <w:bottom w:val="nil"/>
              <w:right w:val="nil"/>
            </w:tcBorders>
            <w:shd w:val="clear" w:color="auto" w:fill="F2F2F2" w:themeFill="background1" w:themeFillShade="F2"/>
          </w:tcPr>
          <w:p w14:paraId="2EDB8DBF" w14:textId="77777777" w:rsidR="006B5E51" w:rsidRPr="006024A7" w:rsidRDefault="006B5E51" w:rsidP="006B5E51">
            <w:pPr>
              <w:pStyle w:val="MerknadTR"/>
              <w:spacing w:line="160" w:lineRule="exact"/>
              <w:rPr>
                <w:sz w:val="14"/>
                <w:szCs w:val="14"/>
              </w:rPr>
            </w:pPr>
            <w:r w:rsidRPr="006024A7">
              <w:rPr>
                <w:sz w:val="14"/>
                <w:szCs w:val="14"/>
              </w:rPr>
              <w:t>EU-tildeling per faglige årsverk</w:t>
            </w:r>
          </w:p>
          <w:p w14:paraId="39031D8E"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4F5FC74F" w14:textId="37A2130D" w:rsidR="00285B1F" w:rsidRDefault="007350AF" w:rsidP="006B5E51">
            <w:pPr>
              <w:pStyle w:val="MerknadTR"/>
              <w:spacing w:line="160" w:lineRule="exact"/>
              <w:jc w:val="right"/>
              <w:rPr>
                <w:sz w:val="14"/>
                <w:szCs w:val="14"/>
              </w:rPr>
            </w:pPr>
            <w:r>
              <w:rPr>
                <w:sz w:val="14"/>
                <w:szCs w:val="14"/>
              </w:rPr>
              <w:t>29</w:t>
            </w:r>
            <w:r w:rsidRPr="00F41A2F">
              <w:rPr>
                <w:sz w:val="14"/>
                <w:szCs w:val="14"/>
              </w:rPr>
              <w:t> </w:t>
            </w:r>
            <w:r>
              <w:rPr>
                <w:sz w:val="14"/>
                <w:szCs w:val="14"/>
              </w:rPr>
              <w:t>400</w:t>
            </w:r>
          </w:p>
        </w:tc>
        <w:tc>
          <w:tcPr>
            <w:tcW w:w="0" w:type="auto"/>
            <w:tcBorders>
              <w:top w:val="nil"/>
              <w:left w:val="nil"/>
              <w:bottom w:val="nil"/>
              <w:right w:val="nil"/>
            </w:tcBorders>
            <w:shd w:val="clear" w:color="auto" w:fill="F2F2F2" w:themeFill="background1" w:themeFillShade="F2"/>
          </w:tcPr>
          <w:p w14:paraId="69AE6EDC" w14:textId="4802F016" w:rsidR="006B5E51" w:rsidRDefault="006B5E51" w:rsidP="006B5E51">
            <w:pPr>
              <w:pStyle w:val="MerknadTR"/>
              <w:spacing w:line="160" w:lineRule="exact"/>
              <w:jc w:val="right"/>
              <w:rPr>
                <w:sz w:val="14"/>
                <w:szCs w:val="14"/>
              </w:rPr>
            </w:pPr>
            <w:r>
              <w:rPr>
                <w:sz w:val="14"/>
                <w:szCs w:val="14"/>
              </w:rPr>
              <w:t>29 800</w:t>
            </w:r>
          </w:p>
        </w:tc>
        <w:tc>
          <w:tcPr>
            <w:tcW w:w="0" w:type="auto"/>
            <w:tcBorders>
              <w:top w:val="nil"/>
              <w:left w:val="nil"/>
              <w:bottom w:val="nil"/>
              <w:right w:val="nil"/>
            </w:tcBorders>
            <w:shd w:val="clear" w:color="auto" w:fill="F2F2F2" w:themeFill="background1" w:themeFillShade="F2"/>
          </w:tcPr>
          <w:p w14:paraId="4791AB40" w14:textId="42CD55AF" w:rsidR="006B5E51" w:rsidRDefault="006B5E51" w:rsidP="006B5E51">
            <w:pPr>
              <w:pStyle w:val="MerknadTR"/>
              <w:spacing w:line="160" w:lineRule="exact"/>
              <w:jc w:val="right"/>
              <w:rPr>
                <w:sz w:val="14"/>
                <w:szCs w:val="14"/>
              </w:rPr>
            </w:pPr>
            <w:r>
              <w:rPr>
                <w:sz w:val="14"/>
                <w:szCs w:val="14"/>
              </w:rPr>
              <w:t>33 700</w:t>
            </w:r>
          </w:p>
        </w:tc>
        <w:tc>
          <w:tcPr>
            <w:tcW w:w="0" w:type="auto"/>
            <w:tcBorders>
              <w:top w:val="nil"/>
              <w:left w:val="nil"/>
              <w:bottom w:val="nil"/>
              <w:right w:val="nil"/>
            </w:tcBorders>
            <w:shd w:val="clear" w:color="auto" w:fill="F2F2F2" w:themeFill="background1" w:themeFillShade="F2"/>
          </w:tcPr>
          <w:p w14:paraId="6B204E24" w14:textId="0384636E" w:rsidR="006B5E51" w:rsidRDefault="004230DA" w:rsidP="006B5E51">
            <w:pPr>
              <w:pStyle w:val="MerknadTR"/>
              <w:spacing w:line="160" w:lineRule="exact"/>
              <w:jc w:val="right"/>
              <w:rPr>
                <w:sz w:val="14"/>
                <w:szCs w:val="14"/>
              </w:rPr>
            </w:pPr>
            <w:r>
              <w:rPr>
                <w:sz w:val="14"/>
                <w:szCs w:val="14"/>
              </w:rPr>
              <w:t>41 500</w:t>
            </w:r>
          </w:p>
        </w:tc>
      </w:tr>
      <w:tr w:rsidR="006B5E51" w:rsidRPr="001213F3" w14:paraId="1EC45122" w14:textId="381144DF" w:rsidTr="0041529F">
        <w:trPr>
          <w:trHeight w:hRule="exact" w:val="227"/>
        </w:trPr>
        <w:tc>
          <w:tcPr>
            <w:tcW w:w="0" w:type="auto"/>
            <w:tcBorders>
              <w:top w:val="nil"/>
              <w:left w:val="nil"/>
              <w:bottom w:val="nil"/>
              <w:right w:val="nil"/>
            </w:tcBorders>
            <w:shd w:val="clear" w:color="auto" w:fill="F2F2F2" w:themeFill="background1" w:themeFillShade="F2"/>
          </w:tcPr>
          <w:p w14:paraId="6C694B8F" w14:textId="11CEDD90" w:rsidR="006B5E51" w:rsidRPr="006024A7" w:rsidRDefault="006B5E51" w:rsidP="006B5E51">
            <w:pPr>
              <w:pStyle w:val="MerknadTR"/>
              <w:spacing w:line="160" w:lineRule="exact"/>
              <w:rPr>
                <w:sz w:val="14"/>
                <w:szCs w:val="14"/>
              </w:rPr>
            </w:pPr>
            <w:r w:rsidRPr="006024A7">
              <w:rPr>
                <w:sz w:val="14"/>
                <w:szCs w:val="14"/>
              </w:rPr>
              <w:lastRenderedPageBreak/>
              <w:t>Tildeling fra Forskningsrådet</w:t>
            </w:r>
            <w:r>
              <w:rPr>
                <w:sz w:val="14"/>
                <w:szCs w:val="14"/>
              </w:rPr>
              <w:t xml:space="preserve"> og Regionale forskningsfond (</w:t>
            </w:r>
            <w:proofErr w:type="spellStart"/>
            <w:r>
              <w:rPr>
                <w:sz w:val="14"/>
                <w:szCs w:val="14"/>
              </w:rPr>
              <w:t>RFF</w:t>
            </w:r>
            <w:proofErr w:type="spellEnd"/>
            <w:r>
              <w:rPr>
                <w:sz w:val="14"/>
                <w:szCs w:val="14"/>
              </w:rPr>
              <w:t>)</w:t>
            </w:r>
          </w:p>
          <w:p w14:paraId="47147B9C" w14:textId="77777777" w:rsidR="006B5E51" w:rsidRPr="006024A7" w:rsidRDefault="006B5E51" w:rsidP="006B5E5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2AA90246" w14:textId="620219B5" w:rsidR="00285B1F" w:rsidRDefault="008865C2" w:rsidP="006B5E51">
            <w:pPr>
              <w:pStyle w:val="MerknadTR"/>
              <w:spacing w:line="160" w:lineRule="exact"/>
              <w:jc w:val="right"/>
              <w:rPr>
                <w:sz w:val="14"/>
                <w:szCs w:val="14"/>
              </w:rPr>
            </w:pPr>
            <w:r>
              <w:rPr>
                <w:sz w:val="14"/>
                <w:szCs w:val="14"/>
              </w:rPr>
              <w:t>3,66 mrd.</w:t>
            </w:r>
          </w:p>
        </w:tc>
        <w:tc>
          <w:tcPr>
            <w:tcW w:w="0" w:type="auto"/>
            <w:tcBorders>
              <w:top w:val="nil"/>
              <w:left w:val="nil"/>
              <w:bottom w:val="nil"/>
              <w:right w:val="nil"/>
            </w:tcBorders>
            <w:shd w:val="clear" w:color="auto" w:fill="F2F2F2" w:themeFill="background1" w:themeFillShade="F2"/>
          </w:tcPr>
          <w:p w14:paraId="50B4483C" w14:textId="33C15CBA" w:rsidR="006B5E51" w:rsidRDefault="006B5E51" w:rsidP="006B5E51">
            <w:pPr>
              <w:pStyle w:val="MerknadTR"/>
              <w:spacing w:line="160" w:lineRule="exact"/>
              <w:jc w:val="right"/>
              <w:rPr>
                <w:sz w:val="14"/>
                <w:szCs w:val="14"/>
              </w:rPr>
            </w:pPr>
            <w:r>
              <w:rPr>
                <w:sz w:val="14"/>
                <w:szCs w:val="14"/>
              </w:rPr>
              <w:t>3,38 mrd.</w:t>
            </w:r>
          </w:p>
        </w:tc>
        <w:tc>
          <w:tcPr>
            <w:tcW w:w="0" w:type="auto"/>
            <w:tcBorders>
              <w:top w:val="nil"/>
              <w:left w:val="nil"/>
              <w:bottom w:val="nil"/>
              <w:right w:val="nil"/>
            </w:tcBorders>
            <w:shd w:val="clear" w:color="auto" w:fill="F2F2F2" w:themeFill="background1" w:themeFillShade="F2"/>
          </w:tcPr>
          <w:p w14:paraId="77D6FA97" w14:textId="5A5CEA26" w:rsidR="006B5E51" w:rsidRDefault="006B5E51" w:rsidP="006B5E51">
            <w:pPr>
              <w:pStyle w:val="MerknadTR"/>
              <w:spacing w:line="160" w:lineRule="exact"/>
              <w:jc w:val="right"/>
              <w:rPr>
                <w:sz w:val="14"/>
                <w:szCs w:val="14"/>
              </w:rPr>
            </w:pPr>
            <w:r>
              <w:rPr>
                <w:sz w:val="14"/>
                <w:szCs w:val="14"/>
              </w:rPr>
              <w:t>3,92 mrd.</w:t>
            </w:r>
          </w:p>
        </w:tc>
        <w:tc>
          <w:tcPr>
            <w:tcW w:w="0" w:type="auto"/>
            <w:tcBorders>
              <w:top w:val="nil"/>
              <w:left w:val="nil"/>
              <w:bottom w:val="nil"/>
              <w:right w:val="nil"/>
            </w:tcBorders>
            <w:shd w:val="clear" w:color="auto" w:fill="F2F2F2" w:themeFill="background1" w:themeFillShade="F2"/>
          </w:tcPr>
          <w:p w14:paraId="098BEED0" w14:textId="215BEE80" w:rsidR="006B5E51" w:rsidRDefault="00146A5A" w:rsidP="006B5E51">
            <w:pPr>
              <w:pStyle w:val="MerknadTR"/>
              <w:spacing w:line="160" w:lineRule="exact"/>
              <w:jc w:val="right"/>
              <w:rPr>
                <w:sz w:val="14"/>
                <w:szCs w:val="14"/>
              </w:rPr>
            </w:pPr>
            <w:r>
              <w:rPr>
                <w:sz w:val="14"/>
                <w:szCs w:val="14"/>
              </w:rPr>
              <w:t>4,</w:t>
            </w:r>
            <w:r w:rsidR="008865C2">
              <w:rPr>
                <w:sz w:val="14"/>
                <w:szCs w:val="14"/>
              </w:rPr>
              <w:t>37</w:t>
            </w:r>
            <w:r>
              <w:rPr>
                <w:sz w:val="14"/>
                <w:szCs w:val="14"/>
              </w:rPr>
              <w:t xml:space="preserve"> mrd.</w:t>
            </w:r>
          </w:p>
        </w:tc>
      </w:tr>
      <w:tr w:rsidR="00F87EC1" w:rsidRPr="001213F3" w14:paraId="46C1C153" w14:textId="7A0F6CAF" w:rsidTr="0041529F">
        <w:trPr>
          <w:trHeight w:hRule="exact" w:val="227"/>
        </w:trPr>
        <w:tc>
          <w:tcPr>
            <w:tcW w:w="0" w:type="auto"/>
            <w:tcBorders>
              <w:top w:val="nil"/>
              <w:left w:val="nil"/>
              <w:bottom w:val="nil"/>
              <w:right w:val="nil"/>
            </w:tcBorders>
            <w:shd w:val="clear" w:color="auto" w:fill="F2F2F2" w:themeFill="background1" w:themeFillShade="F2"/>
          </w:tcPr>
          <w:p w14:paraId="12226F50" w14:textId="694BDA1B" w:rsidR="00F87EC1" w:rsidRPr="006024A7" w:rsidRDefault="00F87EC1" w:rsidP="00F87EC1">
            <w:pPr>
              <w:pStyle w:val="MerknadTR"/>
              <w:spacing w:line="160" w:lineRule="exact"/>
              <w:rPr>
                <w:sz w:val="14"/>
                <w:szCs w:val="14"/>
              </w:rPr>
            </w:pPr>
            <w:r w:rsidRPr="006024A7">
              <w:rPr>
                <w:sz w:val="14"/>
                <w:szCs w:val="14"/>
              </w:rPr>
              <w:t>Tildeling Forskningsrådet per faglige årsverk</w:t>
            </w:r>
            <w:r>
              <w:rPr>
                <w:sz w:val="14"/>
                <w:szCs w:val="14"/>
              </w:rPr>
              <w:t xml:space="preserve"> (inkl. </w:t>
            </w:r>
            <w:proofErr w:type="spellStart"/>
            <w:r>
              <w:rPr>
                <w:sz w:val="14"/>
                <w:szCs w:val="14"/>
              </w:rPr>
              <w:t>RFF</w:t>
            </w:r>
            <w:proofErr w:type="spellEnd"/>
            <w:r>
              <w:rPr>
                <w:sz w:val="14"/>
                <w:szCs w:val="14"/>
              </w:rPr>
              <w:t>)</w:t>
            </w:r>
          </w:p>
          <w:p w14:paraId="68AD7B90"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E80A0CE" w14:textId="02F8C19C" w:rsidR="00285B1F" w:rsidRDefault="00FA05FC" w:rsidP="00F87EC1">
            <w:pPr>
              <w:pStyle w:val="MerknadTR"/>
              <w:spacing w:line="160" w:lineRule="exact"/>
              <w:jc w:val="right"/>
              <w:rPr>
                <w:sz w:val="14"/>
                <w:szCs w:val="14"/>
              </w:rPr>
            </w:pPr>
            <w:r>
              <w:rPr>
                <w:sz w:val="14"/>
                <w:szCs w:val="14"/>
              </w:rPr>
              <w:t>155</w:t>
            </w:r>
            <w:r w:rsidRPr="00F41A2F">
              <w:rPr>
                <w:sz w:val="14"/>
                <w:szCs w:val="14"/>
              </w:rPr>
              <w:t> </w:t>
            </w:r>
            <w:r>
              <w:rPr>
                <w:sz w:val="14"/>
                <w:szCs w:val="14"/>
              </w:rPr>
              <w:t>400</w:t>
            </w:r>
          </w:p>
        </w:tc>
        <w:tc>
          <w:tcPr>
            <w:tcW w:w="0" w:type="auto"/>
            <w:tcBorders>
              <w:top w:val="nil"/>
              <w:left w:val="nil"/>
              <w:bottom w:val="nil"/>
              <w:right w:val="nil"/>
            </w:tcBorders>
            <w:shd w:val="clear" w:color="auto" w:fill="F2F2F2" w:themeFill="background1" w:themeFillShade="F2"/>
          </w:tcPr>
          <w:p w14:paraId="7A476605" w14:textId="20F27861" w:rsidR="00F87EC1" w:rsidRDefault="00F87EC1" w:rsidP="00F87EC1">
            <w:pPr>
              <w:pStyle w:val="MerknadTR"/>
              <w:spacing w:line="160" w:lineRule="exact"/>
              <w:jc w:val="right"/>
              <w:rPr>
                <w:sz w:val="14"/>
                <w:szCs w:val="14"/>
              </w:rPr>
            </w:pPr>
            <w:r>
              <w:rPr>
                <w:sz w:val="14"/>
                <w:szCs w:val="14"/>
              </w:rPr>
              <w:t>141 100</w:t>
            </w:r>
          </w:p>
        </w:tc>
        <w:tc>
          <w:tcPr>
            <w:tcW w:w="0" w:type="auto"/>
            <w:tcBorders>
              <w:top w:val="nil"/>
              <w:left w:val="nil"/>
              <w:bottom w:val="nil"/>
              <w:right w:val="nil"/>
            </w:tcBorders>
            <w:shd w:val="clear" w:color="auto" w:fill="F2F2F2" w:themeFill="background1" w:themeFillShade="F2"/>
          </w:tcPr>
          <w:p w14:paraId="626A2192" w14:textId="1100E6B3" w:rsidR="00F87EC1" w:rsidRDefault="00F87EC1" w:rsidP="00F87EC1">
            <w:pPr>
              <w:pStyle w:val="MerknadTR"/>
              <w:spacing w:line="160" w:lineRule="exact"/>
              <w:jc w:val="right"/>
              <w:rPr>
                <w:sz w:val="14"/>
                <w:szCs w:val="14"/>
              </w:rPr>
            </w:pPr>
            <w:r>
              <w:rPr>
                <w:sz w:val="14"/>
                <w:szCs w:val="14"/>
              </w:rPr>
              <w:t>156 500</w:t>
            </w:r>
          </w:p>
        </w:tc>
        <w:tc>
          <w:tcPr>
            <w:tcW w:w="0" w:type="auto"/>
            <w:tcBorders>
              <w:top w:val="nil"/>
              <w:left w:val="nil"/>
              <w:bottom w:val="nil"/>
              <w:right w:val="nil"/>
            </w:tcBorders>
            <w:shd w:val="clear" w:color="auto" w:fill="F2F2F2" w:themeFill="background1" w:themeFillShade="F2"/>
          </w:tcPr>
          <w:p w14:paraId="3CC9733B" w14:textId="00EA7CA3" w:rsidR="00F87EC1" w:rsidRDefault="00836853" w:rsidP="00F87EC1">
            <w:pPr>
              <w:pStyle w:val="MerknadTR"/>
              <w:spacing w:line="160" w:lineRule="exact"/>
              <w:jc w:val="right"/>
              <w:rPr>
                <w:sz w:val="14"/>
                <w:szCs w:val="14"/>
              </w:rPr>
            </w:pPr>
            <w:r>
              <w:rPr>
                <w:sz w:val="14"/>
                <w:szCs w:val="14"/>
              </w:rPr>
              <w:t>169 900</w:t>
            </w:r>
          </w:p>
        </w:tc>
      </w:tr>
      <w:tr w:rsidR="00F87EC1" w:rsidRPr="001213F3" w14:paraId="2C963AC6" w14:textId="4F48C37C" w:rsidTr="0041529F">
        <w:trPr>
          <w:trHeight w:hRule="exact" w:val="227"/>
        </w:trPr>
        <w:tc>
          <w:tcPr>
            <w:tcW w:w="0" w:type="auto"/>
            <w:tcBorders>
              <w:top w:val="nil"/>
              <w:left w:val="nil"/>
              <w:bottom w:val="nil"/>
              <w:right w:val="nil"/>
            </w:tcBorders>
            <w:shd w:val="clear" w:color="auto" w:fill="F2F2F2" w:themeFill="background1" w:themeFillShade="F2"/>
          </w:tcPr>
          <w:p w14:paraId="1A599227" w14:textId="23EF76A3" w:rsidR="00F87EC1" w:rsidRPr="006024A7" w:rsidRDefault="00F87EC1" w:rsidP="00F87EC1">
            <w:pPr>
              <w:pStyle w:val="MerknadTR"/>
              <w:spacing w:line="160" w:lineRule="exact"/>
              <w:rPr>
                <w:sz w:val="14"/>
                <w:szCs w:val="14"/>
              </w:rPr>
            </w:pPr>
            <w:r w:rsidRPr="006024A7">
              <w:rPr>
                <w:sz w:val="14"/>
                <w:szCs w:val="14"/>
              </w:rPr>
              <w:t xml:space="preserve">Bidrag- og oppdrag utenom EU, </w:t>
            </w:r>
            <w:r w:rsidR="00204A13">
              <w:rPr>
                <w:sz w:val="14"/>
                <w:szCs w:val="14"/>
              </w:rPr>
              <w:t>Forskningsrådet</w:t>
            </w:r>
            <w:r w:rsidRPr="006024A7">
              <w:rPr>
                <w:sz w:val="14"/>
                <w:szCs w:val="14"/>
              </w:rPr>
              <w:t xml:space="preserve"> og </w:t>
            </w:r>
            <w:proofErr w:type="spellStart"/>
            <w:r w:rsidRPr="006024A7">
              <w:rPr>
                <w:sz w:val="14"/>
                <w:szCs w:val="14"/>
              </w:rPr>
              <w:t>RFF</w:t>
            </w:r>
            <w:proofErr w:type="spellEnd"/>
          </w:p>
          <w:p w14:paraId="2CD2C832"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AAB209A" w14:textId="5FC06423" w:rsidR="00285B1F" w:rsidRDefault="00F46647" w:rsidP="00F87EC1">
            <w:pPr>
              <w:pStyle w:val="MerknadTR"/>
              <w:spacing w:line="160" w:lineRule="exact"/>
              <w:jc w:val="right"/>
              <w:rPr>
                <w:sz w:val="14"/>
                <w:szCs w:val="14"/>
              </w:rPr>
            </w:pPr>
            <w:r>
              <w:rPr>
                <w:sz w:val="14"/>
                <w:szCs w:val="14"/>
              </w:rPr>
              <w:t>3,7 mrd.</w:t>
            </w:r>
          </w:p>
        </w:tc>
        <w:tc>
          <w:tcPr>
            <w:tcW w:w="0" w:type="auto"/>
            <w:tcBorders>
              <w:top w:val="nil"/>
              <w:left w:val="nil"/>
              <w:bottom w:val="nil"/>
              <w:right w:val="nil"/>
            </w:tcBorders>
            <w:shd w:val="clear" w:color="auto" w:fill="F2F2F2" w:themeFill="background1" w:themeFillShade="F2"/>
          </w:tcPr>
          <w:p w14:paraId="0FA0AF22" w14:textId="6A9F231D" w:rsidR="00F87EC1" w:rsidRDefault="00F87EC1" w:rsidP="00F87EC1">
            <w:pPr>
              <w:pStyle w:val="MerknadTR"/>
              <w:spacing w:line="160" w:lineRule="exact"/>
              <w:jc w:val="right"/>
              <w:rPr>
                <w:sz w:val="14"/>
                <w:szCs w:val="14"/>
              </w:rPr>
            </w:pPr>
            <w:r>
              <w:rPr>
                <w:sz w:val="14"/>
                <w:szCs w:val="14"/>
              </w:rPr>
              <w:t>3,7 mrd.</w:t>
            </w:r>
          </w:p>
        </w:tc>
        <w:tc>
          <w:tcPr>
            <w:tcW w:w="0" w:type="auto"/>
            <w:tcBorders>
              <w:top w:val="nil"/>
              <w:left w:val="nil"/>
              <w:bottom w:val="nil"/>
              <w:right w:val="nil"/>
            </w:tcBorders>
            <w:shd w:val="clear" w:color="auto" w:fill="F2F2F2" w:themeFill="background1" w:themeFillShade="F2"/>
          </w:tcPr>
          <w:p w14:paraId="2D56FCB5" w14:textId="7612F150" w:rsidR="00F87EC1" w:rsidRDefault="00F87EC1" w:rsidP="00F87EC1">
            <w:pPr>
              <w:pStyle w:val="MerknadTR"/>
              <w:spacing w:line="160" w:lineRule="exact"/>
              <w:jc w:val="right"/>
              <w:rPr>
                <w:sz w:val="14"/>
                <w:szCs w:val="14"/>
              </w:rPr>
            </w:pPr>
            <w:r>
              <w:rPr>
                <w:sz w:val="14"/>
                <w:szCs w:val="14"/>
              </w:rPr>
              <w:t>4,1 mrd.</w:t>
            </w:r>
          </w:p>
        </w:tc>
        <w:tc>
          <w:tcPr>
            <w:tcW w:w="0" w:type="auto"/>
            <w:tcBorders>
              <w:top w:val="nil"/>
              <w:left w:val="nil"/>
              <w:bottom w:val="nil"/>
              <w:right w:val="nil"/>
            </w:tcBorders>
            <w:shd w:val="clear" w:color="auto" w:fill="F2F2F2" w:themeFill="background1" w:themeFillShade="F2"/>
          </w:tcPr>
          <w:p w14:paraId="35803CD2" w14:textId="79E9D9A4" w:rsidR="00F87EC1" w:rsidRDefault="00011053" w:rsidP="00F87EC1">
            <w:pPr>
              <w:pStyle w:val="MerknadTR"/>
              <w:spacing w:line="160" w:lineRule="exact"/>
              <w:jc w:val="right"/>
              <w:rPr>
                <w:sz w:val="14"/>
                <w:szCs w:val="14"/>
              </w:rPr>
            </w:pPr>
            <w:r>
              <w:rPr>
                <w:sz w:val="14"/>
                <w:szCs w:val="14"/>
              </w:rPr>
              <w:t>5,1 mrd.</w:t>
            </w:r>
          </w:p>
        </w:tc>
      </w:tr>
      <w:tr w:rsidR="00F87EC1" w:rsidRPr="001213F3" w14:paraId="3B93902E" w14:textId="474F0880" w:rsidTr="008578FD">
        <w:trPr>
          <w:trHeight w:hRule="exact" w:val="404"/>
        </w:trPr>
        <w:tc>
          <w:tcPr>
            <w:tcW w:w="0" w:type="auto"/>
            <w:tcBorders>
              <w:top w:val="nil"/>
              <w:left w:val="nil"/>
              <w:bottom w:val="nil"/>
              <w:right w:val="nil"/>
            </w:tcBorders>
            <w:shd w:val="clear" w:color="auto" w:fill="F2F2F2" w:themeFill="background1" w:themeFillShade="F2"/>
          </w:tcPr>
          <w:p w14:paraId="270EF78C" w14:textId="1005C269" w:rsidR="00F87EC1" w:rsidRPr="006024A7" w:rsidRDefault="00F87EC1" w:rsidP="00F87EC1">
            <w:pPr>
              <w:pStyle w:val="MerknadTR"/>
              <w:spacing w:line="160" w:lineRule="exact"/>
              <w:rPr>
                <w:sz w:val="14"/>
                <w:szCs w:val="14"/>
              </w:rPr>
            </w:pPr>
            <w:r w:rsidRPr="006024A7">
              <w:rPr>
                <w:sz w:val="14"/>
                <w:szCs w:val="14"/>
              </w:rPr>
              <w:t xml:space="preserve">Bidrag- og oppdrag utenom EU, </w:t>
            </w:r>
            <w:r w:rsidR="00893EF3">
              <w:rPr>
                <w:sz w:val="14"/>
                <w:szCs w:val="14"/>
              </w:rPr>
              <w:t>Forskningsrådet</w:t>
            </w:r>
            <w:r w:rsidRPr="006024A7">
              <w:rPr>
                <w:sz w:val="14"/>
                <w:szCs w:val="14"/>
              </w:rPr>
              <w:t xml:space="preserve"> og </w:t>
            </w:r>
            <w:proofErr w:type="spellStart"/>
            <w:r w:rsidRPr="006024A7">
              <w:rPr>
                <w:sz w:val="14"/>
                <w:szCs w:val="14"/>
              </w:rPr>
              <w:t>RFF</w:t>
            </w:r>
            <w:proofErr w:type="spellEnd"/>
            <w:r w:rsidRPr="006024A7">
              <w:rPr>
                <w:sz w:val="14"/>
                <w:szCs w:val="14"/>
              </w:rPr>
              <w:t xml:space="preserve"> per faglige årsverk </w:t>
            </w:r>
          </w:p>
          <w:p w14:paraId="4506A932"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6C65BDFB" w14:textId="0ADBD2FB" w:rsidR="00285B1F" w:rsidRDefault="00904E84" w:rsidP="00F87EC1">
            <w:pPr>
              <w:pStyle w:val="MerknadTR"/>
              <w:spacing w:line="160" w:lineRule="exact"/>
              <w:jc w:val="right"/>
              <w:rPr>
                <w:sz w:val="14"/>
                <w:szCs w:val="14"/>
              </w:rPr>
            </w:pPr>
            <w:r>
              <w:rPr>
                <w:sz w:val="14"/>
                <w:szCs w:val="14"/>
              </w:rPr>
              <w:t>158</w:t>
            </w:r>
            <w:r w:rsidRPr="00F41A2F">
              <w:rPr>
                <w:sz w:val="14"/>
                <w:szCs w:val="14"/>
              </w:rPr>
              <w:t> </w:t>
            </w:r>
            <w:r>
              <w:rPr>
                <w:sz w:val="14"/>
                <w:szCs w:val="14"/>
              </w:rPr>
              <w:t>200</w:t>
            </w:r>
          </w:p>
        </w:tc>
        <w:tc>
          <w:tcPr>
            <w:tcW w:w="0" w:type="auto"/>
            <w:tcBorders>
              <w:top w:val="nil"/>
              <w:left w:val="nil"/>
              <w:bottom w:val="nil"/>
              <w:right w:val="nil"/>
            </w:tcBorders>
            <w:shd w:val="clear" w:color="auto" w:fill="F2F2F2" w:themeFill="background1" w:themeFillShade="F2"/>
          </w:tcPr>
          <w:p w14:paraId="428582AA" w14:textId="4FC08BD6" w:rsidR="00F87EC1" w:rsidRDefault="00F87EC1" w:rsidP="00F87EC1">
            <w:pPr>
              <w:pStyle w:val="MerknadTR"/>
              <w:spacing w:line="160" w:lineRule="exact"/>
              <w:jc w:val="right"/>
              <w:rPr>
                <w:sz w:val="14"/>
                <w:szCs w:val="14"/>
              </w:rPr>
            </w:pPr>
            <w:r>
              <w:rPr>
                <w:sz w:val="14"/>
                <w:szCs w:val="14"/>
              </w:rPr>
              <w:t>156 400</w:t>
            </w:r>
          </w:p>
        </w:tc>
        <w:tc>
          <w:tcPr>
            <w:tcW w:w="0" w:type="auto"/>
            <w:tcBorders>
              <w:top w:val="nil"/>
              <w:left w:val="nil"/>
              <w:bottom w:val="nil"/>
              <w:right w:val="nil"/>
            </w:tcBorders>
            <w:shd w:val="clear" w:color="auto" w:fill="F2F2F2" w:themeFill="background1" w:themeFillShade="F2"/>
          </w:tcPr>
          <w:p w14:paraId="2B95C147" w14:textId="28C181A9" w:rsidR="00F87EC1" w:rsidRDefault="00F87EC1" w:rsidP="00F87EC1">
            <w:pPr>
              <w:pStyle w:val="MerknadTR"/>
              <w:spacing w:line="160" w:lineRule="exact"/>
              <w:jc w:val="right"/>
              <w:rPr>
                <w:sz w:val="14"/>
                <w:szCs w:val="14"/>
              </w:rPr>
            </w:pPr>
            <w:r>
              <w:rPr>
                <w:sz w:val="14"/>
                <w:szCs w:val="14"/>
              </w:rPr>
              <w:t>164 500</w:t>
            </w:r>
          </w:p>
        </w:tc>
        <w:tc>
          <w:tcPr>
            <w:tcW w:w="0" w:type="auto"/>
            <w:tcBorders>
              <w:top w:val="nil"/>
              <w:left w:val="nil"/>
              <w:bottom w:val="nil"/>
              <w:right w:val="nil"/>
            </w:tcBorders>
            <w:shd w:val="clear" w:color="auto" w:fill="F2F2F2" w:themeFill="background1" w:themeFillShade="F2"/>
          </w:tcPr>
          <w:p w14:paraId="3E05E673" w14:textId="683304A3" w:rsidR="00F87EC1" w:rsidRDefault="00802D40" w:rsidP="00F87EC1">
            <w:pPr>
              <w:pStyle w:val="MerknadTR"/>
              <w:spacing w:line="160" w:lineRule="exact"/>
              <w:jc w:val="right"/>
              <w:rPr>
                <w:sz w:val="14"/>
                <w:szCs w:val="14"/>
              </w:rPr>
            </w:pPr>
            <w:r>
              <w:rPr>
                <w:sz w:val="14"/>
                <w:szCs w:val="14"/>
              </w:rPr>
              <w:t>197 500</w:t>
            </w:r>
          </w:p>
        </w:tc>
      </w:tr>
      <w:tr w:rsidR="00F87EC1" w:rsidRPr="001213F3" w14:paraId="7EEEF4AE" w14:textId="03F8A804" w:rsidTr="0041529F">
        <w:trPr>
          <w:trHeight w:hRule="exact" w:val="227"/>
        </w:trPr>
        <w:tc>
          <w:tcPr>
            <w:tcW w:w="0" w:type="auto"/>
            <w:tcBorders>
              <w:top w:val="nil"/>
              <w:left w:val="nil"/>
              <w:bottom w:val="nil"/>
              <w:right w:val="nil"/>
            </w:tcBorders>
            <w:shd w:val="clear" w:color="auto" w:fill="F2F2F2" w:themeFill="background1" w:themeFillShade="F2"/>
          </w:tcPr>
          <w:p w14:paraId="77C31590"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77A1FC8"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6B6D560"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21F2B07" w14:textId="3AC01A1E"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5525F31" w14:textId="77777777" w:rsidR="00F87EC1" w:rsidRDefault="00F87EC1" w:rsidP="00F87EC1">
            <w:pPr>
              <w:pStyle w:val="MerknadTR"/>
              <w:spacing w:line="160" w:lineRule="exact"/>
              <w:jc w:val="right"/>
              <w:rPr>
                <w:sz w:val="14"/>
                <w:szCs w:val="14"/>
              </w:rPr>
            </w:pPr>
          </w:p>
        </w:tc>
      </w:tr>
      <w:tr w:rsidR="00F87EC1" w:rsidRPr="001213F3" w14:paraId="458B6D2A" w14:textId="5F269FF9" w:rsidTr="0041529F">
        <w:trPr>
          <w:trHeight w:hRule="exact" w:val="227"/>
        </w:trPr>
        <w:tc>
          <w:tcPr>
            <w:tcW w:w="0" w:type="auto"/>
            <w:tcBorders>
              <w:top w:val="nil"/>
              <w:left w:val="nil"/>
              <w:bottom w:val="nil"/>
              <w:right w:val="nil"/>
            </w:tcBorders>
            <w:shd w:val="clear" w:color="auto" w:fill="F2F2F2" w:themeFill="background1" w:themeFillShade="F2"/>
          </w:tcPr>
          <w:p w14:paraId="10E7D002" w14:textId="77777777" w:rsidR="00F87EC1" w:rsidRPr="006024A7" w:rsidRDefault="00F87EC1" w:rsidP="00F87EC1">
            <w:pPr>
              <w:pStyle w:val="MerknadTR"/>
              <w:spacing w:line="160" w:lineRule="exact"/>
              <w:rPr>
                <w:b/>
                <w:sz w:val="14"/>
                <w:szCs w:val="14"/>
              </w:rPr>
            </w:pPr>
            <w:r w:rsidRPr="006024A7">
              <w:rPr>
                <w:b/>
                <w:sz w:val="14"/>
                <w:szCs w:val="14"/>
              </w:rPr>
              <w:t>Kommersialisering av forskning</w:t>
            </w:r>
          </w:p>
          <w:p w14:paraId="176C3B04"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113FF0F"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2795466"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E20C9F1" w14:textId="403E5616"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7D3F250" w14:textId="77777777" w:rsidR="00F87EC1" w:rsidRDefault="00F87EC1" w:rsidP="00F87EC1">
            <w:pPr>
              <w:pStyle w:val="MerknadTR"/>
              <w:spacing w:line="160" w:lineRule="exact"/>
              <w:jc w:val="right"/>
              <w:rPr>
                <w:sz w:val="14"/>
                <w:szCs w:val="14"/>
              </w:rPr>
            </w:pPr>
          </w:p>
        </w:tc>
      </w:tr>
      <w:tr w:rsidR="00F87EC1" w:rsidRPr="001213F3" w14:paraId="580323D8" w14:textId="71513BAB" w:rsidTr="0041529F">
        <w:trPr>
          <w:trHeight w:hRule="exact" w:val="227"/>
        </w:trPr>
        <w:tc>
          <w:tcPr>
            <w:tcW w:w="0" w:type="auto"/>
            <w:tcBorders>
              <w:top w:val="nil"/>
              <w:left w:val="nil"/>
              <w:bottom w:val="nil"/>
              <w:right w:val="nil"/>
            </w:tcBorders>
            <w:shd w:val="clear" w:color="auto" w:fill="F2F2F2" w:themeFill="background1" w:themeFillShade="F2"/>
          </w:tcPr>
          <w:p w14:paraId="0B83050A" w14:textId="77777777" w:rsidR="00F87EC1" w:rsidRPr="006024A7" w:rsidRDefault="00F87EC1" w:rsidP="00F87EC1">
            <w:pPr>
              <w:pStyle w:val="MerknadTR"/>
              <w:spacing w:line="160" w:lineRule="exact"/>
              <w:rPr>
                <w:sz w:val="14"/>
                <w:szCs w:val="14"/>
              </w:rPr>
            </w:pPr>
            <w:r w:rsidRPr="006024A7">
              <w:rPr>
                <w:sz w:val="14"/>
                <w:szCs w:val="14"/>
              </w:rPr>
              <w:t>Mottatte forretningsideer</w:t>
            </w:r>
          </w:p>
          <w:p w14:paraId="58FAA4A8"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0DF53780" w14:textId="04DFB7AD" w:rsidR="00285B1F" w:rsidRDefault="005A7D69" w:rsidP="00F87EC1">
            <w:pPr>
              <w:pStyle w:val="MerknadTR"/>
              <w:spacing w:line="160" w:lineRule="exact"/>
              <w:jc w:val="right"/>
              <w:rPr>
                <w:sz w:val="14"/>
                <w:szCs w:val="14"/>
              </w:rPr>
            </w:pPr>
            <w:r>
              <w:rPr>
                <w:sz w:val="14"/>
                <w:szCs w:val="14"/>
              </w:rPr>
              <w:t>784</w:t>
            </w:r>
          </w:p>
        </w:tc>
        <w:tc>
          <w:tcPr>
            <w:tcW w:w="0" w:type="auto"/>
            <w:tcBorders>
              <w:top w:val="nil"/>
              <w:left w:val="nil"/>
              <w:bottom w:val="nil"/>
              <w:right w:val="nil"/>
            </w:tcBorders>
            <w:shd w:val="clear" w:color="auto" w:fill="F2F2F2" w:themeFill="background1" w:themeFillShade="F2"/>
          </w:tcPr>
          <w:p w14:paraId="344F1487" w14:textId="2297FFF8" w:rsidR="00F87EC1" w:rsidRDefault="00F87EC1" w:rsidP="00F87EC1">
            <w:pPr>
              <w:pStyle w:val="MerknadTR"/>
              <w:spacing w:line="160" w:lineRule="exact"/>
              <w:jc w:val="right"/>
              <w:rPr>
                <w:sz w:val="14"/>
                <w:szCs w:val="14"/>
              </w:rPr>
            </w:pPr>
            <w:r>
              <w:rPr>
                <w:sz w:val="14"/>
                <w:szCs w:val="14"/>
              </w:rPr>
              <w:t>515</w:t>
            </w:r>
          </w:p>
        </w:tc>
        <w:tc>
          <w:tcPr>
            <w:tcW w:w="0" w:type="auto"/>
            <w:tcBorders>
              <w:top w:val="nil"/>
              <w:left w:val="nil"/>
              <w:bottom w:val="nil"/>
              <w:right w:val="nil"/>
            </w:tcBorders>
            <w:shd w:val="clear" w:color="auto" w:fill="F2F2F2" w:themeFill="background1" w:themeFillShade="F2"/>
          </w:tcPr>
          <w:p w14:paraId="228BB77F" w14:textId="55AEBBF0" w:rsidR="00F87EC1" w:rsidRDefault="00EF091F" w:rsidP="00F87EC1">
            <w:pPr>
              <w:pStyle w:val="MerknadTR"/>
              <w:spacing w:line="160" w:lineRule="exact"/>
              <w:jc w:val="right"/>
              <w:rPr>
                <w:sz w:val="14"/>
                <w:szCs w:val="14"/>
              </w:rPr>
            </w:pPr>
            <w:r>
              <w:rPr>
                <w:sz w:val="14"/>
                <w:szCs w:val="14"/>
              </w:rPr>
              <w:t>484</w:t>
            </w:r>
          </w:p>
        </w:tc>
        <w:tc>
          <w:tcPr>
            <w:tcW w:w="0" w:type="auto"/>
            <w:tcBorders>
              <w:top w:val="nil"/>
              <w:left w:val="nil"/>
              <w:bottom w:val="nil"/>
              <w:right w:val="nil"/>
            </w:tcBorders>
            <w:shd w:val="clear" w:color="auto" w:fill="F2F2F2" w:themeFill="background1" w:themeFillShade="F2"/>
          </w:tcPr>
          <w:p w14:paraId="546AFB77" w14:textId="7AA2E8B8" w:rsidR="00F87EC1" w:rsidRDefault="00756775" w:rsidP="00F87EC1">
            <w:pPr>
              <w:pStyle w:val="MerknadTR"/>
              <w:spacing w:line="160" w:lineRule="exact"/>
              <w:jc w:val="right"/>
              <w:rPr>
                <w:sz w:val="14"/>
                <w:szCs w:val="14"/>
              </w:rPr>
            </w:pPr>
            <w:r>
              <w:rPr>
                <w:sz w:val="14"/>
                <w:szCs w:val="14"/>
              </w:rPr>
              <w:t>478</w:t>
            </w:r>
          </w:p>
        </w:tc>
      </w:tr>
      <w:tr w:rsidR="00F87EC1" w:rsidRPr="001213F3" w14:paraId="56924305" w14:textId="18342E46" w:rsidTr="0041529F">
        <w:trPr>
          <w:trHeight w:hRule="exact" w:val="227"/>
        </w:trPr>
        <w:tc>
          <w:tcPr>
            <w:tcW w:w="0" w:type="auto"/>
            <w:tcBorders>
              <w:top w:val="nil"/>
              <w:left w:val="nil"/>
              <w:bottom w:val="nil"/>
              <w:right w:val="nil"/>
            </w:tcBorders>
            <w:shd w:val="clear" w:color="auto" w:fill="F2F2F2" w:themeFill="background1" w:themeFillShade="F2"/>
          </w:tcPr>
          <w:p w14:paraId="44220BC5" w14:textId="77777777" w:rsidR="00F87EC1" w:rsidRPr="006024A7" w:rsidRDefault="00F87EC1" w:rsidP="00F87EC1">
            <w:pPr>
              <w:pStyle w:val="MerknadTR"/>
              <w:spacing w:line="160" w:lineRule="exact"/>
              <w:rPr>
                <w:sz w:val="14"/>
                <w:szCs w:val="14"/>
              </w:rPr>
            </w:pPr>
            <w:r w:rsidRPr="006024A7">
              <w:rPr>
                <w:sz w:val="14"/>
                <w:szCs w:val="14"/>
              </w:rPr>
              <w:t>Inngåtte lisensieringskontrakter</w:t>
            </w:r>
          </w:p>
          <w:p w14:paraId="639943C0"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0C9281CC" w14:textId="3B35AA3B" w:rsidR="00285B1F" w:rsidRDefault="005A7D69" w:rsidP="00F87EC1">
            <w:pPr>
              <w:pStyle w:val="MerknadTR"/>
              <w:spacing w:line="160" w:lineRule="exact"/>
              <w:jc w:val="right"/>
              <w:rPr>
                <w:sz w:val="14"/>
                <w:szCs w:val="14"/>
              </w:rPr>
            </w:pPr>
            <w:r>
              <w:rPr>
                <w:sz w:val="14"/>
                <w:szCs w:val="14"/>
              </w:rPr>
              <w:t>66</w:t>
            </w:r>
          </w:p>
        </w:tc>
        <w:tc>
          <w:tcPr>
            <w:tcW w:w="0" w:type="auto"/>
            <w:tcBorders>
              <w:top w:val="nil"/>
              <w:left w:val="nil"/>
              <w:bottom w:val="nil"/>
              <w:right w:val="nil"/>
            </w:tcBorders>
            <w:shd w:val="clear" w:color="auto" w:fill="F2F2F2" w:themeFill="background1" w:themeFillShade="F2"/>
          </w:tcPr>
          <w:p w14:paraId="4CF1754E" w14:textId="09D836F7" w:rsidR="00F87EC1" w:rsidRDefault="00F87EC1" w:rsidP="00F87EC1">
            <w:pPr>
              <w:pStyle w:val="MerknadTR"/>
              <w:spacing w:line="160" w:lineRule="exact"/>
              <w:jc w:val="right"/>
              <w:rPr>
                <w:sz w:val="14"/>
                <w:szCs w:val="14"/>
              </w:rPr>
            </w:pPr>
            <w:r>
              <w:rPr>
                <w:sz w:val="14"/>
                <w:szCs w:val="14"/>
              </w:rPr>
              <w:t>56</w:t>
            </w:r>
          </w:p>
        </w:tc>
        <w:tc>
          <w:tcPr>
            <w:tcW w:w="0" w:type="auto"/>
            <w:tcBorders>
              <w:top w:val="nil"/>
              <w:left w:val="nil"/>
              <w:bottom w:val="nil"/>
              <w:right w:val="nil"/>
            </w:tcBorders>
            <w:shd w:val="clear" w:color="auto" w:fill="F2F2F2" w:themeFill="background1" w:themeFillShade="F2"/>
          </w:tcPr>
          <w:p w14:paraId="09C91397" w14:textId="46C162FE" w:rsidR="00F87EC1" w:rsidRDefault="00F87EC1" w:rsidP="00F87EC1">
            <w:pPr>
              <w:pStyle w:val="MerknadTR"/>
              <w:spacing w:line="160" w:lineRule="exact"/>
              <w:jc w:val="right"/>
              <w:rPr>
                <w:sz w:val="14"/>
                <w:szCs w:val="14"/>
              </w:rPr>
            </w:pPr>
            <w:r>
              <w:rPr>
                <w:sz w:val="14"/>
                <w:szCs w:val="14"/>
              </w:rPr>
              <w:t>50</w:t>
            </w:r>
          </w:p>
        </w:tc>
        <w:tc>
          <w:tcPr>
            <w:tcW w:w="0" w:type="auto"/>
            <w:tcBorders>
              <w:top w:val="nil"/>
              <w:left w:val="nil"/>
              <w:bottom w:val="nil"/>
              <w:right w:val="nil"/>
            </w:tcBorders>
            <w:shd w:val="clear" w:color="auto" w:fill="F2F2F2" w:themeFill="background1" w:themeFillShade="F2"/>
          </w:tcPr>
          <w:p w14:paraId="24DFE615" w14:textId="245E3DA9" w:rsidR="00F87EC1" w:rsidRDefault="00756775" w:rsidP="00F87EC1">
            <w:pPr>
              <w:pStyle w:val="MerknadTR"/>
              <w:spacing w:line="160" w:lineRule="exact"/>
              <w:jc w:val="right"/>
              <w:rPr>
                <w:sz w:val="14"/>
                <w:szCs w:val="14"/>
              </w:rPr>
            </w:pPr>
            <w:r>
              <w:rPr>
                <w:sz w:val="14"/>
                <w:szCs w:val="14"/>
              </w:rPr>
              <w:t>72</w:t>
            </w:r>
          </w:p>
        </w:tc>
      </w:tr>
      <w:tr w:rsidR="00F87EC1" w:rsidRPr="001213F3" w14:paraId="6E017C29" w14:textId="07E28BE8" w:rsidTr="0041529F">
        <w:trPr>
          <w:trHeight w:hRule="exact" w:val="227"/>
        </w:trPr>
        <w:tc>
          <w:tcPr>
            <w:tcW w:w="0" w:type="auto"/>
            <w:tcBorders>
              <w:top w:val="nil"/>
              <w:left w:val="nil"/>
              <w:bottom w:val="nil"/>
              <w:right w:val="nil"/>
            </w:tcBorders>
            <w:shd w:val="clear" w:color="auto" w:fill="F2F2F2" w:themeFill="background1" w:themeFillShade="F2"/>
          </w:tcPr>
          <w:p w14:paraId="4A051CF1" w14:textId="77777777" w:rsidR="00F87EC1" w:rsidRPr="006024A7" w:rsidRDefault="00F87EC1" w:rsidP="00F87EC1">
            <w:pPr>
              <w:pStyle w:val="MerknadTR"/>
              <w:spacing w:line="160" w:lineRule="exact"/>
              <w:rPr>
                <w:sz w:val="14"/>
                <w:szCs w:val="14"/>
              </w:rPr>
            </w:pPr>
            <w:r w:rsidRPr="006024A7">
              <w:rPr>
                <w:sz w:val="14"/>
                <w:szCs w:val="14"/>
              </w:rPr>
              <w:t>Nye foretak etablert</w:t>
            </w:r>
          </w:p>
          <w:p w14:paraId="0EC2CF76"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1337D82" w14:textId="19119691" w:rsidR="00285B1F" w:rsidRDefault="005A7D69" w:rsidP="00F87EC1">
            <w:pPr>
              <w:pStyle w:val="MerknadTR"/>
              <w:spacing w:line="160" w:lineRule="exact"/>
              <w:jc w:val="right"/>
              <w:rPr>
                <w:sz w:val="14"/>
                <w:szCs w:val="14"/>
              </w:rPr>
            </w:pPr>
            <w:r>
              <w:rPr>
                <w:sz w:val="14"/>
                <w:szCs w:val="14"/>
              </w:rPr>
              <w:t>21</w:t>
            </w:r>
          </w:p>
        </w:tc>
        <w:tc>
          <w:tcPr>
            <w:tcW w:w="0" w:type="auto"/>
            <w:tcBorders>
              <w:top w:val="nil"/>
              <w:left w:val="nil"/>
              <w:bottom w:val="nil"/>
              <w:right w:val="nil"/>
            </w:tcBorders>
            <w:shd w:val="clear" w:color="auto" w:fill="F2F2F2" w:themeFill="background1" w:themeFillShade="F2"/>
          </w:tcPr>
          <w:p w14:paraId="078EFA3F" w14:textId="03FF8C22" w:rsidR="00F87EC1" w:rsidRDefault="00F87EC1" w:rsidP="00F87EC1">
            <w:pPr>
              <w:pStyle w:val="MerknadTR"/>
              <w:spacing w:line="160" w:lineRule="exact"/>
              <w:jc w:val="right"/>
              <w:rPr>
                <w:sz w:val="14"/>
                <w:szCs w:val="14"/>
              </w:rPr>
            </w:pPr>
            <w:r>
              <w:rPr>
                <w:sz w:val="14"/>
                <w:szCs w:val="14"/>
              </w:rPr>
              <w:t>8</w:t>
            </w:r>
          </w:p>
        </w:tc>
        <w:tc>
          <w:tcPr>
            <w:tcW w:w="0" w:type="auto"/>
            <w:tcBorders>
              <w:top w:val="nil"/>
              <w:left w:val="nil"/>
              <w:bottom w:val="nil"/>
              <w:right w:val="nil"/>
            </w:tcBorders>
            <w:shd w:val="clear" w:color="auto" w:fill="F2F2F2" w:themeFill="background1" w:themeFillShade="F2"/>
          </w:tcPr>
          <w:p w14:paraId="629D8BAD" w14:textId="7DAFB05E" w:rsidR="00F87EC1" w:rsidRDefault="00F87EC1" w:rsidP="00F87EC1">
            <w:pPr>
              <w:pStyle w:val="MerknadTR"/>
              <w:spacing w:line="160" w:lineRule="exact"/>
              <w:jc w:val="right"/>
              <w:rPr>
                <w:sz w:val="14"/>
                <w:szCs w:val="14"/>
              </w:rPr>
            </w:pPr>
            <w:r>
              <w:rPr>
                <w:sz w:val="14"/>
                <w:szCs w:val="14"/>
              </w:rPr>
              <w:t>13</w:t>
            </w:r>
          </w:p>
        </w:tc>
        <w:tc>
          <w:tcPr>
            <w:tcW w:w="0" w:type="auto"/>
            <w:tcBorders>
              <w:top w:val="nil"/>
              <w:left w:val="nil"/>
              <w:bottom w:val="nil"/>
              <w:right w:val="nil"/>
            </w:tcBorders>
            <w:shd w:val="clear" w:color="auto" w:fill="F2F2F2" w:themeFill="background1" w:themeFillShade="F2"/>
          </w:tcPr>
          <w:p w14:paraId="191DE90C" w14:textId="463332C5" w:rsidR="00F87EC1" w:rsidRDefault="00756775" w:rsidP="00F87EC1">
            <w:pPr>
              <w:pStyle w:val="MerknadTR"/>
              <w:spacing w:line="160" w:lineRule="exact"/>
              <w:jc w:val="right"/>
              <w:rPr>
                <w:sz w:val="14"/>
                <w:szCs w:val="14"/>
              </w:rPr>
            </w:pPr>
            <w:r>
              <w:rPr>
                <w:sz w:val="14"/>
                <w:szCs w:val="14"/>
              </w:rPr>
              <w:t>19</w:t>
            </w:r>
          </w:p>
        </w:tc>
      </w:tr>
      <w:tr w:rsidR="00F87EC1" w:rsidRPr="001213F3" w14:paraId="42FA3B77" w14:textId="5AE34848" w:rsidTr="0041529F">
        <w:trPr>
          <w:trHeight w:hRule="exact" w:val="227"/>
        </w:trPr>
        <w:tc>
          <w:tcPr>
            <w:tcW w:w="0" w:type="auto"/>
            <w:tcBorders>
              <w:top w:val="nil"/>
              <w:left w:val="nil"/>
              <w:bottom w:val="nil"/>
              <w:right w:val="nil"/>
            </w:tcBorders>
            <w:shd w:val="clear" w:color="auto" w:fill="F2F2F2" w:themeFill="background1" w:themeFillShade="F2"/>
          </w:tcPr>
          <w:p w14:paraId="14C81681" w14:textId="77777777" w:rsidR="00F87EC1" w:rsidRPr="006024A7" w:rsidRDefault="00F87EC1" w:rsidP="00F87EC1">
            <w:pPr>
              <w:pStyle w:val="MerknadTR"/>
              <w:spacing w:line="160" w:lineRule="exact"/>
              <w:rPr>
                <w:sz w:val="14"/>
                <w:szCs w:val="14"/>
              </w:rPr>
            </w:pPr>
            <w:r w:rsidRPr="006024A7">
              <w:rPr>
                <w:sz w:val="14"/>
                <w:szCs w:val="14"/>
              </w:rPr>
              <w:t>Antall patentsøknader</w:t>
            </w:r>
          </w:p>
          <w:p w14:paraId="4834BFF3"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AA8A9AC" w14:textId="18F06B3B" w:rsidR="00285B1F" w:rsidRDefault="005A7D69" w:rsidP="00F87EC1">
            <w:pPr>
              <w:pStyle w:val="MerknadTR"/>
              <w:spacing w:line="160" w:lineRule="exact"/>
              <w:jc w:val="right"/>
              <w:rPr>
                <w:sz w:val="14"/>
                <w:szCs w:val="14"/>
              </w:rPr>
            </w:pPr>
            <w:r>
              <w:rPr>
                <w:sz w:val="14"/>
                <w:szCs w:val="14"/>
              </w:rPr>
              <w:t>167</w:t>
            </w:r>
          </w:p>
        </w:tc>
        <w:tc>
          <w:tcPr>
            <w:tcW w:w="0" w:type="auto"/>
            <w:tcBorders>
              <w:top w:val="nil"/>
              <w:left w:val="nil"/>
              <w:bottom w:val="nil"/>
              <w:right w:val="nil"/>
            </w:tcBorders>
            <w:shd w:val="clear" w:color="auto" w:fill="F2F2F2" w:themeFill="background1" w:themeFillShade="F2"/>
          </w:tcPr>
          <w:p w14:paraId="507590A2" w14:textId="580DF2F1" w:rsidR="00F87EC1" w:rsidRDefault="00F87EC1" w:rsidP="00F87EC1">
            <w:pPr>
              <w:pStyle w:val="MerknadTR"/>
              <w:spacing w:line="160" w:lineRule="exact"/>
              <w:jc w:val="right"/>
              <w:rPr>
                <w:sz w:val="14"/>
                <w:szCs w:val="14"/>
              </w:rPr>
            </w:pPr>
            <w:r>
              <w:rPr>
                <w:sz w:val="14"/>
                <w:szCs w:val="14"/>
              </w:rPr>
              <w:t>161</w:t>
            </w:r>
          </w:p>
        </w:tc>
        <w:tc>
          <w:tcPr>
            <w:tcW w:w="0" w:type="auto"/>
            <w:tcBorders>
              <w:top w:val="nil"/>
              <w:left w:val="nil"/>
              <w:bottom w:val="nil"/>
              <w:right w:val="nil"/>
            </w:tcBorders>
            <w:shd w:val="clear" w:color="auto" w:fill="F2F2F2" w:themeFill="background1" w:themeFillShade="F2"/>
          </w:tcPr>
          <w:p w14:paraId="2AB4B774" w14:textId="2A2DFDDD" w:rsidR="00F87EC1" w:rsidRDefault="00F87EC1" w:rsidP="00F87EC1">
            <w:pPr>
              <w:pStyle w:val="MerknadTR"/>
              <w:spacing w:line="160" w:lineRule="exact"/>
              <w:jc w:val="right"/>
              <w:rPr>
                <w:sz w:val="14"/>
                <w:szCs w:val="14"/>
              </w:rPr>
            </w:pPr>
            <w:r>
              <w:rPr>
                <w:sz w:val="14"/>
                <w:szCs w:val="14"/>
              </w:rPr>
              <w:t>176</w:t>
            </w:r>
          </w:p>
        </w:tc>
        <w:tc>
          <w:tcPr>
            <w:tcW w:w="0" w:type="auto"/>
            <w:tcBorders>
              <w:top w:val="nil"/>
              <w:left w:val="nil"/>
              <w:bottom w:val="nil"/>
              <w:right w:val="nil"/>
            </w:tcBorders>
            <w:shd w:val="clear" w:color="auto" w:fill="F2F2F2" w:themeFill="background1" w:themeFillShade="F2"/>
          </w:tcPr>
          <w:p w14:paraId="5C58DC8E" w14:textId="527A5B8D" w:rsidR="00F87EC1" w:rsidRDefault="00756775" w:rsidP="00F87EC1">
            <w:pPr>
              <w:pStyle w:val="MerknadTR"/>
              <w:spacing w:line="160" w:lineRule="exact"/>
              <w:jc w:val="right"/>
              <w:rPr>
                <w:sz w:val="14"/>
                <w:szCs w:val="14"/>
              </w:rPr>
            </w:pPr>
            <w:r>
              <w:rPr>
                <w:sz w:val="14"/>
                <w:szCs w:val="14"/>
              </w:rPr>
              <w:t>156</w:t>
            </w:r>
          </w:p>
        </w:tc>
      </w:tr>
      <w:tr w:rsidR="00F87EC1" w:rsidRPr="001213F3" w14:paraId="5DC26C66" w14:textId="7356AC64" w:rsidTr="0041529F">
        <w:trPr>
          <w:trHeight w:hRule="exact" w:val="227"/>
        </w:trPr>
        <w:tc>
          <w:tcPr>
            <w:tcW w:w="0" w:type="auto"/>
            <w:tcBorders>
              <w:top w:val="nil"/>
              <w:left w:val="nil"/>
              <w:bottom w:val="nil"/>
              <w:right w:val="nil"/>
            </w:tcBorders>
            <w:shd w:val="clear" w:color="auto" w:fill="F2F2F2" w:themeFill="background1" w:themeFillShade="F2"/>
          </w:tcPr>
          <w:p w14:paraId="33F6C87B"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37D4A66"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BFCB7E3"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D75D986" w14:textId="43CD09C6"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F205F6E" w14:textId="77777777" w:rsidR="00F87EC1" w:rsidRDefault="00F87EC1" w:rsidP="00F87EC1">
            <w:pPr>
              <w:pStyle w:val="MerknadTR"/>
              <w:spacing w:line="160" w:lineRule="exact"/>
              <w:jc w:val="right"/>
              <w:rPr>
                <w:sz w:val="14"/>
                <w:szCs w:val="14"/>
              </w:rPr>
            </w:pPr>
          </w:p>
        </w:tc>
      </w:tr>
      <w:tr w:rsidR="00F87EC1" w:rsidRPr="001213F3" w14:paraId="0B1B669F" w14:textId="7734E27A" w:rsidTr="0041529F">
        <w:trPr>
          <w:trHeight w:hRule="exact" w:val="227"/>
        </w:trPr>
        <w:tc>
          <w:tcPr>
            <w:tcW w:w="0" w:type="auto"/>
            <w:tcBorders>
              <w:top w:val="nil"/>
              <w:left w:val="nil"/>
              <w:bottom w:val="nil"/>
              <w:right w:val="nil"/>
            </w:tcBorders>
            <w:shd w:val="clear" w:color="auto" w:fill="F2F2F2" w:themeFill="background1" w:themeFillShade="F2"/>
          </w:tcPr>
          <w:p w14:paraId="353C9F81" w14:textId="77777777" w:rsidR="00F87EC1" w:rsidRPr="006024A7" w:rsidRDefault="00F87EC1" w:rsidP="00F87EC1">
            <w:pPr>
              <w:pStyle w:val="MerknadTR"/>
              <w:spacing w:line="160" w:lineRule="exact"/>
              <w:rPr>
                <w:b/>
                <w:sz w:val="14"/>
                <w:szCs w:val="14"/>
              </w:rPr>
            </w:pPr>
            <w:r w:rsidRPr="006024A7">
              <w:rPr>
                <w:b/>
                <w:sz w:val="14"/>
                <w:szCs w:val="14"/>
              </w:rPr>
              <w:t>Internasjonalisering</w:t>
            </w:r>
          </w:p>
          <w:p w14:paraId="1D22E429"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A037F4C"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C171B8A"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E97B429" w14:textId="4DC7265A"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2E158DB" w14:textId="77777777" w:rsidR="00F87EC1" w:rsidRDefault="00F87EC1" w:rsidP="00F87EC1">
            <w:pPr>
              <w:pStyle w:val="MerknadTR"/>
              <w:spacing w:line="160" w:lineRule="exact"/>
              <w:jc w:val="right"/>
              <w:rPr>
                <w:sz w:val="14"/>
                <w:szCs w:val="14"/>
              </w:rPr>
            </w:pPr>
          </w:p>
        </w:tc>
      </w:tr>
      <w:tr w:rsidR="00F87EC1" w:rsidRPr="001213F3" w14:paraId="57B0D71E" w14:textId="691741D7" w:rsidTr="0041529F">
        <w:trPr>
          <w:trHeight w:hRule="exact" w:val="227"/>
        </w:trPr>
        <w:tc>
          <w:tcPr>
            <w:tcW w:w="0" w:type="auto"/>
            <w:tcBorders>
              <w:top w:val="nil"/>
              <w:left w:val="nil"/>
              <w:bottom w:val="nil"/>
              <w:right w:val="nil"/>
            </w:tcBorders>
            <w:shd w:val="clear" w:color="auto" w:fill="F2F2F2" w:themeFill="background1" w:themeFillShade="F2"/>
          </w:tcPr>
          <w:p w14:paraId="36397AB5" w14:textId="77777777" w:rsidR="00F87EC1" w:rsidRPr="006024A7" w:rsidRDefault="00F87EC1" w:rsidP="00F87EC1">
            <w:pPr>
              <w:pStyle w:val="MerknadTR"/>
              <w:spacing w:line="160" w:lineRule="exact"/>
              <w:rPr>
                <w:sz w:val="14"/>
                <w:szCs w:val="14"/>
              </w:rPr>
            </w:pPr>
            <w:r w:rsidRPr="006024A7">
              <w:rPr>
                <w:sz w:val="14"/>
                <w:szCs w:val="14"/>
              </w:rPr>
              <w:t xml:space="preserve">Fremmedspråklige emner </w:t>
            </w:r>
          </w:p>
          <w:p w14:paraId="2BC78C71"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5AE3B109" w14:textId="16D8448D" w:rsidR="00285B1F" w:rsidRDefault="00791E46" w:rsidP="00F87EC1">
            <w:pPr>
              <w:pStyle w:val="MerknadTR"/>
              <w:spacing w:line="160" w:lineRule="exact"/>
              <w:jc w:val="right"/>
              <w:rPr>
                <w:sz w:val="14"/>
                <w:szCs w:val="14"/>
              </w:rPr>
            </w:pPr>
            <w:r>
              <w:rPr>
                <w:sz w:val="14"/>
                <w:szCs w:val="14"/>
              </w:rPr>
              <w:t>6</w:t>
            </w:r>
            <w:r w:rsidRPr="00F41A2F">
              <w:rPr>
                <w:sz w:val="14"/>
                <w:szCs w:val="14"/>
              </w:rPr>
              <w:t> </w:t>
            </w:r>
            <w:r>
              <w:rPr>
                <w:sz w:val="14"/>
                <w:szCs w:val="14"/>
              </w:rPr>
              <w:t>298</w:t>
            </w:r>
          </w:p>
        </w:tc>
        <w:tc>
          <w:tcPr>
            <w:tcW w:w="0" w:type="auto"/>
            <w:tcBorders>
              <w:top w:val="nil"/>
              <w:left w:val="nil"/>
              <w:bottom w:val="nil"/>
              <w:right w:val="nil"/>
            </w:tcBorders>
            <w:shd w:val="clear" w:color="auto" w:fill="F2F2F2" w:themeFill="background1" w:themeFillShade="F2"/>
          </w:tcPr>
          <w:p w14:paraId="1DB4210D" w14:textId="29142B4D" w:rsidR="00F87EC1" w:rsidRDefault="005246A6" w:rsidP="00F87EC1">
            <w:pPr>
              <w:pStyle w:val="MerknadTR"/>
              <w:spacing w:line="160" w:lineRule="exact"/>
              <w:jc w:val="right"/>
              <w:rPr>
                <w:sz w:val="14"/>
                <w:szCs w:val="14"/>
              </w:rPr>
            </w:pPr>
            <w:r>
              <w:rPr>
                <w:sz w:val="14"/>
                <w:szCs w:val="14"/>
              </w:rPr>
              <w:t>6</w:t>
            </w:r>
            <w:r w:rsidR="00285B1F">
              <w:rPr>
                <w:sz w:val="14"/>
                <w:szCs w:val="14"/>
              </w:rPr>
              <w:t> </w:t>
            </w:r>
            <w:r>
              <w:rPr>
                <w:sz w:val="14"/>
                <w:szCs w:val="14"/>
              </w:rPr>
              <w:t>476</w:t>
            </w:r>
          </w:p>
        </w:tc>
        <w:tc>
          <w:tcPr>
            <w:tcW w:w="0" w:type="auto"/>
            <w:tcBorders>
              <w:top w:val="nil"/>
              <w:left w:val="nil"/>
              <w:bottom w:val="nil"/>
              <w:right w:val="nil"/>
            </w:tcBorders>
            <w:shd w:val="clear" w:color="auto" w:fill="F2F2F2" w:themeFill="background1" w:themeFillShade="F2"/>
          </w:tcPr>
          <w:p w14:paraId="2163A0C6" w14:textId="5BA440FD" w:rsidR="00F87EC1" w:rsidRDefault="007F6542" w:rsidP="00F87EC1">
            <w:pPr>
              <w:pStyle w:val="MerknadTR"/>
              <w:spacing w:line="160" w:lineRule="exact"/>
              <w:jc w:val="right"/>
              <w:rPr>
                <w:sz w:val="14"/>
                <w:szCs w:val="14"/>
              </w:rPr>
            </w:pPr>
            <w:r>
              <w:rPr>
                <w:sz w:val="14"/>
                <w:szCs w:val="14"/>
              </w:rPr>
              <w:t>6</w:t>
            </w:r>
            <w:r w:rsidR="00285B1F">
              <w:rPr>
                <w:sz w:val="14"/>
                <w:szCs w:val="14"/>
              </w:rPr>
              <w:t> 8</w:t>
            </w:r>
            <w:r>
              <w:rPr>
                <w:sz w:val="14"/>
                <w:szCs w:val="14"/>
              </w:rPr>
              <w:t>59</w:t>
            </w:r>
          </w:p>
        </w:tc>
        <w:tc>
          <w:tcPr>
            <w:tcW w:w="0" w:type="auto"/>
            <w:tcBorders>
              <w:top w:val="nil"/>
              <w:left w:val="nil"/>
              <w:bottom w:val="nil"/>
              <w:right w:val="nil"/>
            </w:tcBorders>
            <w:shd w:val="clear" w:color="auto" w:fill="F2F2F2" w:themeFill="background1" w:themeFillShade="F2"/>
          </w:tcPr>
          <w:p w14:paraId="3C45C1E7" w14:textId="46726758" w:rsidR="00F87EC1" w:rsidRDefault="00CD6485" w:rsidP="00F87EC1">
            <w:pPr>
              <w:pStyle w:val="MerknadTR"/>
              <w:spacing w:line="160" w:lineRule="exact"/>
              <w:jc w:val="right"/>
              <w:rPr>
                <w:sz w:val="14"/>
                <w:szCs w:val="14"/>
              </w:rPr>
            </w:pPr>
            <w:r>
              <w:rPr>
                <w:sz w:val="14"/>
                <w:szCs w:val="14"/>
              </w:rPr>
              <w:t>7</w:t>
            </w:r>
            <w:r w:rsidRPr="00F41A2F">
              <w:rPr>
                <w:sz w:val="14"/>
                <w:szCs w:val="14"/>
              </w:rPr>
              <w:t> </w:t>
            </w:r>
            <w:r>
              <w:rPr>
                <w:sz w:val="14"/>
                <w:szCs w:val="14"/>
              </w:rPr>
              <w:t>178</w:t>
            </w:r>
          </w:p>
        </w:tc>
      </w:tr>
      <w:tr w:rsidR="00F87EC1" w:rsidRPr="001213F3" w14:paraId="2F071FF5" w14:textId="4017F9A0" w:rsidTr="0041529F">
        <w:trPr>
          <w:trHeight w:hRule="exact" w:val="227"/>
        </w:trPr>
        <w:tc>
          <w:tcPr>
            <w:tcW w:w="0" w:type="auto"/>
            <w:tcBorders>
              <w:top w:val="nil"/>
              <w:left w:val="nil"/>
              <w:bottom w:val="nil"/>
              <w:right w:val="nil"/>
            </w:tcBorders>
            <w:shd w:val="clear" w:color="auto" w:fill="F2F2F2" w:themeFill="background1" w:themeFillShade="F2"/>
          </w:tcPr>
          <w:p w14:paraId="3F61BD11" w14:textId="77777777" w:rsidR="00F87EC1" w:rsidRPr="006024A7" w:rsidRDefault="00F87EC1" w:rsidP="00F87EC1">
            <w:pPr>
              <w:pStyle w:val="MerknadTR"/>
              <w:spacing w:line="160" w:lineRule="exact"/>
              <w:rPr>
                <w:sz w:val="14"/>
                <w:szCs w:val="14"/>
              </w:rPr>
            </w:pPr>
            <w:r w:rsidRPr="006024A7">
              <w:rPr>
                <w:sz w:val="14"/>
                <w:szCs w:val="14"/>
              </w:rPr>
              <w:t xml:space="preserve">Internasjonale </w:t>
            </w:r>
            <w:proofErr w:type="spellStart"/>
            <w:r w:rsidRPr="006024A7">
              <w:rPr>
                <w:sz w:val="14"/>
                <w:szCs w:val="14"/>
              </w:rPr>
              <w:t>fellesgrader</w:t>
            </w:r>
            <w:proofErr w:type="spellEnd"/>
          </w:p>
          <w:p w14:paraId="077A1DF6"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CCC5454" w14:textId="5512C85C" w:rsidR="00285B1F" w:rsidRDefault="00791E46" w:rsidP="00F87EC1">
            <w:pPr>
              <w:pStyle w:val="MerknadTR"/>
              <w:spacing w:line="160" w:lineRule="exact"/>
              <w:jc w:val="right"/>
              <w:rPr>
                <w:sz w:val="14"/>
                <w:szCs w:val="14"/>
              </w:rPr>
            </w:pPr>
            <w:r>
              <w:rPr>
                <w:sz w:val="14"/>
                <w:szCs w:val="14"/>
              </w:rPr>
              <w:t>40</w:t>
            </w:r>
          </w:p>
        </w:tc>
        <w:tc>
          <w:tcPr>
            <w:tcW w:w="0" w:type="auto"/>
            <w:tcBorders>
              <w:top w:val="nil"/>
              <w:left w:val="nil"/>
              <w:bottom w:val="nil"/>
              <w:right w:val="nil"/>
            </w:tcBorders>
            <w:shd w:val="clear" w:color="auto" w:fill="F2F2F2" w:themeFill="background1" w:themeFillShade="F2"/>
          </w:tcPr>
          <w:p w14:paraId="44AB1F27" w14:textId="5BDBCF9A" w:rsidR="00F87EC1" w:rsidRDefault="00F87EC1" w:rsidP="00F87EC1">
            <w:pPr>
              <w:pStyle w:val="MerknadTR"/>
              <w:spacing w:line="160" w:lineRule="exact"/>
              <w:jc w:val="right"/>
              <w:rPr>
                <w:sz w:val="14"/>
                <w:szCs w:val="14"/>
              </w:rPr>
            </w:pPr>
            <w:r>
              <w:rPr>
                <w:sz w:val="14"/>
                <w:szCs w:val="14"/>
              </w:rPr>
              <w:t>40</w:t>
            </w:r>
          </w:p>
        </w:tc>
        <w:tc>
          <w:tcPr>
            <w:tcW w:w="0" w:type="auto"/>
            <w:tcBorders>
              <w:top w:val="nil"/>
              <w:left w:val="nil"/>
              <w:bottom w:val="nil"/>
              <w:right w:val="nil"/>
            </w:tcBorders>
            <w:shd w:val="clear" w:color="auto" w:fill="F2F2F2" w:themeFill="background1" w:themeFillShade="F2"/>
          </w:tcPr>
          <w:p w14:paraId="72DC20F5" w14:textId="1AB83D8F" w:rsidR="00F87EC1" w:rsidRDefault="00F87EC1" w:rsidP="00F87EC1">
            <w:pPr>
              <w:pStyle w:val="MerknadTR"/>
              <w:spacing w:line="160" w:lineRule="exact"/>
              <w:jc w:val="right"/>
              <w:rPr>
                <w:sz w:val="14"/>
                <w:szCs w:val="14"/>
              </w:rPr>
            </w:pPr>
            <w:r>
              <w:rPr>
                <w:sz w:val="14"/>
                <w:szCs w:val="14"/>
              </w:rPr>
              <w:t>41</w:t>
            </w:r>
          </w:p>
        </w:tc>
        <w:tc>
          <w:tcPr>
            <w:tcW w:w="0" w:type="auto"/>
            <w:tcBorders>
              <w:top w:val="nil"/>
              <w:left w:val="nil"/>
              <w:bottom w:val="nil"/>
              <w:right w:val="nil"/>
            </w:tcBorders>
            <w:shd w:val="clear" w:color="auto" w:fill="F2F2F2" w:themeFill="background1" w:themeFillShade="F2"/>
          </w:tcPr>
          <w:p w14:paraId="72D0589F" w14:textId="76158B4D" w:rsidR="00F87EC1" w:rsidRDefault="007A2671" w:rsidP="00F87EC1">
            <w:pPr>
              <w:pStyle w:val="MerknadTR"/>
              <w:spacing w:line="160" w:lineRule="exact"/>
              <w:jc w:val="right"/>
              <w:rPr>
                <w:sz w:val="14"/>
                <w:szCs w:val="14"/>
              </w:rPr>
            </w:pPr>
            <w:r>
              <w:rPr>
                <w:sz w:val="14"/>
                <w:szCs w:val="14"/>
              </w:rPr>
              <w:t>51</w:t>
            </w:r>
          </w:p>
        </w:tc>
      </w:tr>
      <w:tr w:rsidR="00F87EC1" w:rsidRPr="001213F3" w14:paraId="5B1F8490" w14:textId="3624FAAD" w:rsidTr="0041529F">
        <w:trPr>
          <w:trHeight w:hRule="exact" w:val="227"/>
        </w:trPr>
        <w:tc>
          <w:tcPr>
            <w:tcW w:w="0" w:type="auto"/>
            <w:tcBorders>
              <w:top w:val="nil"/>
              <w:left w:val="nil"/>
              <w:bottom w:val="nil"/>
              <w:right w:val="nil"/>
            </w:tcBorders>
            <w:shd w:val="clear" w:color="auto" w:fill="F2F2F2" w:themeFill="background1" w:themeFillShade="F2"/>
          </w:tcPr>
          <w:p w14:paraId="632D691E" w14:textId="77777777" w:rsidR="00F87EC1" w:rsidRPr="006024A7" w:rsidRDefault="00F87EC1" w:rsidP="00F87EC1">
            <w:pPr>
              <w:pStyle w:val="MerknadTR"/>
              <w:spacing w:line="160" w:lineRule="exact"/>
              <w:rPr>
                <w:sz w:val="14"/>
                <w:szCs w:val="14"/>
              </w:rPr>
            </w:pPr>
            <w:r w:rsidRPr="006024A7">
              <w:rPr>
                <w:sz w:val="14"/>
                <w:szCs w:val="14"/>
              </w:rPr>
              <w:t>Norske gradsstudenter i utlandet</w:t>
            </w:r>
          </w:p>
          <w:p w14:paraId="5F140962"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21EBE8DD" w14:textId="5B53B6C3" w:rsidR="00285B1F" w:rsidRDefault="00791E46" w:rsidP="00F87EC1">
            <w:pPr>
              <w:pStyle w:val="MerknadTR"/>
              <w:spacing w:line="160" w:lineRule="exact"/>
              <w:jc w:val="right"/>
              <w:rPr>
                <w:sz w:val="14"/>
                <w:szCs w:val="14"/>
              </w:rPr>
            </w:pPr>
            <w:r>
              <w:rPr>
                <w:sz w:val="14"/>
                <w:szCs w:val="14"/>
              </w:rPr>
              <w:t>15</w:t>
            </w:r>
            <w:r w:rsidRPr="00F41A2F">
              <w:rPr>
                <w:sz w:val="14"/>
                <w:szCs w:val="14"/>
              </w:rPr>
              <w:t> </w:t>
            </w:r>
            <w:r>
              <w:rPr>
                <w:sz w:val="14"/>
                <w:szCs w:val="14"/>
              </w:rPr>
              <w:t>952</w:t>
            </w:r>
          </w:p>
        </w:tc>
        <w:tc>
          <w:tcPr>
            <w:tcW w:w="0" w:type="auto"/>
            <w:tcBorders>
              <w:top w:val="nil"/>
              <w:left w:val="nil"/>
              <w:bottom w:val="nil"/>
              <w:right w:val="nil"/>
            </w:tcBorders>
            <w:shd w:val="clear" w:color="auto" w:fill="F2F2F2" w:themeFill="background1" w:themeFillShade="F2"/>
          </w:tcPr>
          <w:p w14:paraId="38D81E69" w14:textId="291E5F08" w:rsidR="00F87EC1" w:rsidRDefault="00F87EC1" w:rsidP="00F87EC1">
            <w:pPr>
              <w:pStyle w:val="MerknadTR"/>
              <w:spacing w:line="160" w:lineRule="exact"/>
              <w:jc w:val="right"/>
              <w:rPr>
                <w:sz w:val="14"/>
                <w:szCs w:val="14"/>
              </w:rPr>
            </w:pPr>
            <w:r>
              <w:rPr>
                <w:sz w:val="14"/>
                <w:szCs w:val="14"/>
              </w:rPr>
              <w:t>15 366</w:t>
            </w:r>
          </w:p>
        </w:tc>
        <w:tc>
          <w:tcPr>
            <w:tcW w:w="0" w:type="auto"/>
            <w:tcBorders>
              <w:top w:val="nil"/>
              <w:left w:val="nil"/>
              <w:bottom w:val="nil"/>
              <w:right w:val="nil"/>
            </w:tcBorders>
            <w:shd w:val="clear" w:color="auto" w:fill="F2F2F2" w:themeFill="background1" w:themeFillShade="F2"/>
          </w:tcPr>
          <w:p w14:paraId="1EB8DD81" w14:textId="0D3085B5" w:rsidR="00F87EC1" w:rsidRDefault="00F87EC1" w:rsidP="00F87EC1">
            <w:pPr>
              <w:pStyle w:val="MerknadTR"/>
              <w:spacing w:line="160" w:lineRule="exact"/>
              <w:jc w:val="right"/>
              <w:rPr>
                <w:sz w:val="14"/>
                <w:szCs w:val="14"/>
              </w:rPr>
            </w:pPr>
            <w:r>
              <w:rPr>
                <w:sz w:val="14"/>
                <w:szCs w:val="14"/>
              </w:rPr>
              <w:t>14 318</w:t>
            </w:r>
          </w:p>
        </w:tc>
        <w:tc>
          <w:tcPr>
            <w:tcW w:w="0" w:type="auto"/>
            <w:tcBorders>
              <w:top w:val="nil"/>
              <w:left w:val="nil"/>
              <w:bottom w:val="nil"/>
              <w:right w:val="nil"/>
            </w:tcBorders>
            <w:shd w:val="clear" w:color="auto" w:fill="F2F2F2" w:themeFill="background1" w:themeFillShade="F2"/>
          </w:tcPr>
          <w:p w14:paraId="43B17F5C" w14:textId="1D18F8E0" w:rsidR="00F87EC1" w:rsidRDefault="00631D60" w:rsidP="00F87EC1">
            <w:pPr>
              <w:pStyle w:val="MerknadTR"/>
              <w:spacing w:line="160" w:lineRule="exact"/>
              <w:jc w:val="right"/>
              <w:rPr>
                <w:sz w:val="14"/>
                <w:szCs w:val="14"/>
              </w:rPr>
            </w:pPr>
            <w:r>
              <w:rPr>
                <w:sz w:val="14"/>
                <w:szCs w:val="14"/>
              </w:rPr>
              <w:t>14 053</w:t>
            </w:r>
          </w:p>
        </w:tc>
      </w:tr>
      <w:tr w:rsidR="00F87EC1" w:rsidRPr="001213F3" w14:paraId="0AD387D0" w14:textId="263CD281" w:rsidTr="0041529F">
        <w:trPr>
          <w:trHeight w:hRule="exact" w:val="227"/>
        </w:trPr>
        <w:tc>
          <w:tcPr>
            <w:tcW w:w="0" w:type="auto"/>
            <w:tcBorders>
              <w:top w:val="nil"/>
              <w:left w:val="nil"/>
              <w:bottom w:val="nil"/>
              <w:right w:val="nil"/>
            </w:tcBorders>
            <w:shd w:val="clear" w:color="auto" w:fill="F2F2F2" w:themeFill="background1" w:themeFillShade="F2"/>
          </w:tcPr>
          <w:p w14:paraId="700DF13B" w14:textId="77777777" w:rsidR="00F87EC1" w:rsidRPr="006024A7" w:rsidRDefault="00F87EC1" w:rsidP="00F87EC1">
            <w:pPr>
              <w:pStyle w:val="MerknadTR"/>
              <w:spacing w:line="160" w:lineRule="exact"/>
              <w:rPr>
                <w:sz w:val="14"/>
                <w:szCs w:val="14"/>
              </w:rPr>
            </w:pPr>
            <w:r w:rsidRPr="006024A7">
              <w:rPr>
                <w:sz w:val="14"/>
                <w:szCs w:val="14"/>
              </w:rPr>
              <w:t>Utreisende utvekslingsstudenter</w:t>
            </w:r>
          </w:p>
          <w:p w14:paraId="03CE1C6C"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1499D779" w14:textId="35B3DAA7" w:rsidR="00285B1F" w:rsidRDefault="00791E46" w:rsidP="00F87EC1">
            <w:pPr>
              <w:pStyle w:val="MerknadTR"/>
              <w:spacing w:line="160" w:lineRule="exact"/>
              <w:jc w:val="right"/>
              <w:rPr>
                <w:sz w:val="14"/>
                <w:szCs w:val="14"/>
              </w:rPr>
            </w:pPr>
            <w:r>
              <w:rPr>
                <w:sz w:val="14"/>
                <w:szCs w:val="14"/>
              </w:rPr>
              <w:t>7</w:t>
            </w:r>
            <w:r w:rsidRPr="00F41A2F">
              <w:rPr>
                <w:sz w:val="14"/>
                <w:szCs w:val="14"/>
              </w:rPr>
              <w:t> </w:t>
            </w:r>
            <w:r>
              <w:rPr>
                <w:sz w:val="14"/>
                <w:szCs w:val="14"/>
              </w:rPr>
              <w:t>422</w:t>
            </w:r>
          </w:p>
        </w:tc>
        <w:tc>
          <w:tcPr>
            <w:tcW w:w="0" w:type="auto"/>
            <w:tcBorders>
              <w:top w:val="nil"/>
              <w:left w:val="nil"/>
              <w:bottom w:val="nil"/>
              <w:right w:val="nil"/>
            </w:tcBorders>
            <w:shd w:val="clear" w:color="auto" w:fill="F2F2F2" w:themeFill="background1" w:themeFillShade="F2"/>
          </w:tcPr>
          <w:p w14:paraId="69CB0ABA" w14:textId="19863564" w:rsidR="00F87EC1" w:rsidRDefault="00F87EC1" w:rsidP="00F87EC1">
            <w:pPr>
              <w:pStyle w:val="MerknadTR"/>
              <w:spacing w:line="160" w:lineRule="exact"/>
              <w:jc w:val="right"/>
              <w:rPr>
                <w:sz w:val="14"/>
                <w:szCs w:val="14"/>
              </w:rPr>
            </w:pPr>
            <w:r>
              <w:rPr>
                <w:sz w:val="14"/>
                <w:szCs w:val="14"/>
              </w:rPr>
              <w:t>3 810</w:t>
            </w:r>
          </w:p>
        </w:tc>
        <w:tc>
          <w:tcPr>
            <w:tcW w:w="0" w:type="auto"/>
            <w:tcBorders>
              <w:top w:val="nil"/>
              <w:left w:val="nil"/>
              <w:bottom w:val="nil"/>
              <w:right w:val="nil"/>
            </w:tcBorders>
            <w:shd w:val="clear" w:color="auto" w:fill="F2F2F2" w:themeFill="background1" w:themeFillShade="F2"/>
          </w:tcPr>
          <w:p w14:paraId="1525159B" w14:textId="6B678C6E" w:rsidR="00F87EC1" w:rsidRDefault="00F87EC1" w:rsidP="00F87EC1">
            <w:pPr>
              <w:pStyle w:val="MerknadTR"/>
              <w:spacing w:line="160" w:lineRule="exact"/>
              <w:jc w:val="right"/>
              <w:rPr>
                <w:sz w:val="14"/>
                <w:szCs w:val="14"/>
              </w:rPr>
            </w:pPr>
            <w:r w:rsidRPr="007C3557">
              <w:rPr>
                <w:sz w:val="14"/>
                <w:szCs w:val="14"/>
              </w:rPr>
              <w:t>2</w:t>
            </w:r>
            <w:r>
              <w:rPr>
                <w:sz w:val="14"/>
                <w:szCs w:val="14"/>
              </w:rPr>
              <w:t> </w:t>
            </w:r>
            <w:r w:rsidR="00285B1F" w:rsidRPr="007C3557">
              <w:rPr>
                <w:sz w:val="14"/>
                <w:szCs w:val="14"/>
              </w:rPr>
              <w:t>7</w:t>
            </w:r>
            <w:r w:rsidR="006A2D99">
              <w:rPr>
                <w:sz w:val="14"/>
                <w:szCs w:val="14"/>
              </w:rPr>
              <w:t>64</w:t>
            </w:r>
          </w:p>
        </w:tc>
        <w:tc>
          <w:tcPr>
            <w:tcW w:w="0" w:type="auto"/>
            <w:tcBorders>
              <w:top w:val="nil"/>
              <w:left w:val="nil"/>
              <w:bottom w:val="nil"/>
              <w:right w:val="nil"/>
            </w:tcBorders>
            <w:shd w:val="clear" w:color="auto" w:fill="F2F2F2" w:themeFill="background1" w:themeFillShade="F2"/>
          </w:tcPr>
          <w:p w14:paraId="06646BAB" w14:textId="4DA04FA3" w:rsidR="00F87EC1" w:rsidRPr="007C3557" w:rsidRDefault="00DF29E0" w:rsidP="00F87EC1">
            <w:pPr>
              <w:pStyle w:val="MerknadTR"/>
              <w:spacing w:line="160" w:lineRule="exact"/>
              <w:jc w:val="right"/>
              <w:rPr>
                <w:sz w:val="14"/>
                <w:szCs w:val="14"/>
              </w:rPr>
            </w:pPr>
            <w:r>
              <w:rPr>
                <w:sz w:val="14"/>
                <w:szCs w:val="14"/>
              </w:rPr>
              <w:t>7 </w:t>
            </w:r>
            <w:r w:rsidR="00285B1F">
              <w:rPr>
                <w:sz w:val="14"/>
                <w:szCs w:val="14"/>
              </w:rPr>
              <w:t>06</w:t>
            </w:r>
            <w:r w:rsidR="002168D1">
              <w:rPr>
                <w:sz w:val="14"/>
                <w:szCs w:val="14"/>
              </w:rPr>
              <w:t>8</w:t>
            </w:r>
          </w:p>
        </w:tc>
      </w:tr>
      <w:tr w:rsidR="00F87EC1" w:rsidRPr="001213F3" w14:paraId="000C79FA" w14:textId="22EDB3D6" w:rsidTr="0041529F">
        <w:trPr>
          <w:trHeight w:hRule="exact" w:val="227"/>
        </w:trPr>
        <w:tc>
          <w:tcPr>
            <w:tcW w:w="0" w:type="auto"/>
            <w:tcBorders>
              <w:top w:val="nil"/>
              <w:left w:val="nil"/>
              <w:bottom w:val="nil"/>
              <w:right w:val="nil"/>
            </w:tcBorders>
            <w:shd w:val="clear" w:color="auto" w:fill="F2F2F2" w:themeFill="background1" w:themeFillShade="F2"/>
          </w:tcPr>
          <w:p w14:paraId="79B00A50" w14:textId="77777777" w:rsidR="00F87EC1" w:rsidRPr="006024A7" w:rsidRDefault="00F87EC1" w:rsidP="00F87EC1">
            <w:pPr>
              <w:pStyle w:val="MerknadTR"/>
              <w:spacing w:line="160" w:lineRule="exact"/>
              <w:rPr>
                <w:sz w:val="14"/>
                <w:szCs w:val="14"/>
              </w:rPr>
            </w:pPr>
            <w:r w:rsidRPr="006024A7">
              <w:rPr>
                <w:sz w:val="14"/>
                <w:szCs w:val="14"/>
              </w:rPr>
              <w:t>Innreisende utvekslingsstudenter</w:t>
            </w:r>
          </w:p>
          <w:p w14:paraId="2F92CF2D"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059F1BFE" w14:textId="697EB132" w:rsidR="00285B1F" w:rsidRDefault="00B52A4D" w:rsidP="00F87EC1">
            <w:pPr>
              <w:pStyle w:val="MerknadTR"/>
              <w:spacing w:line="160" w:lineRule="exact"/>
              <w:jc w:val="right"/>
              <w:rPr>
                <w:sz w:val="14"/>
                <w:szCs w:val="14"/>
              </w:rPr>
            </w:pPr>
            <w:r>
              <w:rPr>
                <w:sz w:val="14"/>
                <w:szCs w:val="14"/>
              </w:rPr>
              <w:t>8</w:t>
            </w:r>
            <w:r w:rsidRPr="00F41A2F">
              <w:rPr>
                <w:sz w:val="14"/>
                <w:szCs w:val="14"/>
              </w:rPr>
              <w:t> </w:t>
            </w:r>
            <w:r>
              <w:rPr>
                <w:sz w:val="14"/>
                <w:szCs w:val="14"/>
              </w:rPr>
              <w:t>767</w:t>
            </w:r>
          </w:p>
        </w:tc>
        <w:tc>
          <w:tcPr>
            <w:tcW w:w="0" w:type="auto"/>
            <w:tcBorders>
              <w:top w:val="nil"/>
              <w:left w:val="nil"/>
              <w:bottom w:val="nil"/>
              <w:right w:val="nil"/>
            </w:tcBorders>
            <w:shd w:val="clear" w:color="auto" w:fill="F2F2F2" w:themeFill="background1" w:themeFillShade="F2"/>
          </w:tcPr>
          <w:p w14:paraId="241A3213" w14:textId="3CE84729" w:rsidR="00F87EC1" w:rsidRDefault="00F87EC1" w:rsidP="00F87EC1">
            <w:pPr>
              <w:pStyle w:val="MerknadTR"/>
              <w:spacing w:line="160" w:lineRule="exact"/>
              <w:jc w:val="right"/>
              <w:rPr>
                <w:sz w:val="14"/>
                <w:szCs w:val="14"/>
              </w:rPr>
            </w:pPr>
            <w:r>
              <w:rPr>
                <w:sz w:val="14"/>
                <w:szCs w:val="14"/>
              </w:rPr>
              <w:t>4 602</w:t>
            </w:r>
          </w:p>
        </w:tc>
        <w:tc>
          <w:tcPr>
            <w:tcW w:w="0" w:type="auto"/>
            <w:tcBorders>
              <w:top w:val="nil"/>
              <w:left w:val="nil"/>
              <w:bottom w:val="nil"/>
              <w:right w:val="nil"/>
            </w:tcBorders>
            <w:shd w:val="clear" w:color="auto" w:fill="F2F2F2" w:themeFill="background1" w:themeFillShade="F2"/>
          </w:tcPr>
          <w:p w14:paraId="2E22BBD4" w14:textId="35FEC730" w:rsidR="00F87EC1" w:rsidRDefault="00F87EC1" w:rsidP="00F87EC1">
            <w:pPr>
              <w:pStyle w:val="MerknadTR"/>
              <w:spacing w:line="160" w:lineRule="exact"/>
              <w:jc w:val="right"/>
              <w:rPr>
                <w:sz w:val="14"/>
                <w:szCs w:val="14"/>
              </w:rPr>
            </w:pPr>
            <w:r>
              <w:rPr>
                <w:sz w:val="14"/>
                <w:szCs w:val="14"/>
              </w:rPr>
              <w:t>7 016</w:t>
            </w:r>
          </w:p>
        </w:tc>
        <w:tc>
          <w:tcPr>
            <w:tcW w:w="0" w:type="auto"/>
            <w:tcBorders>
              <w:top w:val="nil"/>
              <w:left w:val="nil"/>
              <w:bottom w:val="nil"/>
              <w:right w:val="nil"/>
            </w:tcBorders>
            <w:shd w:val="clear" w:color="auto" w:fill="F2F2F2" w:themeFill="background1" w:themeFillShade="F2"/>
          </w:tcPr>
          <w:p w14:paraId="1418E373" w14:textId="44537FC3" w:rsidR="00F87EC1" w:rsidRDefault="000A321F" w:rsidP="00F87EC1">
            <w:pPr>
              <w:pStyle w:val="MerknadTR"/>
              <w:spacing w:line="160" w:lineRule="exact"/>
              <w:jc w:val="right"/>
              <w:rPr>
                <w:sz w:val="14"/>
                <w:szCs w:val="14"/>
              </w:rPr>
            </w:pPr>
            <w:r>
              <w:rPr>
                <w:sz w:val="14"/>
                <w:szCs w:val="14"/>
              </w:rPr>
              <w:t>10 211</w:t>
            </w:r>
          </w:p>
        </w:tc>
      </w:tr>
      <w:tr w:rsidR="00F87EC1" w:rsidRPr="001213F3" w14:paraId="4A60C303" w14:textId="0AC6178E" w:rsidTr="0041529F">
        <w:trPr>
          <w:trHeight w:hRule="exact" w:val="227"/>
        </w:trPr>
        <w:tc>
          <w:tcPr>
            <w:tcW w:w="0" w:type="auto"/>
            <w:tcBorders>
              <w:top w:val="nil"/>
              <w:left w:val="nil"/>
              <w:bottom w:val="nil"/>
              <w:right w:val="nil"/>
            </w:tcBorders>
            <w:shd w:val="clear" w:color="auto" w:fill="F2F2F2" w:themeFill="background1" w:themeFillShade="F2"/>
          </w:tcPr>
          <w:p w14:paraId="7D2629C5" w14:textId="19F94C33" w:rsidR="00F87EC1" w:rsidRPr="006024A7" w:rsidRDefault="00F87EC1" w:rsidP="00F87EC1">
            <w:pPr>
              <w:pStyle w:val="MerknadTR"/>
              <w:spacing w:line="160" w:lineRule="exact"/>
              <w:rPr>
                <w:sz w:val="14"/>
                <w:szCs w:val="14"/>
              </w:rPr>
            </w:pPr>
            <w:r w:rsidRPr="006024A7">
              <w:rPr>
                <w:sz w:val="14"/>
                <w:szCs w:val="14"/>
              </w:rPr>
              <w:t>Utenlandske statsborgere blant doktorander</w:t>
            </w:r>
            <w:r>
              <w:rPr>
                <w:sz w:val="14"/>
                <w:szCs w:val="14"/>
              </w:rPr>
              <w:t xml:space="preserve"> (%)</w:t>
            </w:r>
          </w:p>
          <w:p w14:paraId="2224C785"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2D6F9625" w14:textId="67839109" w:rsidR="00285B1F" w:rsidRDefault="00B52A4D" w:rsidP="00F87EC1">
            <w:pPr>
              <w:pStyle w:val="MerknadTR"/>
              <w:spacing w:line="160" w:lineRule="exact"/>
              <w:jc w:val="right"/>
              <w:rPr>
                <w:sz w:val="14"/>
                <w:szCs w:val="14"/>
              </w:rPr>
            </w:pPr>
            <w:r>
              <w:rPr>
                <w:sz w:val="14"/>
                <w:szCs w:val="14"/>
              </w:rPr>
              <w:t>40</w:t>
            </w:r>
          </w:p>
        </w:tc>
        <w:tc>
          <w:tcPr>
            <w:tcW w:w="0" w:type="auto"/>
            <w:tcBorders>
              <w:top w:val="nil"/>
              <w:left w:val="nil"/>
              <w:bottom w:val="nil"/>
              <w:right w:val="nil"/>
            </w:tcBorders>
            <w:shd w:val="clear" w:color="auto" w:fill="F2F2F2" w:themeFill="background1" w:themeFillShade="F2"/>
          </w:tcPr>
          <w:p w14:paraId="4BB1EF17" w14:textId="0A2C475F" w:rsidR="00F87EC1" w:rsidRDefault="00F87EC1" w:rsidP="00F87EC1">
            <w:pPr>
              <w:pStyle w:val="MerknadTR"/>
              <w:spacing w:line="160" w:lineRule="exact"/>
              <w:jc w:val="right"/>
              <w:rPr>
                <w:sz w:val="14"/>
                <w:szCs w:val="14"/>
              </w:rPr>
            </w:pPr>
            <w:r>
              <w:rPr>
                <w:sz w:val="14"/>
                <w:szCs w:val="14"/>
              </w:rPr>
              <w:t>40</w:t>
            </w:r>
          </w:p>
        </w:tc>
        <w:tc>
          <w:tcPr>
            <w:tcW w:w="0" w:type="auto"/>
            <w:tcBorders>
              <w:top w:val="nil"/>
              <w:left w:val="nil"/>
              <w:bottom w:val="nil"/>
              <w:right w:val="nil"/>
            </w:tcBorders>
            <w:shd w:val="clear" w:color="auto" w:fill="F2F2F2" w:themeFill="background1" w:themeFillShade="F2"/>
          </w:tcPr>
          <w:p w14:paraId="7806FE53" w14:textId="5FBAAD33" w:rsidR="00F87EC1" w:rsidRDefault="00F87EC1" w:rsidP="00F87EC1">
            <w:pPr>
              <w:pStyle w:val="MerknadTR"/>
              <w:spacing w:line="160" w:lineRule="exact"/>
              <w:jc w:val="right"/>
              <w:rPr>
                <w:sz w:val="14"/>
                <w:szCs w:val="14"/>
              </w:rPr>
            </w:pPr>
            <w:r>
              <w:rPr>
                <w:sz w:val="14"/>
                <w:szCs w:val="14"/>
              </w:rPr>
              <w:t>44</w:t>
            </w:r>
          </w:p>
        </w:tc>
        <w:tc>
          <w:tcPr>
            <w:tcW w:w="0" w:type="auto"/>
            <w:tcBorders>
              <w:top w:val="nil"/>
              <w:left w:val="nil"/>
              <w:bottom w:val="nil"/>
              <w:right w:val="nil"/>
            </w:tcBorders>
            <w:shd w:val="clear" w:color="auto" w:fill="F2F2F2" w:themeFill="background1" w:themeFillShade="F2"/>
          </w:tcPr>
          <w:p w14:paraId="6C825CF4" w14:textId="380209C3" w:rsidR="00F87EC1" w:rsidRDefault="00D905CC" w:rsidP="00F87EC1">
            <w:pPr>
              <w:pStyle w:val="MerknadTR"/>
              <w:spacing w:line="160" w:lineRule="exact"/>
              <w:jc w:val="right"/>
              <w:rPr>
                <w:sz w:val="14"/>
                <w:szCs w:val="14"/>
              </w:rPr>
            </w:pPr>
            <w:r>
              <w:rPr>
                <w:sz w:val="14"/>
                <w:szCs w:val="14"/>
              </w:rPr>
              <w:t>40</w:t>
            </w:r>
          </w:p>
        </w:tc>
      </w:tr>
      <w:tr w:rsidR="00F87EC1" w:rsidRPr="001213F3" w14:paraId="4E580FEF" w14:textId="2697FC4F" w:rsidTr="0041529F">
        <w:trPr>
          <w:trHeight w:hRule="exact" w:val="227"/>
        </w:trPr>
        <w:tc>
          <w:tcPr>
            <w:tcW w:w="0" w:type="auto"/>
            <w:tcBorders>
              <w:top w:val="nil"/>
              <w:left w:val="nil"/>
              <w:bottom w:val="nil"/>
              <w:right w:val="nil"/>
            </w:tcBorders>
            <w:shd w:val="clear" w:color="auto" w:fill="F2F2F2" w:themeFill="background1" w:themeFillShade="F2"/>
          </w:tcPr>
          <w:p w14:paraId="34B67689"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2D0C623D"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2DC4CD4"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6EE41EE" w14:textId="16CD08EE"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FB73B7E" w14:textId="77777777" w:rsidR="00F87EC1" w:rsidRDefault="00F87EC1" w:rsidP="00F87EC1">
            <w:pPr>
              <w:pStyle w:val="MerknadTR"/>
              <w:spacing w:line="160" w:lineRule="exact"/>
              <w:jc w:val="right"/>
              <w:rPr>
                <w:sz w:val="14"/>
                <w:szCs w:val="14"/>
              </w:rPr>
            </w:pPr>
          </w:p>
        </w:tc>
      </w:tr>
      <w:tr w:rsidR="00F87EC1" w:rsidRPr="001213F3" w14:paraId="0B552B4F" w14:textId="1B9ED776" w:rsidTr="0041529F">
        <w:trPr>
          <w:trHeight w:hRule="exact" w:val="227"/>
        </w:trPr>
        <w:tc>
          <w:tcPr>
            <w:tcW w:w="0" w:type="auto"/>
            <w:tcBorders>
              <w:top w:val="nil"/>
              <w:left w:val="nil"/>
              <w:bottom w:val="nil"/>
              <w:right w:val="nil"/>
            </w:tcBorders>
            <w:shd w:val="clear" w:color="auto" w:fill="F2F2F2" w:themeFill="background1" w:themeFillShade="F2"/>
          </w:tcPr>
          <w:p w14:paraId="5D6B37B6" w14:textId="53E396D6" w:rsidR="00F87EC1" w:rsidRPr="006024A7" w:rsidRDefault="00F87EC1" w:rsidP="00F87EC1">
            <w:pPr>
              <w:pStyle w:val="MerknadTR"/>
              <w:spacing w:line="160" w:lineRule="exact"/>
              <w:rPr>
                <w:b/>
                <w:sz w:val="14"/>
                <w:szCs w:val="14"/>
              </w:rPr>
            </w:pPr>
            <w:r w:rsidRPr="006024A7">
              <w:rPr>
                <w:b/>
                <w:sz w:val="14"/>
                <w:szCs w:val="14"/>
              </w:rPr>
              <w:t>Antall ansatte</w:t>
            </w:r>
            <w:r>
              <w:rPr>
                <w:b/>
                <w:sz w:val="14"/>
                <w:szCs w:val="14"/>
              </w:rPr>
              <w:t>, statlige og private institusjoner</w:t>
            </w:r>
            <w:r w:rsidRPr="006024A7">
              <w:rPr>
                <w:b/>
                <w:sz w:val="14"/>
                <w:szCs w:val="14"/>
              </w:rPr>
              <w:t xml:space="preserve"> (årsverk)</w:t>
            </w:r>
          </w:p>
          <w:p w14:paraId="14083945"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64D3E427"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E1A5D94"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A89D4F9" w14:textId="1F5AEBF2"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7BC7A32" w14:textId="77777777" w:rsidR="00F87EC1" w:rsidRDefault="00F87EC1" w:rsidP="00F87EC1">
            <w:pPr>
              <w:pStyle w:val="MerknadTR"/>
              <w:spacing w:line="160" w:lineRule="exact"/>
              <w:jc w:val="right"/>
              <w:rPr>
                <w:sz w:val="14"/>
                <w:szCs w:val="14"/>
              </w:rPr>
            </w:pPr>
          </w:p>
        </w:tc>
      </w:tr>
      <w:tr w:rsidR="00F87EC1" w:rsidRPr="001213F3" w14:paraId="118C4684" w14:textId="13CB45CE" w:rsidTr="0041529F">
        <w:trPr>
          <w:trHeight w:hRule="exact" w:val="227"/>
        </w:trPr>
        <w:tc>
          <w:tcPr>
            <w:tcW w:w="0" w:type="auto"/>
            <w:tcBorders>
              <w:top w:val="nil"/>
              <w:left w:val="nil"/>
              <w:bottom w:val="nil"/>
              <w:right w:val="nil"/>
            </w:tcBorders>
            <w:shd w:val="clear" w:color="auto" w:fill="F2F2F2" w:themeFill="background1" w:themeFillShade="F2"/>
          </w:tcPr>
          <w:p w14:paraId="4D79DFD6" w14:textId="77777777" w:rsidR="00F87EC1" w:rsidRPr="006024A7" w:rsidRDefault="00F87EC1" w:rsidP="00F87EC1">
            <w:pPr>
              <w:pStyle w:val="MerknadTR"/>
              <w:spacing w:line="160" w:lineRule="exact"/>
              <w:rPr>
                <w:sz w:val="14"/>
                <w:szCs w:val="14"/>
              </w:rPr>
            </w:pPr>
            <w:r w:rsidRPr="006024A7">
              <w:rPr>
                <w:sz w:val="14"/>
                <w:szCs w:val="14"/>
              </w:rPr>
              <w:t>Totalt antall ansatte</w:t>
            </w:r>
          </w:p>
          <w:p w14:paraId="412C1D5A"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1945957A" w14:textId="0C953098" w:rsidR="00285B1F" w:rsidRDefault="001208DB" w:rsidP="00F87EC1">
            <w:pPr>
              <w:pStyle w:val="MerknadTR"/>
              <w:spacing w:line="160" w:lineRule="exact"/>
              <w:jc w:val="right"/>
              <w:rPr>
                <w:sz w:val="14"/>
                <w:szCs w:val="14"/>
              </w:rPr>
            </w:pPr>
            <w:r>
              <w:rPr>
                <w:sz w:val="14"/>
                <w:szCs w:val="14"/>
              </w:rPr>
              <w:t>39</w:t>
            </w:r>
            <w:r w:rsidRPr="00F41A2F">
              <w:rPr>
                <w:sz w:val="14"/>
                <w:szCs w:val="14"/>
              </w:rPr>
              <w:t> </w:t>
            </w:r>
            <w:r>
              <w:rPr>
                <w:sz w:val="14"/>
                <w:szCs w:val="14"/>
              </w:rPr>
              <w:t>519</w:t>
            </w:r>
          </w:p>
        </w:tc>
        <w:tc>
          <w:tcPr>
            <w:tcW w:w="0" w:type="auto"/>
            <w:tcBorders>
              <w:top w:val="nil"/>
              <w:left w:val="nil"/>
              <w:bottom w:val="nil"/>
              <w:right w:val="nil"/>
            </w:tcBorders>
            <w:shd w:val="clear" w:color="auto" w:fill="F2F2F2" w:themeFill="background1" w:themeFillShade="F2"/>
          </w:tcPr>
          <w:p w14:paraId="63F4A98B" w14:textId="1ED68B9D" w:rsidR="00F87EC1" w:rsidRDefault="00F87EC1" w:rsidP="00F87EC1">
            <w:pPr>
              <w:pStyle w:val="MerknadTR"/>
              <w:spacing w:line="160" w:lineRule="exact"/>
              <w:jc w:val="right"/>
              <w:rPr>
                <w:sz w:val="14"/>
                <w:szCs w:val="14"/>
              </w:rPr>
            </w:pPr>
            <w:r>
              <w:rPr>
                <w:sz w:val="14"/>
                <w:szCs w:val="14"/>
              </w:rPr>
              <w:t>40 428</w:t>
            </w:r>
          </w:p>
        </w:tc>
        <w:tc>
          <w:tcPr>
            <w:tcW w:w="0" w:type="auto"/>
            <w:tcBorders>
              <w:top w:val="nil"/>
              <w:left w:val="nil"/>
              <w:bottom w:val="nil"/>
              <w:right w:val="nil"/>
            </w:tcBorders>
            <w:shd w:val="clear" w:color="auto" w:fill="F2F2F2" w:themeFill="background1" w:themeFillShade="F2"/>
          </w:tcPr>
          <w:p w14:paraId="546ED5A5" w14:textId="0CA50AA4" w:rsidR="00F87EC1" w:rsidRDefault="00F87EC1" w:rsidP="00F87EC1">
            <w:pPr>
              <w:pStyle w:val="MerknadTR"/>
              <w:spacing w:line="160" w:lineRule="exact"/>
              <w:jc w:val="right"/>
              <w:rPr>
                <w:sz w:val="14"/>
                <w:szCs w:val="14"/>
              </w:rPr>
            </w:pPr>
            <w:r>
              <w:rPr>
                <w:sz w:val="14"/>
                <w:szCs w:val="14"/>
              </w:rPr>
              <w:t>42 070</w:t>
            </w:r>
          </w:p>
        </w:tc>
        <w:tc>
          <w:tcPr>
            <w:tcW w:w="0" w:type="auto"/>
            <w:tcBorders>
              <w:top w:val="nil"/>
              <w:left w:val="nil"/>
              <w:bottom w:val="nil"/>
              <w:right w:val="nil"/>
            </w:tcBorders>
            <w:shd w:val="clear" w:color="auto" w:fill="F2F2F2" w:themeFill="background1" w:themeFillShade="F2"/>
          </w:tcPr>
          <w:p w14:paraId="7841B60A" w14:textId="3E20618B" w:rsidR="00F87EC1" w:rsidRDefault="005C20F8" w:rsidP="00F87EC1">
            <w:pPr>
              <w:pStyle w:val="MerknadTR"/>
              <w:spacing w:line="160" w:lineRule="exact"/>
              <w:jc w:val="right"/>
              <w:rPr>
                <w:sz w:val="14"/>
                <w:szCs w:val="14"/>
              </w:rPr>
            </w:pPr>
            <w:r>
              <w:rPr>
                <w:sz w:val="14"/>
                <w:szCs w:val="14"/>
              </w:rPr>
              <w:t>43 089</w:t>
            </w:r>
          </w:p>
        </w:tc>
      </w:tr>
      <w:tr w:rsidR="00F87EC1" w:rsidRPr="001213F3" w14:paraId="04B23183" w14:textId="0A823EDC" w:rsidTr="0041529F">
        <w:trPr>
          <w:trHeight w:hRule="exact" w:val="227"/>
        </w:trPr>
        <w:tc>
          <w:tcPr>
            <w:tcW w:w="0" w:type="auto"/>
            <w:tcBorders>
              <w:top w:val="nil"/>
              <w:left w:val="nil"/>
              <w:bottom w:val="nil"/>
              <w:right w:val="nil"/>
            </w:tcBorders>
            <w:shd w:val="clear" w:color="auto" w:fill="F2F2F2" w:themeFill="background1" w:themeFillShade="F2"/>
          </w:tcPr>
          <w:p w14:paraId="4322200B" w14:textId="6292EF0F" w:rsidR="00F87EC1" w:rsidRPr="006024A7" w:rsidRDefault="00F87EC1" w:rsidP="00F87EC1">
            <w:pPr>
              <w:pStyle w:val="MerknadTR"/>
              <w:spacing w:line="160" w:lineRule="exact"/>
              <w:rPr>
                <w:sz w:val="14"/>
                <w:szCs w:val="14"/>
              </w:rPr>
            </w:pPr>
            <w:r w:rsidRPr="006024A7">
              <w:rPr>
                <w:sz w:val="14"/>
                <w:szCs w:val="14"/>
              </w:rPr>
              <w:t xml:space="preserve">Faglig ansatte (ekskl. </w:t>
            </w:r>
            <w:r>
              <w:rPr>
                <w:sz w:val="14"/>
                <w:szCs w:val="14"/>
              </w:rPr>
              <w:t>utdanningsstillinger</w:t>
            </w:r>
            <w:r w:rsidRPr="006024A7">
              <w:rPr>
                <w:sz w:val="14"/>
                <w:szCs w:val="14"/>
              </w:rPr>
              <w:t>)</w:t>
            </w:r>
          </w:p>
          <w:p w14:paraId="2E2D0017"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2837CE7B" w14:textId="39865B91" w:rsidR="00285B1F" w:rsidRDefault="00F4407E" w:rsidP="00F87EC1">
            <w:pPr>
              <w:pStyle w:val="MerknadTR"/>
              <w:spacing w:line="160" w:lineRule="exact"/>
              <w:jc w:val="right"/>
              <w:rPr>
                <w:sz w:val="14"/>
                <w:szCs w:val="14"/>
              </w:rPr>
            </w:pPr>
            <w:r>
              <w:rPr>
                <w:sz w:val="14"/>
                <w:szCs w:val="14"/>
              </w:rPr>
              <w:t>18</w:t>
            </w:r>
            <w:r w:rsidRPr="00F41A2F">
              <w:rPr>
                <w:sz w:val="14"/>
                <w:szCs w:val="14"/>
              </w:rPr>
              <w:t> </w:t>
            </w:r>
            <w:r>
              <w:rPr>
                <w:sz w:val="14"/>
                <w:szCs w:val="14"/>
              </w:rPr>
              <w:t>644</w:t>
            </w:r>
          </w:p>
        </w:tc>
        <w:tc>
          <w:tcPr>
            <w:tcW w:w="0" w:type="auto"/>
            <w:tcBorders>
              <w:top w:val="nil"/>
              <w:left w:val="nil"/>
              <w:bottom w:val="nil"/>
              <w:right w:val="nil"/>
            </w:tcBorders>
            <w:shd w:val="clear" w:color="auto" w:fill="F2F2F2" w:themeFill="background1" w:themeFillShade="F2"/>
          </w:tcPr>
          <w:p w14:paraId="1B586F7D" w14:textId="2781EBAD" w:rsidR="00F87EC1" w:rsidRDefault="00F87EC1" w:rsidP="00F87EC1">
            <w:pPr>
              <w:pStyle w:val="MerknadTR"/>
              <w:spacing w:line="160" w:lineRule="exact"/>
              <w:jc w:val="right"/>
              <w:rPr>
                <w:sz w:val="14"/>
                <w:szCs w:val="14"/>
              </w:rPr>
            </w:pPr>
            <w:r>
              <w:rPr>
                <w:sz w:val="14"/>
                <w:szCs w:val="14"/>
              </w:rPr>
              <w:t>18 970</w:t>
            </w:r>
          </w:p>
        </w:tc>
        <w:tc>
          <w:tcPr>
            <w:tcW w:w="0" w:type="auto"/>
            <w:tcBorders>
              <w:top w:val="nil"/>
              <w:left w:val="nil"/>
              <w:bottom w:val="nil"/>
              <w:right w:val="nil"/>
            </w:tcBorders>
            <w:shd w:val="clear" w:color="auto" w:fill="F2F2F2" w:themeFill="background1" w:themeFillShade="F2"/>
          </w:tcPr>
          <w:p w14:paraId="0F69392B" w14:textId="3B87F65B" w:rsidR="00F87EC1" w:rsidRDefault="00F87EC1" w:rsidP="00F87EC1">
            <w:pPr>
              <w:pStyle w:val="MerknadTR"/>
              <w:spacing w:line="160" w:lineRule="exact"/>
              <w:jc w:val="right"/>
              <w:rPr>
                <w:sz w:val="14"/>
                <w:szCs w:val="14"/>
              </w:rPr>
            </w:pPr>
            <w:r>
              <w:rPr>
                <w:sz w:val="14"/>
                <w:szCs w:val="14"/>
              </w:rPr>
              <w:t>19 708</w:t>
            </w:r>
          </w:p>
        </w:tc>
        <w:tc>
          <w:tcPr>
            <w:tcW w:w="0" w:type="auto"/>
            <w:tcBorders>
              <w:top w:val="nil"/>
              <w:left w:val="nil"/>
              <w:bottom w:val="nil"/>
              <w:right w:val="nil"/>
            </w:tcBorders>
            <w:shd w:val="clear" w:color="auto" w:fill="F2F2F2" w:themeFill="background1" w:themeFillShade="F2"/>
          </w:tcPr>
          <w:p w14:paraId="41B22542" w14:textId="4D726DB2" w:rsidR="00F87EC1" w:rsidRDefault="00013CF2" w:rsidP="00F87EC1">
            <w:pPr>
              <w:pStyle w:val="MerknadTR"/>
              <w:spacing w:line="160" w:lineRule="exact"/>
              <w:jc w:val="right"/>
              <w:rPr>
                <w:sz w:val="14"/>
                <w:szCs w:val="14"/>
              </w:rPr>
            </w:pPr>
            <w:r>
              <w:rPr>
                <w:sz w:val="14"/>
                <w:szCs w:val="14"/>
              </w:rPr>
              <w:t>20</w:t>
            </w:r>
            <w:r w:rsidRPr="00F41A2F">
              <w:rPr>
                <w:sz w:val="14"/>
                <w:szCs w:val="14"/>
              </w:rPr>
              <w:t> </w:t>
            </w:r>
            <w:r>
              <w:rPr>
                <w:sz w:val="14"/>
                <w:szCs w:val="14"/>
              </w:rPr>
              <w:t>297</w:t>
            </w:r>
          </w:p>
        </w:tc>
      </w:tr>
      <w:tr w:rsidR="00F87EC1" w:rsidRPr="001213F3" w14:paraId="0AA703A6" w14:textId="3E0721BF" w:rsidTr="0041529F">
        <w:trPr>
          <w:trHeight w:hRule="exact" w:val="227"/>
        </w:trPr>
        <w:tc>
          <w:tcPr>
            <w:tcW w:w="0" w:type="auto"/>
            <w:tcBorders>
              <w:top w:val="nil"/>
              <w:left w:val="nil"/>
              <w:bottom w:val="nil"/>
              <w:right w:val="nil"/>
            </w:tcBorders>
            <w:shd w:val="clear" w:color="auto" w:fill="F2F2F2" w:themeFill="background1" w:themeFillShade="F2"/>
          </w:tcPr>
          <w:p w14:paraId="44439F3E" w14:textId="7536D7E3" w:rsidR="00F87EC1" w:rsidRPr="006024A7" w:rsidRDefault="00F87EC1" w:rsidP="00F87EC1">
            <w:pPr>
              <w:pStyle w:val="MerknadTR"/>
              <w:spacing w:line="160" w:lineRule="exact"/>
              <w:rPr>
                <w:sz w:val="14"/>
                <w:szCs w:val="14"/>
              </w:rPr>
            </w:pPr>
            <w:r>
              <w:rPr>
                <w:sz w:val="14"/>
                <w:szCs w:val="14"/>
              </w:rPr>
              <w:t>Utdannings</w:t>
            </w:r>
            <w:r w:rsidRPr="006024A7">
              <w:rPr>
                <w:sz w:val="14"/>
                <w:szCs w:val="14"/>
              </w:rPr>
              <w:t>stillinger</w:t>
            </w:r>
            <w:r>
              <w:rPr>
                <w:sz w:val="14"/>
                <w:szCs w:val="14"/>
              </w:rPr>
              <w:t xml:space="preserve"> (stipendiat, vit.ass., </w:t>
            </w:r>
            <w:proofErr w:type="spellStart"/>
            <w:r>
              <w:rPr>
                <w:sz w:val="14"/>
                <w:szCs w:val="14"/>
              </w:rPr>
              <w:t>spes.</w:t>
            </w:r>
            <w:proofErr w:type="spellEnd"/>
            <w:r>
              <w:rPr>
                <w:sz w:val="14"/>
                <w:szCs w:val="14"/>
              </w:rPr>
              <w:t xml:space="preserve"> kandidat)</w:t>
            </w:r>
          </w:p>
          <w:p w14:paraId="397AE7BC"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50AE9B6" w14:textId="71582BE1" w:rsidR="00285B1F" w:rsidRDefault="001D4D66" w:rsidP="00F87EC1">
            <w:pPr>
              <w:pStyle w:val="MerknadTR"/>
              <w:spacing w:line="160" w:lineRule="exact"/>
              <w:jc w:val="right"/>
              <w:rPr>
                <w:sz w:val="14"/>
                <w:szCs w:val="14"/>
              </w:rPr>
            </w:pPr>
            <w:r>
              <w:rPr>
                <w:sz w:val="14"/>
                <w:szCs w:val="14"/>
              </w:rPr>
              <w:t>6</w:t>
            </w:r>
            <w:r w:rsidRPr="00F41A2F">
              <w:rPr>
                <w:sz w:val="14"/>
                <w:szCs w:val="14"/>
              </w:rPr>
              <w:t> </w:t>
            </w:r>
            <w:r>
              <w:rPr>
                <w:sz w:val="14"/>
                <w:szCs w:val="14"/>
              </w:rPr>
              <w:t>217</w:t>
            </w:r>
          </w:p>
        </w:tc>
        <w:tc>
          <w:tcPr>
            <w:tcW w:w="0" w:type="auto"/>
            <w:tcBorders>
              <w:top w:val="nil"/>
              <w:left w:val="nil"/>
              <w:bottom w:val="nil"/>
              <w:right w:val="nil"/>
            </w:tcBorders>
            <w:shd w:val="clear" w:color="auto" w:fill="F2F2F2" w:themeFill="background1" w:themeFillShade="F2"/>
          </w:tcPr>
          <w:p w14:paraId="635D3E53" w14:textId="6A02C671" w:rsidR="00F87EC1" w:rsidRDefault="00F87EC1" w:rsidP="00F87EC1">
            <w:pPr>
              <w:pStyle w:val="MerknadTR"/>
              <w:spacing w:line="160" w:lineRule="exact"/>
              <w:jc w:val="right"/>
              <w:rPr>
                <w:sz w:val="14"/>
                <w:szCs w:val="14"/>
              </w:rPr>
            </w:pPr>
            <w:r>
              <w:rPr>
                <w:sz w:val="14"/>
                <w:szCs w:val="14"/>
              </w:rPr>
              <w:t>6 331</w:t>
            </w:r>
          </w:p>
        </w:tc>
        <w:tc>
          <w:tcPr>
            <w:tcW w:w="0" w:type="auto"/>
            <w:tcBorders>
              <w:top w:val="nil"/>
              <w:left w:val="nil"/>
              <w:bottom w:val="nil"/>
              <w:right w:val="nil"/>
            </w:tcBorders>
            <w:shd w:val="clear" w:color="auto" w:fill="F2F2F2" w:themeFill="background1" w:themeFillShade="F2"/>
          </w:tcPr>
          <w:p w14:paraId="3B18FAE1" w14:textId="0783BE89" w:rsidR="00F87EC1" w:rsidRDefault="00F87EC1" w:rsidP="00F87EC1">
            <w:pPr>
              <w:pStyle w:val="MerknadTR"/>
              <w:spacing w:line="160" w:lineRule="exact"/>
              <w:jc w:val="right"/>
              <w:rPr>
                <w:sz w:val="14"/>
                <w:szCs w:val="14"/>
              </w:rPr>
            </w:pPr>
            <w:r>
              <w:rPr>
                <w:sz w:val="14"/>
                <w:szCs w:val="14"/>
              </w:rPr>
              <w:t>6 728</w:t>
            </w:r>
          </w:p>
        </w:tc>
        <w:tc>
          <w:tcPr>
            <w:tcW w:w="0" w:type="auto"/>
            <w:tcBorders>
              <w:top w:val="nil"/>
              <w:left w:val="nil"/>
              <w:bottom w:val="nil"/>
              <w:right w:val="nil"/>
            </w:tcBorders>
            <w:shd w:val="clear" w:color="auto" w:fill="F2F2F2" w:themeFill="background1" w:themeFillShade="F2"/>
          </w:tcPr>
          <w:p w14:paraId="32A66332" w14:textId="668C6A04" w:rsidR="00F87EC1" w:rsidRDefault="00132D88" w:rsidP="00F87EC1">
            <w:pPr>
              <w:pStyle w:val="MerknadTR"/>
              <w:spacing w:line="160" w:lineRule="exact"/>
              <w:jc w:val="right"/>
              <w:rPr>
                <w:sz w:val="14"/>
                <w:szCs w:val="14"/>
              </w:rPr>
            </w:pPr>
            <w:r>
              <w:rPr>
                <w:sz w:val="14"/>
                <w:szCs w:val="14"/>
              </w:rPr>
              <w:t>6</w:t>
            </w:r>
            <w:r w:rsidRPr="00F41A2F">
              <w:rPr>
                <w:sz w:val="14"/>
                <w:szCs w:val="14"/>
              </w:rPr>
              <w:t> </w:t>
            </w:r>
            <w:r>
              <w:rPr>
                <w:sz w:val="14"/>
                <w:szCs w:val="14"/>
              </w:rPr>
              <w:t>806</w:t>
            </w:r>
          </w:p>
        </w:tc>
      </w:tr>
      <w:tr w:rsidR="00F87EC1" w:rsidRPr="001213F3" w14:paraId="2C6C50D9" w14:textId="43E1473B" w:rsidTr="0041529F">
        <w:trPr>
          <w:trHeight w:hRule="exact" w:val="227"/>
        </w:trPr>
        <w:tc>
          <w:tcPr>
            <w:tcW w:w="0" w:type="auto"/>
            <w:tcBorders>
              <w:top w:val="nil"/>
              <w:left w:val="nil"/>
              <w:bottom w:val="nil"/>
              <w:right w:val="nil"/>
            </w:tcBorders>
            <w:shd w:val="clear" w:color="auto" w:fill="F2F2F2" w:themeFill="background1" w:themeFillShade="F2"/>
          </w:tcPr>
          <w:p w14:paraId="52665532" w14:textId="77777777" w:rsidR="00F87EC1" w:rsidRPr="006024A7" w:rsidRDefault="00F87EC1" w:rsidP="00F87EC1">
            <w:pPr>
              <w:pStyle w:val="MerknadTR"/>
              <w:spacing w:line="160" w:lineRule="exact"/>
              <w:rPr>
                <w:sz w:val="14"/>
                <w:szCs w:val="14"/>
              </w:rPr>
            </w:pPr>
            <w:r w:rsidRPr="006024A7">
              <w:rPr>
                <w:sz w:val="14"/>
                <w:szCs w:val="14"/>
              </w:rPr>
              <w:t>Administrativt ansatte</w:t>
            </w:r>
          </w:p>
          <w:p w14:paraId="63E9EE31"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36ADE30" w14:textId="324CFCD1" w:rsidR="00285B1F" w:rsidRDefault="002D37FE" w:rsidP="00F87EC1">
            <w:pPr>
              <w:pStyle w:val="MerknadTR"/>
              <w:spacing w:line="160" w:lineRule="exact"/>
              <w:jc w:val="right"/>
              <w:rPr>
                <w:sz w:val="14"/>
                <w:szCs w:val="14"/>
              </w:rPr>
            </w:pPr>
            <w:r>
              <w:rPr>
                <w:sz w:val="14"/>
                <w:szCs w:val="14"/>
              </w:rPr>
              <w:t>9</w:t>
            </w:r>
            <w:r w:rsidRPr="00F41A2F">
              <w:rPr>
                <w:sz w:val="14"/>
                <w:szCs w:val="14"/>
              </w:rPr>
              <w:t> </w:t>
            </w:r>
            <w:r>
              <w:rPr>
                <w:sz w:val="14"/>
                <w:szCs w:val="14"/>
              </w:rPr>
              <w:t>400</w:t>
            </w:r>
          </w:p>
        </w:tc>
        <w:tc>
          <w:tcPr>
            <w:tcW w:w="0" w:type="auto"/>
            <w:tcBorders>
              <w:top w:val="nil"/>
              <w:left w:val="nil"/>
              <w:bottom w:val="nil"/>
              <w:right w:val="nil"/>
            </w:tcBorders>
            <w:shd w:val="clear" w:color="auto" w:fill="F2F2F2" w:themeFill="background1" w:themeFillShade="F2"/>
          </w:tcPr>
          <w:p w14:paraId="6439A344" w14:textId="63AD66B2" w:rsidR="00F87EC1" w:rsidRDefault="00F87EC1" w:rsidP="00F87EC1">
            <w:pPr>
              <w:pStyle w:val="MerknadTR"/>
              <w:spacing w:line="160" w:lineRule="exact"/>
              <w:jc w:val="right"/>
              <w:rPr>
                <w:sz w:val="14"/>
                <w:szCs w:val="14"/>
              </w:rPr>
            </w:pPr>
            <w:r>
              <w:rPr>
                <w:sz w:val="14"/>
                <w:szCs w:val="14"/>
              </w:rPr>
              <w:t>9 757</w:t>
            </w:r>
          </w:p>
        </w:tc>
        <w:tc>
          <w:tcPr>
            <w:tcW w:w="0" w:type="auto"/>
            <w:tcBorders>
              <w:top w:val="nil"/>
              <w:left w:val="nil"/>
              <w:bottom w:val="nil"/>
              <w:right w:val="nil"/>
            </w:tcBorders>
            <w:shd w:val="clear" w:color="auto" w:fill="F2F2F2" w:themeFill="background1" w:themeFillShade="F2"/>
          </w:tcPr>
          <w:p w14:paraId="2063B907" w14:textId="526FAABC" w:rsidR="00F87EC1" w:rsidRDefault="00F87EC1" w:rsidP="00F87EC1">
            <w:pPr>
              <w:pStyle w:val="MerknadTR"/>
              <w:spacing w:line="160" w:lineRule="exact"/>
              <w:jc w:val="right"/>
              <w:rPr>
                <w:sz w:val="14"/>
                <w:szCs w:val="14"/>
              </w:rPr>
            </w:pPr>
            <w:r>
              <w:rPr>
                <w:sz w:val="14"/>
                <w:szCs w:val="14"/>
              </w:rPr>
              <w:t>10 117</w:t>
            </w:r>
          </w:p>
        </w:tc>
        <w:tc>
          <w:tcPr>
            <w:tcW w:w="0" w:type="auto"/>
            <w:tcBorders>
              <w:top w:val="nil"/>
              <w:left w:val="nil"/>
              <w:bottom w:val="nil"/>
              <w:right w:val="nil"/>
            </w:tcBorders>
            <w:shd w:val="clear" w:color="auto" w:fill="F2F2F2" w:themeFill="background1" w:themeFillShade="F2"/>
          </w:tcPr>
          <w:p w14:paraId="34767A7A" w14:textId="29A67D62" w:rsidR="00F87EC1" w:rsidRDefault="00572793" w:rsidP="00F87EC1">
            <w:pPr>
              <w:pStyle w:val="MerknadTR"/>
              <w:spacing w:line="160" w:lineRule="exact"/>
              <w:jc w:val="right"/>
              <w:rPr>
                <w:sz w:val="14"/>
                <w:szCs w:val="14"/>
              </w:rPr>
            </w:pPr>
            <w:r>
              <w:rPr>
                <w:sz w:val="14"/>
                <w:szCs w:val="14"/>
              </w:rPr>
              <w:t>10 413</w:t>
            </w:r>
          </w:p>
        </w:tc>
      </w:tr>
      <w:tr w:rsidR="00F87EC1" w:rsidRPr="001213F3" w14:paraId="7DA1BD4B" w14:textId="541ED41A" w:rsidTr="0041529F">
        <w:trPr>
          <w:trHeight w:hRule="exact" w:val="227"/>
        </w:trPr>
        <w:tc>
          <w:tcPr>
            <w:tcW w:w="0" w:type="auto"/>
            <w:tcBorders>
              <w:top w:val="nil"/>
              <w:left w:val="nil"/>
              <w:bottom w:val="nil"/>
              <w:right w:val="nil"/>
            </w:tcBorders>
            <w:shd w:val="clear" w:color="auto" w:fill="F2F2F2" w:themeFill="background1" w:themeFillShade="F2"/>
          </w:tcPr>
          <w:p w14:paraId="40E7D657" w14:textId="77777777" w:rsidR="00F87EC1" w:rsidRPr="006024A7" w:rsidRDefault="00F87EC1" w:rsidP="00F87EC1">
            <w:pPr>
              <w:pStyle w:val="MerknadTR"/>
              <w:spacing w:line="160" w:lineRule="exact"/>
              <w:rPr>
                <w:sz w:val="14"/>
                <w:szCs w:val="14"/>
              </w:rPr>
            </w:pPr>
            <w:r w:rsidRPr="006024A7">
              <w:rPr>
                <w:sz w:val="14"/>
                <w:szCs w:val="14"/>
              </w:rPr>
              <w:t>Øvrige stillingsgrupper</w:t>
            </w:r>
          </w:p>
          <w:p w14:paraId="098C6288"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4DF628D9" w14:textId="3CFE536A" w:rsidR="00285B1F" w:rsidRDefault="001E4773" w:rsidP="00F87EC1">
            <w:pPr>
              <w:pStyle w:val="MerknadTR"/>
              <w:spacing w:line="160" w:lineRule="exact"/>
              <w:jc w:val="right"/>
              <w:rPr>
                <w:sz w:val="14"/>
                <w:szCs w:val="14"/>
              </w:rPr>
            </w:pPr>
            <w:r>
              <w:rPr>
                <w:sz w:val="14"/>
                <w:szCs w:val="14"/>
              </w:rPr>
              <w:t>5</w:t>
            </w:r>
            <w:r w:rsidRPr="00F41A2F">
              <w:rPr>
                <w:sz w:val="14"/>
                <w:szCs w:val="14"/>
              </w:rPr>
              <w:t> </w:t>
            </w:r>
            <w:r>
              <w:rPr>
                <w:sz w:val="14"/>
                <w:szCs w:val="14"/>
              </w:rPr>
              <w:t>258</w:t>
            </w:r>
          </w:p>
        </w:tc>
        <w:tc>
          <w:tcPr>
            <w:tcW w:w="0" w:type="auto"/>
            <w:tcBorders>
              <w:top w:val="nil"/>
              <w:left w:val="nil"/>
              <w:bottom w:val="nil"/>
              <w:right w:val="nil"/>
            </w:tcBorders>
            <w:shd w:val="clear" w:color="auto" w:fill="F2F2F2" w:themeFill="background1" w:themeFillShade="F2"/>
          </w:tcPr>
          <w:p w14:paraId="6A204A51" w14:textId="3C69471D" w:rsidR="00F87EC1" w:rsidRDefault="00F87EC1" w:rsidP="00F87EC1">
            <w:pPr>
              <w:pStyle w:val="MerknadTR"/>
              <w:spacing w:line="160" w:lineRule="exact"/>
              <w:jc w:val="right"/>
              <w:rPr>
                <w:sz w:val="14"/>
                <w:szCs w:val="14"/>
              </w:rPr>
            </w:pPr>
            <w:r>
              <w:rPr>
                <w:sz w:val="14"/>
                <w:szCs w:val="14"/>
              </w:rPr>
              <w:t>5 368</w:t>
            </w:r>
          </w:p>
        </w:tc>
        <w:tc>
          <w:tcPr>
            <w:tcW w:w="0" w:type="auto"/>
            <w:tcBorders>
              <w:top w:val="nil"/>
              <w:left w:val="nil"/>
              <w:bottom w:val="nil"/>
              <w:right w:val="nil"/>
            </w:tcBorders>
            <w:shd w:val="clear" w:color="auto" w:fill="F2F2F2" w:themeFill="background1" w:themeFillShade="F2"/>
          </w:tcPr>
          <w:p w14:paraId="69ACABA8" w14:textId="14082A7B" w:rsidR="00F87EC1" w:rsidRDefault="00F87EC1" w:rsidP="00F87EC1">
            <w:pPr>
              <w:pStyle w:val="MerknadTR"/>
              <w:spacing w:line="160" w:lineRule="exact"/>
              <w:jc w:val="right"/>
              <w:rPr>
                <w:sz w:val="14"/>
                <w:szCs w:val="14"/>
              </w:rPr>
            </w:pPr>
            <w:r>
              <w:rPr>
                <w:sz w:val="14"/>
                <w:szCs w:val="14"/>
              </w:rPr>
              <w:t>5 517</w:t>
            </w:r>
          </w:p>
        </w:tc>
        <w:tc>
          <w:tcPr>
            <w:tcW w:w="0" w:type="auto"/>
            <w:tcBorders>
              <w:top w:val="nil"/>
              <w:left w:val="nil"/>
              <w:bottom w:val="nil"/>
              <w:right w:val="nil"/>
            </w:tcBorders>
            <w:shd w:val="clear" w:color="auto" w:fill="F2F2F2" w:themeFill="background1" w:themeFillShade="F2"/>
          </w:tcPr>
          <w:p w14:paraId="3DBBBCFE" w14:textId="49730888" w:rsidR="00F87EC1" w:rsidRDefault="00BD1C87" w:rsidP="00F87EC1">
            <w:pPr>
              <w:pStyle w:val="MerknadTR"/>
              <w:spacing w:line="160" w:lineRule="exact"/>
              <w:jc w:val="right"/>
              <w:rPr>
                <w:sz w:val="14"/>
                <w:szCs w:val="14"/>
              </w:rPr>
            </w:pPr>
            <w:r>
              <w:rPr>
                <w:sz w:val="14"/>
                <w:szCs w:val="14"/>
              </w:rPr>
              <w:t>5 573</w:t>
            </w:r>
          </w:p>
        </w:tc>
      </w:tr>
      <w:tr w:rsidR="00F87EC1" w:rsidRPr="001213F3" w14:paraId="698981F4" w14:textId="77777777" w:rsidTr="0041529F">
        <w:trPr>
          <w:trHeight w:hRule="exact" w:val="227"/>
        </w:trPr>
        <w:tc>
          <w:tcPr>
            <w:tcW w:w="0" w:type="auto"/>
            <w:tcBorders>
              <w:top w:val="nil"/>
              <w:left w:val="nil"/>
              <w:bottom w:val="nil"/>
              <w:right w:val="nil"/>
            </w:tcBorders>
            <w:shd w:val="clear" w:color="auto" w:fill="F2F2F2" w:themeFill="background1" w:themeFillShade="F2"/>
          </w:tcPr>
          <w:p w14:paraId="25BA5E6A"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246D05CF" w14:textId="77777777" w:rsidR="00285B1F" w:rsidRPr="00675E6E"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9C4DD66" w14:textId="77777777" w:rsidR="00F87EC1" w:rsidRPr="00675E6E"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06E8A8B"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BC5ACF7" w14:textId="77777777" w:rsidR="00F87EC1" w:rsidRDefault="00F87EC1" w:rsidP="00F87EC1">
            <w:pPr>
              <w:pStyle w:val="MerknadTR"/>
              <w:spacing w:line="160" w:lineRule="exact"/>
              <w:jc w:val="right"/>
              <w:rPr>
                <w:sz w:val="14"/>
                <w:szCs w:val="14"/>
              </w:rPr>
            </w:pPr>
          </w:p>
        </w:tc>
      </w:tr>
      <w:tr w:rsidR="00F87EC1" w:rsidRPr="001213F3" w14:paraId="016C82D3" w14:textId="77777777" w:rsidTr="0041529F">
        <w:trPr>
          <w:trHeight w:hRule="exact" w:val="227"/>
        </w:trPr>
        <w:tc>
          <w:tcPr>
            <w:tcW w:w="0" w:type="auto"/>
            <w:tcBorders>
              <w:top w:val="nil"/>
              <w:left w:val="nil"/>
              <w:bottom w:val="nil"/>
              <w:right w:val="nil"/>
            </w:tcBorders>
            <w:shd w:val="clear" w:color="auto" w:fill="F2F2F2" w:themeFill="background1" w:themeFillShade="F2"/>
          </w:tcPr>
          <w:p w14:paraId="0DF1ED22" w14:textId="62BCED2F" w:rsidR="00F87EC1" w:rsidRPr="006024A7" w:rsidRDefault="00F87EC1" w:rsidP="00F87EC1">
            <w:pPr>
              <w:pStyle w:val="MerknadTR"/>
              <w:spacing w:line="160" w:lineRule="exact"/>
              <w:rPr>
                <w:sz w:val="14"/>
                <w:szCs w:val="14"/>
              </w:rPr>
            </w:pPr>
            <w:r w:rsidRPr="003579CD">
              <w:rPr>
                <w:b/>
                <w:sz w:val="14"/>
                <w:szCs w:val="14"/>
              </w:rPr>
              <w:t>Midlertidighet</w:t>
            </w:r>
            <w:r w:rsidRPr="00CF0BB5">
              <w:rPr>
                <w:b/>
                <w:sz w:val="14"/>
                <w:szCs w:val="14"/>
              </w:rPr>
              <w:t xml:space="preserve"> </w:t>
            </w:r>
            <w:r>
              <w:rPr>
                <w:b/>
                <w:sz w:val="14"/>
                <w:szCs w:val="14"/>
              </w:rPr>
              <w:t>(statlige institusjoner)</w:t>
            </w:r>
          </w:p>
        </w:tc>
        <w:tc>
          <w:tcPr>
            <w:tcW w:w="0" w:type="auto"/>
            <w:tcBorders>
              <w:top w:val="nil"/>
              <w:left w:val="nil"/>
              <w:bottom w:val="nil"/>
              <w:right w:val="nil"/>
            </w:tcBorders>
            <w:shd w:val="clear" w:color="auto" w:fill="F2F2F2" w:themeFill="background1" w:themeFillShade="F2"/>
          </w:tcPr>
          <w:p w14:paraId="2451A37C" w14:textId="77777777" w:rsidR="00285B1F" w:rsidRPr="00675E6E"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522EA60" w14:textId="77777777" w:rsidR="00F87EC1" w:rsidRPr="00675E6E"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786211D"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FB1573C" w14:textId="77777777" w:rsidR="00F87EC1" w:rsidRDefault="00F87EC1" w:rsidP="00F87EC1">
            <w:pPr>
              <w:pStyle w:val="MerknadTR"/>
              <w:spacing w:line="160" w:lineRule="exact"/>
              <w:jc w:val="right"/>
              <w:rPr>
                <w:sz w:val="14"/>
                <w:szCs w:val="14"/>
              </w:rPr>
            </w:pPr>
          </w:p>
        </w:tc>
      </w:tr>
      <w:tr w:rsidR="00F87EC1" w:rsidRPr="001213F3" w14:paraId="40AD619F" w14:textId="77777777" w:rsidTr="0041529F">
        <w:trPr>
          <w:trHeight w:hRule="exact" w:val="227"/>
        </w:trPr>
        <w:tc>
          <w:tcPr>
            <w:tcW w:w="0" w:type="auto"/>
            <w:tcBorders>
              <w:top w:val="nil"/>
              <w:left w:val="nil"/>
              <w:bottom w:val="nil"/>
              <w:right w:val="nil"/>
            </w:tcBorders>
            <w:shd w:val="clear" w:color="auto" w:fill="F2F2F2" w:themeFill="background1" w:themeFillShade="F2"/>
          </w:tcPr>
          <w:p w14:paraId="3448BC3F" w14:textId="2DF85F41" w:rsidR="00F87EC1" w:rsidRPr="006024A7" w:rsidRDefault="00F87EC1" w:rsidP="00F87EC1">
            <w:pPr>
              <w:pStyle w:val="MerknadTR"/>
              <w:spacing w:line="160" w:lineRule="exact"/>
              <w:rPr>
                <w:sz w:val="14"/>
                <w:szCs w:val="14"/>
              </w:rPr>
            </w:pPr>
            <w:r>
              <w:rPr>
                <w:sz w:val="14"/>
                <w:szCs w:val="14"/>
              </w:rPr>
              <w:t>Midlertidig ansatte i undervisnings og forskerstillinger (%)</w:t>
            </w:r>
          </w:p>
        </w:tc>
        <w:tc>
          <w:tcPr>
            <w:tcW w:w="0" w:type="auto"/>
            <w:tcBorders>
              <w:top w:val="nil"/>
              <w:left w:val="nil"/>
              <w:bottom w:val="nil"/>
              <w:right w:val="nil"/>
            </w:tcBorders>
            <w:shd w:val="clear" w:color="auto" w:fill="F2F2F2" w:themeFill="background1" w:themeFillShade="F2"/>
          </w:tcPr>
          <w:p w14:paraId="78DFD067" w14:textId="09578DE3" w:rsidR="00285B1F" w:rsidRDefault="00256C84" w:rsidP="00F87EC1">
            <w:pPr>
              <w:pStyle w:val="MerknadTR"/>
              <w:spacing w:line="160" w:lineRule="exact"/>
              <w:jc w:val="right"/>
              <w:rPr>
                <w:sz w:val="14"/>
                <w:szCs w:val="14"/>
              </w:rPr>
            </w:pPr>
            <w:r>
              <w:rPr>
                <w:sz w:val="14"/>
                <w:szCs w:val="14"/>
              </w:rPr>
              <w:t>15,0</w:t>
            </w:r>
          </w:p>
        </w:tc>
        <w:tc>
          <w:tcPr>
            <w:tcW w:w="0" w:type="auto"/>
            <w:tcBorders>
              <w:top w:val="nil"/>
              <w:left w:val="nil"/>
              <w:bottom w:val="nil"/>
              <w:right w:val="nil"/>
            </w:tcBorders>
            <w:shd w:val="clear" w:color="auto" w:fill="F2F2F2" w:themeFill="background1" w:themeFillShade="F2"/>
          </w:tcPr>
          <w:p w14:paraId="656A80B2" w14:textId="18525E8B" w:rsidR="00F87EC1" w:rsidRPr="00675E6E" w:rsidRDefault="00F87EC1" w:rsidP="00F87EC1">
            <w:pPr>
              <w:pStyle w:val="MerknadTR"/>
              <w:spacing w:line="160" w:lineRule="exact"/>
              <w:jc w:val="right"/>
              <w:rPr>
                <w:sz w:val="14"/>
                <w:szCs w:val="14"/>
              </w:rPr>
            </w:pPr>
            <w:r>
              <w:rPr>
                <w:sz w:val="14"/>
                <w:szCs w:val="14"/>
              </w:rPr>
              <w:t>12,6</w:t>
            </w:r>
          </w:p>
        </w:tc>
        <w:tc>
          <w:tcPr>
            <w:tcW w:w="0" w:type="auto"/>
            <w:tcBorders>
              <w:top w:val="nil"/>
              <w:left w:val="nil"/>
              <w:bottom w:val="nil"/>
              <w:right w:val="nil"/>
            </w:tcBorders>
            <w:shd w:val="clear" w:color="auto" w:fill="F2F2F2" w:themeFill="background1" w:themeFillShade="F2"/>
          </w:tcPr>
          <w:p w14:paraId="41D81544" w14:textId="5447659E" w:rsidR="00F87EC1" w:rsidRDefault="00F87EC1" w:rsidP="00F87EC1">
            <w:pPr>
              <w:pStyle w:val="MerknadTR"/>
              <w:spacing w:line="160" w:lineRule="exact"/>
              <w:jc w:val="right"/>
              <w:rPr>
                <w:sz w:val="14"/>
                <w:szCs w:val="14"/>
              </w:rPr>
            </w:pPr>
            <w:r>
              <w:rPr>
                <w:sz w:val="14"/>
                <w:szCs w:val="14"/>
              </w:rPr>
              <w:t>12,</w:t>
            </w:r>
            <w:r w:rsidR="00B4427E">
              <w:rPr>
                <w:sz w:val="14"/>
                <w:szCs w:val="14"/>
              </w:rPr>
              <w:t>9</w:t>
            </w:r>
          </w:p>
        </w:tc>
        <w:tc>
          <w:tcPr>
            <w:tcW w:w="0" w:type="auto"/>
            <w:tcBorders>
              <w:top w:val="nil"/>
              <w:left w:val="nil"/>
              <w:bottom w:val="nil"/>
              <w:right w:val="nil"/>
            </w:tcBorders>
            <w:shd w:val="clear" w:color="auto" w:fill="F2F2F2" w:themeFill="background1" w:themeFillShade="F2"/>
          </w:tcPr>
          <w:p w14:paraId="19B49B10" w14:textId="0F73B709" w:rsidR="00F87EC1" w:rsidRDefault="00750206" w:rsidP="00F87EC1">
            <w:pPr>
              <w:pStyle w:val="MerknadTR"/>
              <w:spacing w:line="160" w:lineRule="exact"/>
              <w:jc w:val="right"/>
              <w:rPr>
                <w:sz w:val="14"/>
                <w:szCs w:val="14"/>
              </w:rPr>
            </w:pPr>
            <w:r>
              <w:rPr>
                <w:sz w:val="14"/>
                <w:szCs w:val="14"/>
              </w:rPr>
              <w:t>11,8</w:t>
            </w:r>
          </w:p>
        </w:tc>
      </w:tr>
      <w:tr w:rsidR="00F87EC1" w:rsidRPr="001213F3" w14:paraId="5F86AF9B" w14:textId="77777777" w:rsidTr="0041529F">
        <w:trPr>
          <w:trHeight w:hRule="exact" w:val="227"/>
        </w:trPr>
        <w:tc>
          <w:tcPr>
            <w:tcW w:w="0" w:type="auto"/>
            <w:tcBorders>
              <w:top w:val="nil"/>
              <w:left w:val="nil"/>
              <w:bottom w:val="nil"/>
              <w:right w:val="nil"/>
            </w:tcBorders>
            <w:shd w:val="clear" w:color="auto" w:fill="F2F2F2" w:themeFill="background1" w:themeFillShade="F2"/>
          </w:tcPr>
          <w:p w14:paraId="0E91BE2D" w14:textId="01D008D8" w:rsidR="00F87EC1" w:rsidRDefault="00F87EC1" w:rsidP="00F87EC1">
            <w:pPr>
              <w:pStyle w:val="MerknadTR"/>
              <w:spacing w:line="160" w:lineRule="exact"/>
              <w:rPr>
                <w:sz w:val="14"/>
                <w:szCs w:val="14"/>
              </w:rPr>
            </w:pPr>
            <w:r>
              <w:rPr>
                <w:sz w:val="14"/>
                <w:szCs w:val="14"/>
              </w:rPr>
              <w:t>Midlertidig ansatte i administrative stillinger (%)</w:t>
            </w:r>
          </w:p>
        </w:tc>
        <w:tc>
          <w:tcPr>
            <w:tcW w:w="0" w:type="auto"/>
            <w:tcBorders>
              <w:top w:val="nil"/>
              <w:left w:val="nil"/>
              <w:bottom w:val="nil"/>
              <w:right w:val="nil"/>
            </w:tcBorders>
            <w:shd w:val="clear" w:color="auto" w:fill="F2F2F2" w:themeFill="background1" w:themeFillShade="F2"/>
          </w:tcPr>
          <w:p w14:paraId="67CBBB09" w14:textId="55EDF928" w:rsidR="00285B1F" w:rsidRDefault="00256C84" w:rsidP="00F87EC1">
            <w:pPr>
              <w:pStyle w:val="MerknadTR"/>
              <w:spacing w:line="160" w:lineRule="exact"/>
              <w:jc w:val="right"/>
              <w:rPr>
                <w:sz w:val="14"/>
                <w:szCs w:val="14"/>
              </w:rPr>
            </w:pPr>
            <w:r>
              <w:rPr>
                <w:sz w:val="14"/>
                <w:szCs w:val="14"/>
              </w:rPr>
              <w:t>12,0</w:t>
            </w:r>
          </w:p>
        </w:tc>
        <w:tc>
          <w:tcPr>
            <w:tcW w:w="0" w:type="auto"/>
            <w:tcBorders>
              <w:top w:val="nil"/>
              <w:left w:val="nil"/>
              <w:bottom w:val="nil"/>
              <w:right w:val="nil"/>
            </w:tcBorders>
            <w:shd w:val="clear" w:color="auto" w:fill="F2F2F2" w:themeFill="background1" w:themeFillShade="F2"/>
          </w:tcPr>
          <w:p w14:paraId="08397F8B" w14:textId="7B6D7043" w:rsidR="00F87EC1" w:rsidRDefault="00F87EC1" w:rsidP="00F87EC1">
            <w:pPr>
              <w:pStyle w:val="MerknadTR"/>
              <w:spacing w:line="160" w:lineRule="exact"/>
              <w:jc w:val="right"/>
              <w:rPr>
                <w:sz w:val="14"/>
                <w:szCs w:val="14"/>
              </w:rPr>
            </w:pPr>
            <w:r>
              <w:rPr>
                <w:sz w:val="14"/>
                <w:szCs w:val="14"/>
              </w:rPr>
              <w:t>10,3</w:t>
            </w:r>
          </w:p>
        </w:tc>
        <w:tc>
          <w:tcPr>
            <w:tcW w:w="0" w:type="auto"/>
            <w:tcBorders>
              <w:top w:val="nil"/>
              <w:left w:val="nil"/>
              <w:bottom w:val="nil"/>
              <w:right w:val="nil"/>
            </w:tcBorders>
            <w:shd w:val="clear" w:color="auto" w:fill="F2F2F2" w:themeFill="background1" w:themeFillShade="F2"/>
          </w:tcPr>
          <w:p w14:paraId="20DEBE01" w14:textId="20632991" w:rsidR="00F87EC1" w:rsidRDefault="00F87EC1" w:rsidP="00F87EC1">
            <w:pPr>
              <w:pStyle w:val="MerknadTR"/>
              <w:spacing w:line="160" w:lineRule="exact"/>
              <w:jc w:val="right"/>
              <w:rPr>
                <w:sz w:val="14"/>
                <w:szCs w:val="14"/>
              </w:rPr>
            </w:pPr>
            <w:r>
              <w:rPr>
                <w:sz w:val="14"/>
                <w:szCs w:val="14"/>
              </w:rPr>
              <w:t>10,</w:t>
            </w:r>
            <w:r w:rsidR="00B4427E">
              <w:rPr>
                <w:sz w:val="14"/>
                <w:szCs w:val="14"/>
              </w:rPr>
              <w:t>5</w:t>
            </w:r>
          </w:p>
        </w:tc>
        <w:tc>
          <w:tcPr>
            <w:tcW w:w="0" w:type="auto"/>
            <w:tcBorders>
              <w:top w:val="nil"/>
              <w:left w:val="nil"/>
              <w:bottom w:val="nil"/>
              <w:right w:val="nil"/>
            </w:tcBorders>
            <w:shd w:val="clear" w:color="auto" w:fill="F2F2F2" w:themeFill="background1" w:themeFillShade="F2"/>
          </w:tcPr>
          <w:p w14:paraId="1C2C0348" w14:textId="22D88ECB" w:rsidR="00F87EC1" w:rsidRDefault="001954E9" w:rsidP="00F87EC1">
            <w:pPr>
              <w:pStyle w:val="MerknadTR"/>
              <w:spacing w:line="160" w:lineRule="exact"/>
              <w:jc w:val="right"/>
              <w:rPr>
                <w:sz w:val="14"/>
                <w:szCs w:val="14"/>
              </w:rPr>
            </w:pPr>
            <w:r>
              <w:rPr>
                <w:sz w:val="14"/>
                <w:szCs w:val="14"/>
              </w:rPr>
              <w:t>9,8</w:t>
            </w:r>
          </w:p>
        </w:tc>
      </w:tr>
      <w:tr w:rsidR="00F87EC1" w:rsidRPr="001213F3" w14:paraId="4423CBC8" w14:textId="77777777" w:rsidTr="0041529F">
        <w:trPr>
          <w:trHeight w:hRule="exact" w:val="227"/>
        </w:trPr>
        <w:tc>
          <w:tcPr>
            <w:tcW w:w="0" w:type="auto"/>
            <w:tcBorders>
              <w:top w:val="nil"/>
              <w:left w:val="nil"/>
              <w:bottom w:val="nil"/>
              <w:right w:val="nil"/>
            </w:tcBorders>
            <w:shd w:val="clear" w:color="auto" w:fill="F2F2F2" w:themeFill="background1" w:themeFillShade="F2"/>
          </w:tcPr>
          <w:p w14:paraId="572F9269" w14:textId="59F5385D" w:rsidR="00F87EC1" w:rsidRDefault="00F87EC1" w:rsidP="00F87EC1">
            <w:pPr>
              <w:pStyle w:val="MerknadTR"/>
              <w:spacing w:line="160" w:lineRule="exact"/>
              <w:rPr>
                <w:sz w:val="14"/>
                <w:szCs w:val="14"/>
              </w:rPr>
            </w:pPr>
            <w:r>
              <w:rPr>
                <w:sz w:val="14"/>
                <w:szCs w:val="14"/>
              </w:rPr>
              <w:t>Midlertidig ansatte i støttest. til undervisning og forskning (%)</w:t>
            </w:r>
          </w:p>
        </w:tc>
        <w:tc>
          <w:tcPr>
            <w:tcW w:w="0" w:type="auto"/>
            <w:tcBorders>
              <w:top w:val="nil"/>
              <w:left w:val="nil"/>
              <w:bottom w:val="nil"/>
              <w:right w:val="nil"/>
            </w:tcBorders>
            <w:shd w:val="clear" w:color="auto" w:fill="F2F2F2" w:themeFill="background1" w:themeFillShade="F2"/>
          </w:tcPr>
          <w:p w14:paraId="13322EB9" w14:textId="54FBBDB8" w:rsidR="00285B1F" w:rsidRDefault="00256C84" w:rsidP="00F87EC1">
            <w:pPr>
              <w:pStyle w:val="MerknadTR"/>
              <w:spacing w:line="160" w:lineRule="exact"/>
              <w:jc w:val="right"/>
              <w:rPr>
                <w:sz w:val="14"/>
                <w:szCs w:val="14"/>
              </w:rPr>
            </w:pPr>
            <w:r>
              <w:rPr>
                <w:sz w:val="14"/>
                <w:szCs w:val="14"/>
              </w:rPr>
              <w:t>10,2</w:t>
            </w:r>
          </w:p>
        </w:tc>
        <w:tc>
          <w:tcPr>
            <w:tcW w:w="0" w:type="auto"/>
            <w:tcBorders>
              <w:top w:val="nil"/>
              <w:left w:val="nil"/>
              <w:bottom w:val="nil"/>
              <w:right w:val="nil"/>
            </w:tcBorders>
            <w:shd w:val="clear" w:color="auto" w:fill="F2F2F2" w:themeFill="background1" w:themeFillShade="F2"/>
          </w:tcPr>
          <w:p w14:paraId="5710B1D1" w14:textId="22657A93" w:rsidR="00F87EC1" w:rsidRDefault="00F87EC1" w:rsidP="00F87EC1">
            <w:pPr>
              <w:pStyle w:val="MerknadTR"/>
              <w:spacing w:line="160" w:lineRule="exact"/>
              <w:jc w:val="right"/>
              <w:rPr>
                <w:sz w:val="14"/>
                <w:szCs w:val="14"/>
              </w:rPr>
            </w:pPr>
            <w:r>
              <w:rPr>
                <w:sz w:val="14"/>
                <w:szCs w:val="14"/>
              </w:rPr>
              <w:t>10,0</w:t>
            </w:r>
          </w:p>
        </w:tc>
        <w:tc>
          <w:tcPr>
            <w:tcW w:w="0" w:type="auto"/>
            <w:tcBorders>
              <w:top w:val="nil"/>
              <w:left w:val="nil"/>
              <w:bottom w:val="nil"/>
              <w:right w:val="nil"/>
            </w:tcBorders>
            <w:shd w:val="clear" w:color="auto" w:fill="F2F2F2" w:themeFill="background1" w:themeFillShade="F2"/>
          </w:tcPr>
          <w:p w14:paraId="36827971" w14:textId="2A1C10DA" w:rsidR="00F87EC1" w:rsidRDefault="00F87EC1" w:rsidP="00F87EC1">
            <w:pPr>
              <w:pStyle w:val="MerknadTR"/>
              <w:spacing w:line="160" w:lineRule="exact"/>
              <w:jc w:val="right"/>
              <w:rPr>
                <w:sz w:val="14"/>
                <w:szCs w:val="14"/>
              </w:rPr>
            </w:pPr>
            <w:r>
              <w:rPr>
                <w:sz w:val="14"/>
                <w:szCs w:val="14"/>
              </w:rPr>
              <w:t>11,3</w:t>
            </w:r>
          </w:p>
        </w:tc>
        <w:tc>
          <w:tcPr>
            <w:tcW w:w="0" w:type="auto"/>
            <w:tcBorders>
              <w:top w:val="nil"/>
              <w:left w:val="nil"/>
              <w:bottom w:val="nil"/>
              <w:right w:val="nil"/>
            </w:tcBorders>
            <w:shd w:val="clear" w:color="auto" w:fill="F2F2F2" w:themeFill="background1" w:themeFillShade="F2"/>
          </w:tcPr>
          <w:p w14:paraId="4679A7B6" w14:textId="0F2B5ADB" w:rsidR="00F87EC1" w:rsidRDefault="00E61432" w:rsidP="00F87EC1">
            <w:pPr>
              <w:pStyle w:val="MerknadTR"/>
              <w:spacing w:line="160" w:lineRule="exact"/>
              <w:jc w:val="right"/>
              <w:rPr>
                <w:sz w:val="14"/>
                <w:szCs w:val="14"/>
              </w:rPr>
            </w:pPr>
            <w:r>
              <w:rPr>
                <w:sz w:val="14"/>
                <w:szCs w:val="14"/>
              </w:rPr>
              <w:t>11,2</w:t>
            </w:r>
          </w:p>
        </w:tc>
      </w:tr>
      <w:tr w:rsidR="00F87EC1" w:rsidRPr="001213F3" w14:paraId="72F0AA8A" w14:textId="0FF5FBDB" w:rsidTr="0041529F">
        <w:trPr>
          <w:trHeight w:hRule="exact" w:val="227"/>
        </w:trPr>
        <w:tc>
          <w:tcPr>
            <w:tcW w:w="0" w:type="auto"/>
            <w:tcBorders>
              <w:top w:val="nil"/>
              <w:left w:val="nil"/>
              <w:bottom w:val="nil"/>
              <w:right w:val="nil"/>
            </w:tcBorders>
            <w:shd w:val="clear" w:color="auto" w:fill="F2F2F2" w:themeFill="background1" w:themeFillShade="F2"/>
          </w:tcPr>
          <w:p w14:paraId="39921777"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BDE133F"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A37EEEC"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349B14A3" w14:textId="4BB5D84D"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w:pStyle w:val="MerknadTR"/>
              <w:spacing w:line="160" w:lineRule="exact"/>
              <w:jc w:val="right"/>
              <w:rPr>
                <w:sz w:val="14"/>
                <w:szCs w:val="14"/>
              </w:rPr>
            </w:pPr>
          </w:p>
        </w:tc>
      </w:tr>
      <w:tr w:rsidR="00F87EC1" w:rsidRPr="001213F3" w14:paraId="0E3EAA8D" w14:textId="04FBF8FF" w:rsidTr="0041529F">
        <w:trPr>
          <w:trHeight w:hRule="exact" w:val="227"/>
        </w:trPr>
        <w:tc>
          <w:tcPr>
            <w:tcW w:w="0" w:type="auto"/>
            <w:tcBorders>
              <w:top w:val="nil"/>
              <w:left w:val="nil"/>
              <w:bottom w:val="nil"/>
              <w:right w:val="nil"/>
            </w:tcBorders>
            <w:shd w:val="clear" w:color="auto" w:fill="F2F2F2" w:themeFill="background1" w:themeFillShade="F2"/>
          </w:tcPr>
          <w:p w14:paraId="15218F49" w14:textId="77777777" w:rsidR="00F87EC1" w:rsidRPr="006024A7" w:rsidRDefault="00F87EC1" w:rsidP="00F87EC1">
            <w:pPr>
              <w:pStyle w:val="MerknadTR"/>
              <w:spacing w:line="160" w:lineRule="exact"/>
              <w:rPr>
                <w:b/>
                <w:sz w:val="14"/>
                <w:szCs w:val="14"/>
              </w:rPr>
            </w:pPr>
            <w:r w:rsidRPr="006024A7">
              <w:rPr>
                <w:b/>
                <w:sz w:val="14"/>
                <w:szCs w:val="14"/>
              </w:rPr>
              <w:t>Likestilling (kvinner/menn)</w:t>
            </w:r>
          </w:p>
          <w:p w14:paraId="6D77DB3C"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69E348B2"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D95FA9A"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A228E80" w14:textId="3272EA5F"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18C02DC" w14:textId="77777777" w:rsidR="00F87EC1" w:rsidRDefault="00F87EC1" w:rsidP="00F87EC1">
            <w:pPr>
              <w:pStyle w:val="MerknadTR"/>
              <w:spacing w:line="160" w:lineRule="exact"/>
              <w:jc w:val="right"/>
              <w:rPr>
                <w:sz w:val="14"/>
                <w:szCs w:val="14"/>
              </w:rPr>
            </w:pPr>
          </w:p>
        </w:tc>
      </w:tr>
      <w:tr w:rsidR="00F87EC1" w:rsidRPr="001213F3" w14:paraId="4F18CF2F" w14:textId="0A721033" w:rsidTr="0041529F">
        <w:trPr>
          <w:trHeight w:hRule="exact" w:val="227"/>
        </w:trPr>
        <w:tc>
          <w:tcPr>
            <w:tcW w:w="0" w:type="auto"/>
            <w:tcBorders>
              <w:top w:val="nil"/>
              <w:left w:val="nil"/>
              <w:bottom w:val="nil"/>
              <w:right w:val="nil"/>
            </w:tcBorders>
            <w:shd w:val="clear" w:color="auto" w:fill="F2F2F2" w:themeFill="background1" w:themeFillShade="F2"/>
          </w:tcPr>
          <w:p w14:paraId="05D12421" w14:textId="77777777" w:rsidR="00F87EC1" w:rsidRPr="006024A7" w:rsidRDefault="00F87EC1" w:rsidP="00F87EC1">
            <w:pPr>
              <w:pStyle w:val="MerknadTR"/>
              <w:spacing w:line="160" w:lineRule="exact"/>
              <w:rPr>
                <w:sz w:val="14"/>
                <w:szCs w:val="14"/>
              </w:rPr>
            </w:pPr>
            <w:r w:rsidRPr="006024A7">
              <w:rPr>
                <w:sz w:val="14"/>
                <w:szCs w:val="14"/>
              </w:rPr>
              <w:t>Andel kvinner/menn % studenter</w:t>
            </w:r>
          </w:p>
          <w:p w14:paraId="793E23FB"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7E83F2A5" w14:textId="306EFB6F" w:rsidR="00285B1F" w:rsidRDefault="00981D3F" w:rsidP="00F87EC1">
            <w:pPr>
              <w:pStyle w:val="MerknadTR"/>
              <w:spacing w:line="160" w:lineRule="exact"/>
              <w:jc w:val="right"/>
              <w:rPr>
                <w:sz w:val="14"/>
                <w:szCs w:val="14"/>
              </w:rPr>
            </w:pPr>
            <w:r>
              <w:rPr>
                <w:sz w:val="14"/>
                <w:szCs w:val="14"/>
              </w:rPr>
              <w:t>59,2/40,8</w:t>
            </w:r>
          </w:p>
        </w:tc>
        <w:tc>
          <w:tcPr>
            <w:tcW w:w="0" w:type="auto"/>
            <w:tcBorders>
              <w:top w:val="nil"/>
              <w:left w:val="nil"/>
              <w:bottom w:val="nil"/>
              <w:right w:val="nil"/>
            </w:tcBorders>
            <w:shd w:val="clear" w:color="auto" w:fill="F2F2F2" w:themeFill="background1" w:themeFillShade="F2"/>
          </w:tcPr>
          <w:p w14:paraId="11BF3E8F" w14:textId="07BEAA57" w:rsidR="00F87EC1" w:rsidRPr="006024A7" w:rsidRDefault="00F87EC1" w:rsidP="00F87EC1">
            <w:pPr>
              <w:pStyle w:val="MerknadTR"/>
              <w:spacing w:line="160" w:lineRule="exact"/>
              <w:jc w:val="right"/>
              <w:rPr>
                <w:sz w:val="14"/>
                <w:szCs w:val="14"/>
              </w:rPr>
            </w:pPr>
            <w:r>
              <w:rPr>
                <w:sz w:val="14"/>
                <w:szCs w:val="14"/>
              </w:rPr>
              <w:t>59,6/40,4</w:t>
            </w:r>
          </w:p>
          <w:p w14:paraId="70CFB2BD" w14:textId="77777777" w:rsidR="00F87EC1" w:rsidRPr="006024A7" w:rsidRDefault="00F87EC1" w:rsidP="00F87EC1">
            <w:pPr>
              <w:jc w:val="right"/>
              <w:rPr>
                <w:rFonts w:ascii="Arial" w:hAnsi="Arial" w:cs="Arial"/>
                <w:b/>
                <w:color w:val="000000"/>
                <w:sz w:val="14"/>
                <w:szCs w:val="14"/>
              </w:rPr>
            </w:pPr>
            <w:r w:rsidRPr="006024A7">
              <w:rPr>
                <w:rFonts w:ascii="Arial" w:hAnsi="Arial" w:cs="Arial"/>
                <w:b/>
                <w:color w:val="000000"/>
                <w:sz w:val="14"/>
                <w:szCs w:val="14"/>
              </w:rPr>
              <w:t>40,8</w:t>
            </w:r>
          </w:p>
          <w:p w14:paraId="6B08DEBD" w14:textId="457087E6" w:rsidR="00F87EC1" w:rsidRPr="006024A7" w:rsidRDefault="00F87EC1" w:rsidP="00F87EC1">
            <w:pPr>
              <w:pStyle w:val="MerknadTR"/>
              <w:spacing w:line="160" w:lineRule="exact"/>
              <w:jc w:val="right"/>
              <w:rPr>
                <w:sz w:val="14"/>
                <w:szCs w:val="14"/>
              </w:rPr>
            </w:pPr>
          </w:p>
          <w:p w14:paraId="4E55F005" w14:textId="77777777" w:rsidR="00F87EC1" w:rsidRPr="006024A7" w:rsidRDefault="00F87EC1" w:rsidP="00F87EC1">
            <w:pPr>
              <w:jc w:val="right"/>
              <w:rPr>
                <w:rFonts w:ascii="Arial" w:hAnsi="Arial" w:cs="Arial"/>
                <w:b/>
                <w:color w:val="000000"/>
                <w:sz w:val="14"/>
                <w:szCs w:val="14"/>
              </w:rPr>
            </w:pPr>
            <w:r w:rsidRPr="006024A7">
              <w:rPr>
                <w:rFonts w:ascii="Arial" w:hAnsi="Arial" w:cs="Arial"/>
                <w:b/>
                <w:color w:val="000000"/>
                <w:sz w:val="14"/>
                <w:szCs w:val="14"/>
              </w:rPr>
              <w:t>40,8</w:t>
            </w:r>
          </w:p>
          <w:p w14:paraId="5AC5B271" w14:textId="13B889A4"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FF758BB" w14:textId="4119534C" w:rsidR="00F87EC1" w:rsidRDefault="00F87EC1" w:rsidP="00F87EC1">
            <w:pPr>
              <w:pStyle w:val="MerknadTR"/>
              <w:spacing w:line="160" w:lineRule="exact"/>
              <w:jc w:val="right"/>
              <w:rPr>
                <w:sz w:val="14"/>
                <w:szCs w:val="14"/>
              </w:rPr>
            </w:pPr>
            <w:r>
              <w:rPr>
                <w:sz w:val="14"/>
                <w:szCs w:val="14"/>
              </w:rPr>
              <w:t>59,9/40,1</w:t>
            </w:r>
          </w:p>
        </w:tc>
        <w:tc>
          <w:tcPr>
            <w:tcW w:w="0" w:type="auto"/>
            <w:tcBorders>
              <w:top w:val="nil"/>
              <w:left w:val="nil"/>
              <w:bottom w:val="nil"/>
              <w:right w:val="nil"/>
            </w:tcBorders>
            <w:shd w:val="clear" w:color="auto" w:fill="F2F2F2" w:themeFill="background1" w:themeFillShade="F2"/>
          </w:tcPr>
          <w:p w14:paraId="54E41D10" w14:textId="1F8BB086" w:rsidR="00F87EC1" w:rsidRDefault="00797933" w:rsidP="00F87EC1">
            <w:pPr>
              <w:pStyle w:val="MerknadTR"/>
              <w:spacing w:line="160" w:lineRule="exact"/>
              <w:jc w:val="right"/>
              <w:rPr>
                <w:sz w:val="14"/>
                <w:szCs w:val="14"/>
              </w:rPr>
            </w:pPr>
            <w:r>
              <w:rPr>
                <w:sz w:val="14"/>
                <w:szCs w:val="14"/>
              </w:rPr>
              <w:t>60,0/40,0</w:t>
            </w:r>
          </w:p>
        </w:tc>
      </w:tr>
      <w:tr w:rsidR="00F87EC1" w:rsidRPr="001213F3" w14:paraId="5BBC44B0" w14:textId="61300E04" w:rsidTr="0041529F">
        <w:trPr>
          <w:trHeight w:hRule="exact" w:val="227"/>
        </w:trPr>
        <w:tc>
          <w:tcPr>
            <w:tcW w:w="0" w:type="auto"/>
            <w:tcBorders>
              <w:top w:val="nil"/>
              <w:left w:val="nil"/>
              <w:bottom w:val="nil"/>
              <w:right w:val="nil"/>
            </w:tcBorders>
            <w:shd w:val="clear" w:color="auto" w:fill="F2F2F2" w:themeFill="background1" w:themeFillShade="F2"/>
          </w:tcPr>
          <w:p w14:paraId="60A40E38" w14:textId="77777777" w:rsidR="00F87EC1" w:rsidRPr="006024A7" w:rsidRDefault="00F87EC1" w:rsidP="00F87EC1">
            <w:pPr>
              <w:pStyle w:val="MerknadTR"/>
              <w:spacing w:line="160" w:lineRule="exact"/>
              <w:rPr>
                <w:sz w:val="14"/>
                <w:szCs w:val="14"/>
              </w:rPr>
            </w:pPr>
            <w:r w:rsidRPr="006024A7">
              <w:rPr>
                <w:sz w:val="14"/>
                <w:szCs w:val="14"/>
              </w:rPr>
              <w:t>Andel kvinner/menn % alle ansatte</w:t>
            </w:r>
          </w:p>
          <w:p w14:paraId="10EB236E"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8414377" w14:textId="1E393227" w:rsidR="00285B1F" w:rsidRDefault="00981D3F" w:rsidP="00F87EC1">
            <w:pPr>
              <w:pStyle w:val="MerknadTR"/>
              <w:spacing w:line="160" w:lineRule="exact"/>
              <w:jc w:val="right"/>
              <w:rPr>
                <w:sz w:val="14"/>
                <w:szCs w:val="14"/>
              </w:rPr>
            </w:pPr>
            <w:r>
              <w:rPr>
                <w:sz w:val="14"/>
                <w:szCs w:val="14"/>
              </w:rPr>
              <w:t>53,9/</w:t>
            </w:r>
            <w:r w:rsidR="00EC529D">
              <w:rPr>
                <w:sz w:val="14"/>
                <w:szCs w:val="14"/>
              </w:rPr>
              <w:t>46,1</w:t>
            </w:r>
          </w:p>
        </w:tc>
        <w:tc>
          <w:tcPr>
            <w:tcW w:w="0" w:type="auto"/>
            <w:tcBorders>
              <w:top w:val="nil"/>
              <w:left w:val="nil"/>
              <w:bottom w:val="nil"/>
              <w:right w:val="nil"/>
            </w:tcBorders>
            <w:shd w:val="clear" w:color="auto" w:fill="F2F2F2" w:themeFill="background1" w:themeFillShade="F2"/>
          </w:tcPr>
          <w:p w14:paraId="66B66A2A" w14:textId="000878DF" w:rsidR="00F87EC1" w:rsidRDefault="00F87EC1" w:rsidP="00F87EC1">
            <w:pPr>
              <w:pStyle w:val="MerknadTR"/>
              <w:spacing w:line="160" w:lineRule="exact"/>
              <w:jc w:val="right"/>
              <w:rPr>
                <w:sz w:val="14"/>
                <w:szCs w:val="14"/>
              </w:rPr>
            </w:pPr>
            <w:r>
              <w:rPr>
                <w:sz w:val="14"/>
                <w:szCs w:val="14"/>
              </w:rPr>
              <w:t>54,1/45,9</w:t>
            </w:r>
          </w:p>
        </w:tc>
        <w:tc>
          <w:tcPr>
            <w:tcW w:w="0" w:type="auto"/>
            <w:tcBorders>
              <w:top w:val="nil"/>
              <w:left w:val="nil"/>
              <w:bottom w:val="nil"/>
              <w:right w:val="nil"/>
            </w:tcBorders>
            <w:shd w:val="clear" w:color="auto" w:fill="F2F2F2" w:themeFill="background1" w:themeFillShade="F2"/>
          </w:tcPr>
          <w:p w14:paraId="27BAE3D1" w14:textId="348C4D08" w:rsidR="00F87EC1" w:rsidRDefault="00F87EC1" w:rsidP="00F87EC1">
            <w:pPr>
              <w:pStyle w:val="MerknadTR"/>
              <w:spacing w:line="160" w:lineRule="exact"/>
              <w:jc w:val="right"/>
              <w:rPr>
                <w:sz w:val="14"/>
                <w:szCs w:val="14"/>
              </w:rPr>
            </w:pPr>
            <w:r>
              <w:rPr>
                <w:sz w:val="14"/>
                <w:szCs w:val="14"/>
              </w:rPr>
              <w:t>54,5/45,5</w:t>
            </w:r>
          </w:p>
        </w:tc>
        <w:tc>
          <w:tcPr>
            <w:tcW w:w="0" w:type="auto"/>
            <w:tcBorders>
              <w:top w:val="nil"/>
              <w:left w:val="nil"/>
              <w:bottom w:val="nil"/>
              <w:right w:val="nil"/>
            </w:tcBorders>
            <w:shd w:val="clear" w:color="auto" w:fill="F2F2F2" w:themeFill="background1" w:themeFillShade="F2"/>
          </w:tcPr>
          <w:p w14:paraId="0B968AA5" w14:textId="52698D16" w:rsidR="00F87EC1" w:rsidRDefault="00285B1F" w:rsidP="00F87EC1">
            <w:pPr>
              <w:pStyle w:val="MerknadTR"/>
              <w:spacing w:line="160" w:lineRule="exact"/>
              <w:jc w:val="right"/>
              <w:rPr>
                <w:sz w:val="14"/>
                <w:szCs w:val="14"/>
              </w:rPr>
            </w:pPr>
            <w:r>
              <w:rPr>
                <w:sz w:val="14"/>
                <w:szCs w:val="14"/>
              </w:rPr>
              <w:t>55,</w:t>
            </w:r>
            <w:r w:rsidR="005F676F">
              <w:rPr>
                <w:sz w:val="14"/>
                <w:szCs w:val="14"/>
              </w:rPr>
              <w:t>0</w:t>
            </w:r>
            <w:r>
              <w:rPr>
                <w:sz w:val="14"/>
                <w:szCs w:val="14"/>
              </w:rPr>
              <w:t>/4</w:t>
            </w:r>
            <w:r w:rsidR="00CD1408">
              <w:rPr>
                <w:sz w:val="14"/>
                <w:szCs w:val="14"/>
              </w:rPr>
              <w:t>5</w:t>
            </w:r>
            <w:r>
              <w:rPr>
                <w:sz w:val="14"/>
                <w:szCs w:val="14"/>
              </w:rPr>
              <w:t>,</w:t>
            </w:r>
            <w:r w:rsidR="003B409B">
              <w:rPr>
                <w:sz w:val="14"/>
                <w:szCs w:val="14"/>
              </w:rPr>
              <w:t>0</w:t>
            </w:r>
          </w:p>
        </w:tc>
      </w:tr>
      <w:tr w:rsidR="00F87EC1" w:rsidRPr="001213F3" w14:paraId="5E36197C" w14:textId="138F25B8" w:rsidTr="0041529F">
        <w:trPr>
          <w:trHeight w:hRule="exact" w:val="227"/>
        </w:trPr>
        <w:tc>
          <w:tcPr>
            <w:tcW w:w="0" w:type="auto"/>
            <w:tcBorders>
              <w:top w:val="nil"/>
              <w:left w:val="nil"/>
              <w:bottom w:val="nil"/>
              <w:right w:val="nil"/>
            </w:tcBorders>
            <w:shd w:val="clear" w:color="auto" w:fill="F2F2F2" w:themeFill="background1" w:themeFillShade="F2"/>
          </w:tcPr>
          <w:p w14:paraId="5C7C9365" w14:textId="0A1AC454" w:rsidR="00F87EC1" w:rsidRPr="006024A7" w:rsidRDefault="00F87EC1" w:rsidP="00F87EC1">
            <w:pPr>
              <w:pStyle w:val="MerknadTR"/>
              <w:spacing w:line="160" w:lineRule="exact"/>
              <w:rPr>
                <w:sz w:val="14"/>
                <w:szCs w:val="14"/>
              </w:rPr>
            </w:pPr>
            <w:r w:rsidRPr="006024A7">
              <w:rPr>
                <w:sz w:val="14"/>
                <w:szCs w:val="14"/>
              </w:rPr>
              <w:t xml:space="preserve">Faglig ansatte (ekskl. </w:t>
            </w:r>
            <w:proofErr w:type="spellStart"/>
            <w:proofErr w:type="gramStart"/>
            <w:r w:rsidR="00BD69AA">
              <w:rPr>
                <w:sz w:val="14"/>
                <w:szCs w:val="14"/>
              </w:rPr>
              <w:t>utd</w:t>
            </w:r>
            <w:r w:rsidRPr="006024A7">
              <w:rPr>
                <w:sz w:val="14"/>
                <w:szCs w:val="14"/>
              </w:rPr>
              <w:t>.still</w:t>
            </w:r>
            <w:proofErr w:type="spellEnd"/>
            <w:proofErr w:type="gramEnd"/>
            <w:r w:rsidRPr="006024A7">
              <w:rPr>
                <w:sz w:val="14"/>
                <w:szCs w:val="14"/>
              </w:rPr>
              <w:t>.) (</w:t>
            </w:r>
            <w:r>
              <w:rPr>
                <w:sz w:val="14"/>
                <w:szCs w:val="14"/>
              </w:rPr>
              <w:t xml:space="preserve">% </w:t>
            </w:r>
            <w:r w:rsidRPr="006024A7">
              <w:rPr>
                <w:sz w:val="14"/>
                <w:szCs w:val="14"/>
              </w:rPr>
              <w:t>kvinner/menn)</w:t>
            </w:r>
          </w:p>
          <w:p w14:paraId="1782F3A3"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E646D32" w14:textId="4F5A0C58" w:rsidR="00285B1F" w:rsidRDefault="00EC529D" w:rsidP="00F87EC1">
            <w:pPr>
              <w:pStyle w:val="MerknadTR"/>
              <w:spacing w:line="160" w:lineRule="exact"/>
              <w:jc w:val="right"/>
              <w:rPr>
                <w:sz w:val="14"/>
                <w:szCs w:val="14"/>
              </w:rPr>
            </w:pPr>
            <w:r>
              <w:rPr>
                <w:sz w:val="14"/>
                <w:szCs w:val="14"/>
              </w:rPr>
              <w:t>48,0/52,0</w:t>
            </w:r>
          </w:p>
        </w:tc>
        <w:tc>
          <w:tcPr>
            <w:tcW w:w="0" w:type="auto"/>
            <w:tcBorders>
              <w:top w:val="nil"/>
              <w:left w:val="nil"/>
              <w:bottom w:val="nil"/>
              <w:right w:val="nil"/>
            </w:tcBorders>
            <w:shd w:val="clear" w:color="auto" w:fill="F2F2F2" w:themeFill="background1" w:themeFillShade="F2"/>
          </w:tcPr>
          <w:p w14:paraId="37E3E0C9" w14:textId="30690215" w:rsidR="00F87EC1" w:rsidRDefault="00285B1F" w:rsidP="00F87EC1">
            <w:pPr>
              <w:pStyle w:val="MerknadTR"/>
              <w:spacing w:line="160" w:lineRule="exact"/>
              <w:jc w:val="right"/>
              <w:rPr>
                <w:sz w:val="14"/>
                <w:szCs w:val="14"/>
              </w:rPr>
            </w:pPr>
            <w:r>
              <w:rPr>
                <w:sz w:val="14"/>
                <w:szCs w:val="14"/>
              </w:rPr>
              <w:t>4</w:t>
            </w:r>
            <w:r w:rsidR="00957E77">
              <w:rPr>
                <w:sz w:val="14"/>
                <w:szCs w:val="14"/>
              </w:rPr>
              <w:t>8</w:t>
            </w:r>
            <w:r>
              <w:rPr>
                <w:sz w:val="14"/>
                <w:szCs w:val="14"/>
              </w:rPr>
              <w:t>,</w:t>
            </w:r>
            <w:r w:rsidR="00DD746F">
              <w:rPr>
                <w:sz w:val="14"/>
                <w:szCs w:val="14"/>
              </w:rPr>
              <w:t>2</w:t>
            </w:r>
            <w:r>
              <w:rPr>
                <w:sz w:val="14"/>
                <w:szCs w:val="14"/>
              </w:rPr>
              <w:t>/5</w:t>
            </w:r>
            <w:r w:rsidR="00F66184">
              <w:rPr>
                <w:sz w:val="14"/>
                <w:szCs w:val="14"/>
              </w:rPr>
              <w:t>1</w:t>
            </w:r>
            <w:r>
              <w:rPr>
                <w:sz w:val="14"/>
                <w:szCs w:val="14"/>
              </w:rPr>
              <w:t>,</w:t>
            </w:r>
            <w:r w:rsidR="00F66184">
              <w:rPr>
                <w:sz w:val="14"/>
                <w:szCs w:val="14"/>
              </w:rPr>
              <w:t>8</w:t>
            </w:r>
          </w:p>
        </w:tc>
        <w:tc>
          <w:tcPr>
            <w:tcW w:w="0" w:type="auto"/>
            <w:tcBorders>
              <w:top w:val="nil"/>
              <w:left w:val="nil"/>
              <w:bottom w:val="nil"/>
              <w:right w:val="nil"/>
            </w:tcBorders>
            <w:shd w:val="clear" w:color="auto" w:fill="F2F2F2" w:themeFill="background1" w:themeFillShade="F2"/>
          </w:tcPr>
          <w:p w14:paraId="15C9734F" w14:textId="1D1352D2" w:rsidR="00F87EC1" w:rsidRDefault="00285B1F" w:rsidP="00F87EC1">
            <w:pPr>
              <w:pStyle w:val="MerknadTR"/>
              <w:spacing w:line="160" w:lineRule="exact"/>
              <w:jc w:val="right"/>
              <w:rPr>
                <w:sz w:val="14"/>
                <w:szCs w:val="14"/>
              </w:rPr>
            </w:pPr>
            <w:r>
              <w:rPr>
                <w:sz w:val="14"/>
                <w:szCs w:val="14"/>
              </w:rPr>
              <w:t>4</w:t>
            </w:r>
            <w:r w:rsidR="00284F56">
              <w:rPr>
                <w:sz w:val="14"/>
                <w:szCs w:val="14"/>
              </w:rPr>
              <w:t>9</w:t>
            </w:r>
            <w:r>
              <w:rPr>
                <w:sz w:val="14"/>
                <w:szCs w:val="14"/>
              </w:rPr>
              <w:t>,</w:t>
            </w:r>
            <w:r w:rsidR="00284F56">
              <w:rPr>
                <w:sz w:val="14"/>
                <w:szCs w:val="14"/>
              </w:rPr>
              <w:t>1</w:t>
            </w:r>
            <w:r>
              <w:rPr>
                <w:sz w:val="14"/>
                <w:szCs w:val="14"/>
              </w:rPr>
              <w:t>/5</w:t>
            </w:r>
            <w:r w:rsidR="00284F56">
              <w:rPr>
                <w:sz w:val="14"/>
                <w:szCs w:val="14"/>
              </w:rPr>
              <w:t>0</w:t>
            </w:r>
            <w:r>
              <w:rPr>
                <w:sz w:val="14"/>
                <w:szCs w:val="14"/>
              </w:rPr>
              <w:t>,</w:t>
            </w:r>
            <w:r w:rsidR="00284F56">
              <w:rPr>
                <w:sz w:val="14"/>
                <w:szCs w:val="14"/>
              </w:rPr>
              <w:t>9</w:t>
            </w:r>
          </w:p>
        </w:tc>
        <w:tc>
          <w:tcPr>
            <w:tcW w:w="0" w:type="auto"/>
            <w:tcBorders>
              <w:top w:val="nil"/>
              <w:left w:val="nil"/>
              <w:bottom w:val="nil"/>
              <w:right w:val="nil"/>
            </w:tcBorders>
            <w:shd w:val="clear" w:color="auto" w:fill="F2F2F2" w:themeFill="background1" w:themeFillShade="F2"/>
          </w:tcPr>
          <w:p w14:paraId="75A6B691" w14:textId="1962C7A7" w:rsidR="00F87EC1" w:rsidRDefault="00432FF5" w:rsidP="00F87EC1">
            <w:pPr>
              <w:pStyle w:val="MerknadTR"/>
              <w:spacing w:line="160" w:lineRule="exact"/>
              <w:jc w:val="right"/>
              <w:rPr>
                <w:sz w:val="14"/>
                <w:szCs w:val="14"/>
              </w:rPr>
            </w:pPr>
            <w:r>
              <w:rPr>
                <w:sz w:val="14"/>
                <w:szCs w:val="14"/>
              </w:rPr>
              <w:t>49,9</w:t>
            </w:r>
            <w:r w:rsidR="008512F5">
              <w:rPr>
                <w:sz w:val="14"/>
                <w:szCs w:val="14"/>
              </w:rPr>
              <w:t>/50,1</w:t>
            </w:r>
          </w:p>
        </w:tc>
      </w:tr>
      <w:tr w:rsidR="00F87EC1" w:rsidRPr="001213F3" w14:paraId="53FF5A06" w14:textId="3141BE2D" w:rsidTr="0041529F">
        <w:trPr>
          <w:trHeight w:hRule="exact" w:val="227"/>
        </w:trPr>
        <w:tc>
          <w:tcPr>
            <w:tcW w:w="0" w:type="auto"/>
            <w:tcBorders>
              <w:top w:val="nil"/>
              <w:left w:val="nil"/>
              <w:bottom w:val="nil"/>
              <w:right w:val="nil"/>
            </w:tcBorders>
            <w:shd w:val="clear" w:color="auto" w:fill="F2F2F2" w:themeFill="background1" w:themeFillShade="F2"/>
          </w:tcPr>
          <w:p w14:paraId="062D8D4C" w14:textId="77777777" w:rsidR="00F87EC1" w:rsidRPr="006024A7" w:rsidRDefault="00F87EC1" w:rsidP="00F87EC1">
            <w:pPr>
              <w:pStyle w:val="MerknadTR"/>
              <w:spacing w:line="160" w:lineRule="exact"/>
              <w:rPr>
                <w:sz w:val="14"/>
                <w:szCs w:val="14"/>
              </w:rPr>
            </w:pPr>
            <w:r w:rsidRPr="006024A7">
              <w:rPr>
                <w:sz w:val="14"/>
                <w:szCs w:val="14"/>
              </w:rPr>
              <w:t>Dosent- og professorstillinger (</w:t>
            </w:r>
            <w:r>
              <w:rPr>
                <w:sz w:val="14"/>
                <w:szCs w:val="14"/>
              </w:rPr>
              <w:t xml:space="preserve">% </w:t>
            </w:r>
            <w:r w:rsidRPr="006024A7">
              <w:rPr>
                <w:sz w:val="14"/>
                <w:szCs w:val="14"/>
              </w:rPr>
              <w:t>kvinner/menn)</w:t>
            </w:r>
          </w:p>
          <w:p w14:paraId="4DE07921"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640909BA" w14:textId="60A56F7A" w:rsidR="00285B1F" w:rsidRDefault="00EC529D" w:rsidP="00F87EC1">
            <w:pPr>
              <w:pStyle w:val="MerknadTR"/>
              <w:spacing w:line="160" w:lineRule="exact"/>
              <w:jc w:val="right"/>
              <w:rPr>
                <w:sz w:val="14"/>
                <w:szCs w:val="14"/>
              </w:rPr>
            </w:pPr>
            <w:r>
              <w:rPr>
                <w:sz w:val="14"/>
                <w:szCs w:val="14"/>
              </w:rPr>
              <w:t>32,2/</w:t>
            </w:r>
            <w:r w:rsidR="0002200F">
              <w:rPr>
                <w:sz w:val="14"/>
                <w:szCs w:val="14"/>
              </w:rPr>
              <w:t>67,8</w:t>
            </w:r>
          </w:p>
        </w:tc>
        <w:tc>
          <w:tcPr>
            <w:tcW w:w="0" w:type="auto"/>
            <w:tcBorders>
              <w:top w:val="nil"/>
              <w:left w:val="nil"/>
              <w:bottom w:val="nil"/>
              <w:right w:val="nil"/>
            </w:tcBorders>
            <w:shd w:val="clear" w:color="auto" w:fill="F2F2F2" w:themeFill="background1" w:themeFillShade="F2"/>
          </w:tcPr>
          <w:p w14:paraId="7D40956C" w14:textId="73EE69AD" w:rsidR="00F87EC1" w:rsidRDefault="00F87EC1" w:rsidP="00F87EC1">
            <w:pPr>
              <w:pStyle w:val="MerknadTR"/>
              <w:spacing w:line="160" w:lineRule="exact"/>
              <w:jc w:val="right"/>
              <w:rPr>
                <w:sz w:val="14"/>
                <w:szCs w:val="14"/>
              </w:rPr>
            </w:pPr>
            <w:r>
              <w:rPr>
                <w:sz w:val="14"/>
                <w:szCs w:val="14"/>
              </w:rPr>
              <w:t>33,5/66,5</w:t>
            </w:r>
          </w:p>
        </w:tc>
        <w:tc>
          <w:tcPr>
            <w:tcW w:w="0" w:type="auto"/>
            <w:tcBorders>
              <w:top w:val="nil"/>
              <w:left w:val="nil"/>
              <w:bottom w:val="nil"/>
              <w:right w:val="nil"/>
            </w:tcBorders>
            <w:shd w:val="clear" w:color="auto" w:fill="F2F2F2" w:themeFill="background1" w:themeFillShade="F2"/>
          </w:tcPr>
          <w:p w14:paraId="3793B2E4" w14:textId="7717C888" w:rsidR="00F87EC1" w:rsidRDefault="00F87EC1" w:rsidP="00F87EC1">
            <w:pPr>
              <w:pStyle w:val="MerknadTR"/>
              <w:spacing w:line="160" w:lineRule="exact"/>
              <w:jc w:val="right"/>
              <w:rPr>
                <w:sz w:val="14"/>
                <w:szCs w:val="14"/>
              </w:rPr>
            </w:pPr>
            <w:r>
              <w:rPr>
                <w:sz w:val="14"/>
                <w:szCs w:val="14"/>
              </w:rPr>
              <w:t>34,7/65,3</w:t>
            </w:r>
          </w:p>
        </w:tc>
        <w:tc>
          <w:tcPr>
            <w:tcW w:w="0" w:type="auto"/>
            <w:tcBorders>
              <w:top w:val="nil"/>
              <w:left w:val="nil"/>
              <w:bottom w:val="nil"/>
              <w:right w:val="nil"/>
            </w:tcBorders>
            <w:shd w:val="clear" w:color="auto" w:fill="F2F2F2" w:themeFill="background1" w:themeFillShade="F2"/>
          </w:tcPr>
          <w:p w14:paraId="42298CF4" w14:textId="5A982DC1" w:rsidR="00F87EC1" w:rsidRDefault="008512F5" w:rsidP="00F87EC1">
            <w:pPr>
              <w:pStyle w:val="MerknadTR"/>
              <w:spacing w:line="160" w:lineRule="exact"/>
              <w:jc w:val="right"/>
              <w:rPr>
                <w:sz w:val="14"/>
                <w:szCs w:val="14"/>
              </w:rPr>
            </w:pPr>
            <w:r>
              <w:rPr>
                <w:sz w:val="14"/>
                <w:szCs w:val="14"/>
              </w:rPr>
              <w:t>36,2/</w:t>
            </w:r>
            <w:r w:rsidR="00380136">
              <w:rPr>
                <w:sz w:val="14"/>
                <w:szCs w:val="14"/>
              </w:rPr>
              <w:t>63,8</w:t>
            </w:r>
          </w:p>
        </w:tc>
      </w:tr>
      <w:tr w:rsidR="00F87EC1" w:rsidRPr="001213F3" w14:paraId="0B7F3BFF" w14:textId="4F92C3E7" w:rsidTr="0041529F">
        <w:trPr>
          <w:trHeight w:hRule="exact" w:val="227"/>
        </w:trPr>
        <w:tc>
          <w:tcPr>
            <w:tcW w:w="0" w:type="auto"/>
            <w:tcBorders>
              <w:top w:val="nil"/>
              <w:left w:val="nil"/>
              <w:bottom w:val="nil"/>
              <w:right w:val="nil"/>
            </w:tcBorders>
            <w:shd w:val="clear" w:color="auto" w:fill="F2F2F2" w:themeFill="background1" w:themeFillShade="F2"/>
          </w:tcPr>
          <w:p w14:paraId="2B2D6674" w14:textId="77777777" w:rsidR="00F87EC1" w:rsidRPr="006024A7" w:rsidRDefault="00F87EC1" w:rsidP="00F87EC1">
            <w:pPr>
              <w:pStyle w:val="MerknadTR"/>
              <w:spacing w:line="160" w:lineRule="exact"/>
              <w:rPr>
                <w:sz w:val="14"/>
                <w:szCs w:val="14"/>
              </w:rPr>
            </w:pPr>
            <w:r w:rsidRPr="006024A7">
              <w:rPr>
                <w:sz w:val="14"/>
                <w:szCs w:val="14"/>
              </w:rPr>
              <w:t>Stipendiatstillinger (</w:t>
            </w:r>
            <w:r>
              <w:rPr>
                <w:sz w:val="14"/>
                <w:szCs w:val="14"/>
              </w:rPr>
              <w:t xml:space="preserve">% </w:t>
            </w:r>
            <w:r w:rsidRPr="006024A7">
              <w:rPr>
                <w:sz w:val="14"/>
                <w:szCs w:val="14"/>
              </w:rPr>
              <w:t>kvinner/menn)</w:t>
            </w:r>
          </w:p>
          <w:p w14:paraId="6D0172F4"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0C7626AE" w14:textId="3010F070" w:rsidR="00285B1F" w:rsidRDefault="0002200F" w:rsidP="00F87EC1">
            <w:pPr>
              <w:pStyle w:val="MerknadTR"/>
              <w:spacing w:line="160" w:lineRule="exact"/>
              <w:jc w:val="right"/>
              <w:rPr>
                <w:sz w:val="14"/>
                <w:szCs w:val="14"/>
              </w:rPr>
            </w:pPr>
            <w:r>
              <w:rPr>
                <w:sz w:val="14"/>
                <w:szCs w:val="14"/>
              </w:rPr>
              <w:t>53,7/46,3</w:t>
            </w:r>
          </w:p>
        </w:tc>
        <w:tc>
          <w:tcPr>
            <w:tcW w:w="0" w:type="auto"/>
            <w:tcBorders>
              <w:top w:val="nil"/>
              <w:left w:val="nil"/>
              <w:bottom w:val="nil"/>
              <w:right w:val="nil"/>
            </w:tcBorders>
            <w:shd w:val="clear" w:color="auto" w:fill="F2F2F2" w:themeFill="background1" w:themeFillShade="F2"/>
          </w:tcPr>
          <w:p w14:paraId="626FF06A" w14:textId="28485945" w:rsidR="00F87EC1" w:rsidRDefault="00F87EC1" w:rsidP="00F87EC1">
            <w:pPr>
              <w:pStyle w:val="MerknadTR"/>
              <w:spacing w:line="160" w:lineRule="exact"/>
              <w:jc w:val="right"/>
              <w:rPr>
                <w:sz w:val="14"/>
                <w:szCs w:val="14"/>
              </w:rPr>
            </w:pPr>
            <w:r>
              <w:rPr>
                <w:sz w:val="14"/>
                <w:szCs w:val="14"/>
              </w:rPr>
              <w:t>54,0/46,0</w:t>
            </w:r>
          </w:p>
        </w:tc>
        <w:tc>
          <w:tcPr>
            <w:tcW w:w="0" w:type="auto"/>
            <w:tcBorders>
              <w:top w:val="nil"/>
              <w:left w:val="nil"/>
              <w:bottom w:val="nil"/>
              <w:right w:val="nil"/>
            </w:tcBorders>
            <w:shd w:val="clear" w:color="auto" w:fill="F2F2F2" w:themeFill="background1" w:themeFillShade="F2"/>
          </w:tcPr>
          <w:p w14:paraId="6BA3F2D3" w14:textId="4761A914" w:rsidR="00F87EC1" w:rsidRDefault="00F87EC1" w:rsidP="00F87EC1">
            <w:pPr>
              <w:pStyle w:val="MerknadTR"/>
              <w:spacing w:line="160" w:lineRule="exact"/>
              <w:jc w:val="right"/>
              <w:rPr>
                <w:sz w:val="14"/>
                <w:szCs w:val="14"/>
              </w:rPr>
            </w:pPr>
            <w:r>
              <w:rPr>
                <w:sz w:val="14"/>
                <w:szCs w:val="14"/>
              </w:rPr>
              <w:t>54,0/46,0</w:t>
            </w:r>
          </w:p>
        </w:tc>
        <w:tc>
          <w:tcPr>
            <w:tcW w:w="0" w:type="auto"/>
            <w:tcBorders>
              <w:top w:val="nil"/>
              <w:left w:val="nil"/>
              <w:bottom w:val="nil"/>
              <w:right w:val="nil"/>
            </w:tcBorders>
            <w:shd w:val="clear" w:color="auto" w:fill="F2F2F2" w:themeFill="background1" w:themeFillShade="F2"/>
          </w:tcPr>
          <w:p w14:paraId="4C724504" w14:textId="21EF3704" w:rsidR="00F87EC1" w:rsidRDefault="006F2AE3" w:rsidP="00F87EC1">
            <w:pPr>
              <w:pStyle w:val="MerknadTR"/>
              <w:spacing w:line="160" w:lineRule="exact"/>
              <w:jc w:val="right"/>
              <w:rPr>
                <w:sz w:val="14"/>
                <w:szCs w:val="14"/>
              </w:rPr>
            </w:pPr>
            <w:r>
              <w:rPr>
                <w:sz w:val="14"/>
                <w:szCs w:val="14"/>
              </w:rPr>
              <w:t>54,4/45,6</w:t>
            </w:r>
          </w:p>
        </w:tc>
      </w:tr>
      <w:tr w:rsidR="00F87EC1" w:rsidRPr="001213F3" w14:paraId="79E8C221" w14:textId="77159B07" w:rsidTr="0041529F">
        <w:trPr>
          <w:trHeight w:hRule="exact" w:val="227"/>
        </w:trPr>
        <w:tc>
          <w:tcPr>
            <w:tcW w:w="0" w:type="auto"/>
            <w:tcBorders>
              <w:top w:val="nil"/>
              <w:left w:val="nil"/>
              <w:bottom w:val="nil"/>
              <w:right w:val="nil"/>
            </w:tcBorders>
            <w:shd w:val="clear" w:color="auto" w:fill="F2F2F2" w:themeFill="background1" w:themeFillShade="F2"/>
          </w:tcPr>
          <w:p w14:paraId="14B3BB5B"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3134C43D"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DDE5F3E"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E274C81" w14:textId="11F8B903"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2E94B1D" w14:textId="77777777" w:rsidR="00F87EC1" w:rsidRDefault="00F87EC1" w:rsidP="00F87EC1">
            <w:pPr>
              <w:pStyle w:val="MerknadTR"/>
              <w:spacing w:line="160" w:lineRule="exact"/>
              <w:jc w:val="right"/>
              <w:rPr>
                <w:sz w:val="14"/>
                <w:szCs w:val="14"/>
              </w:rPr>
            </w:pPr>
          </w:p>
        </w:tc>
      </w:tr>
      <w:tr w:rsidR="00F87EC1" w:rsidRPr="001213F3" w14:paraId="6F69E37C" w14:textId="28EF1B35" w:rsidTr="0041529F">
        <w:trPr>
          <w:trHeight w:hRule="exact" w:val="227"/>
        </w:trPr>
        <w:tc>
          <w:tcPr>
            <w:tcW w:w="0" w:type="auto"/>
            <w:tcBorders>
              <w:top w:val="nil"/>
              <w:left w:val="nil"/>
              <w:bottom w:val="nil"/>
              <w:right w:val="nil"/>
            </w:tcBorders>
            <w:shd w:val="clear" w:color="auto" w:fill="F2F2F2" w:themeFill="background1" w:themeFillShade="F2"/>
          </w:tcPr>
          <w:p w14:paraId="4C4910D2" w14:textId="77777777" w:rsidR="00F87EC1" w:rsidRPr="006024A7" w:rsidRDefault="00F87EC1" w:rsidP="00F87EC1">
            <w:pPr>
              <w:pStyle w:val="MerknadTR"/>
              <w:spacing w:line="160" w:lineRule="exact"/>
              <w:rPr>
                <w:b/>
                <w:sz w:val="14"/>
                <w:szCs w:val="14"/>
              </w:rPr>
            </w:pPr>
            <w:r w:rsidRPr="006024A7">
              <w:rPr>
                <w:b/>
                <w:sz w:val="14"/>
                <w:szCs w:val="14"/>
              </w:rPr>
              <w:t>Stillingsstruktur blant faglig personale</w:t>
            </w:r>
          </w:p>
          <w:p w14:paraId="430FFCAC"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68546074"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11DA029"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75D38FC" w14:textId="392CA75E"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77F39AEA" w14:textId="77777777" w:rsidR="00F87EC1" w:rsidRDefault="00F87EC1" w:rsidP="00F87EC1">
            <w:pPr>
              <w:pStyle w:val="MerknadTR"/>
              <w:spacing w:line="160" w:lineRule="exact"/>
              <w:jc w:val="right"/>
              <w:rPr>
                <w:sz w:val="14"/>
                <w:szCs w:val="14"/>
              </w:rPr>
            </w:pPr>
          </w:p>
        </w:tc>
      </w:tr>
      <w:tr w:rsidR="00F87EC1" w:rsidRPr="001213F3" w14:paraId="2BBBDCB5" w14:textId="4464502C" w:rsidTr="0041529F">
        <w:trPr>
          <w:trHeight w:hRule="exact" w:val="227"/>
        </w:trPr>
        <w:tc>
          <w:tcPr>
            <w:tcW w:w="0" w:type="auto"/>
            <w:tcBorders>
              <w:top w:val="nil"/>
              <w:left w:val="nil"/>
              <w:bottom w:val="nil"/>
              <w:right w:val="nil"/>
            </w:tcBorders>
            <w:shd w:val="clear" w:color="auto" w:fill="F2F2F2" w:themeFill="background1" w:themeFillShade="F2"/>
          </w:tcPr>
          <w:p w14:paraId="610EE6DD" w14:textId="77777777" w:rsidR="00F87EC1" w:rsidRPr="006024A7" w:rsidRDefault="00F87EC1" w:rsidP="00F87EC1">
            <w:pPr>
              <w:pStyle w:val="MerknadTR"/>
              <w:spacing w:line="160" w:lineRule="exact"/>
              <w:rPr>
                <w:sz w:val="14"/>
                <w:szCs w:val="14"/>
              </w:rPr>
            </w:pPr>
            <w:r w:rsidRPr="006024A7">
              <w:rPr>
                <w:sz w:val="14"/>
                <w:szCs w:val="14"/>
              </w:rPr>
              <w:t xml:space="preserve">Professorer </w:t>
            </w:r>
            <w:r>
              <w:rPr>
                <w:sz w:val="14"/>
                <w:szCs w:val="14"/>
              </w:rPr>
              <w:t>%</w:t>
            </w:r>
          </w:p>
          <w:p w14:paraId="75D93D8B"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7BCDF0A0" w14:textId="03DA5E6A" w:rsidR="00285B1F" w:rsidRDefault="00FA294B" w:rsidP="00F87EC1">
            <w:pPr>
              <w:pStyle w:val="MerknadTR"/>
              <w:spacing w:line="160" w:lineRule="exact"/>
              <w:jc w:val="right"/>
              <w:rPr>
                <w:sz w:val="14"/>
                <w:szCs w:val="14"/>
              </w:rPr>
            </w:pPr>
            <w:r>
              <w:rPr>
                <w:sz w:val="14"/>
                <w:szCs w:val="14"/>
              </w:rPr>
              <w:t>23,3</w:t>
            </w:r>
          </w:p>
        </w:tc>
        <w:tc>
          <w:tcPr>
            <w:tcW w:w="0" w:type="auto"/>
            <w:tcBorders>
              <w:top w:val="nil"/>
              <w:left w:val="nil"/>
              <w:bottom w:val="nil"/>
              <w:right w:val="nil"/>
            </w:tcBorders>
            <w:shd w:val="clear" w:color="auto" w:fill="F2F2F2" w:themeFill="background1" w:themeFillShade="F2"/>
          </w:tcPr>
          <w:p w14:paraId="540D7AEC" w14:textId="33A24D71" w:rsidR="00F87EC1" w:rsidRDefault="00F87EC1" w:rsidP="00F87EC1">
            <w:pPr>
              <w:pStyle w:val="MerknadTR"/>
              <w:spacing w:line="160" w:lineRule="exact"/>
              <w:jc w:val="right"/>
              <w:rPr>
                <w:sz w:val="14"/>
                <w:szCs w:val="14"/>
              </w:rPr>
            </w:pPr>
            <w:r>
              <w:rPr>
                <w:sz w:val="14"/>
                <w:szCs w:val="14"/>
              </w:rPr>
              <w:t>23,8</w:t>
            </w:r>
          </w:p>
        </w:tc>
        <w:tc>
          <w:tcPr>
            <w:tcW w:w="0" w:type="auto"/>
            <w:tcBorders>
              <w:top w:val="nil"/>
              <w:left w:val="nil"/>
              <w:bottom w:val="nil"/>
              <w:right w:val="nil"/>
            </w:tcBorders>
            <w:shd w:val="clear" w:color="auto" w:fill="F2F2F2" w:themeFill="background1" w:themeFillShade="F2"/>
          </w:tcPr>
          <w:p w14:paraId="2A1B03EB" w14:textId="7481AF74" w:rsidR="00F87EC1" w:rsidRDefault="00F87EC1" w:rsidP="00F87EC1">
            <w:pPr>
              <w:pStyle w:val="MerknadTR"/>
              <w:spacing w:line="160" w:lineRule="exact"/>
              <w:jc w:val="right"/>
              <w:rPr>
                <w:sz w:val="14"/>
                <w:szCs w:val="14"/>
              </w:rPr>
            </w:pPr>
            <w:r>
              <w:rPr>
                <w:sz w:val="14"/>
                <w:szCs w:val="14"/>
              </w:rPr>
              <w:t>23,6</w:t>
            </w:r>
          </w:p>
        </w:tc>
        <w:tc>
          <w:tcPr>
            <w:tcW w:w="0" w:type="auto"/>
            <w:tcBorders>
              <w:top w:val="nil"/>
              <w:left w:val="nil"/>
              <w:bottom w:val="nil"/>
              <w:right w:val="nil"/>
            </w:tcBorders>
            <w:shd w:val="clear" w:color="auto" w:fill="F2F2F2" w:themeFill="background1" w:themeFillShade="F2"/>
          </w:tcPr>
          <w:p w14:paraId="57646F3D" w14:textId="5B0FF290" w:rsidR="00F87EC1" w:rsidRDefault="00134BE4" w:rsidP="00F87EC1">
            <w:pPr>
              <w:pStyle w:val="MerknadTR"/>
              <w:spacing w:line="160" w:lineRule="exact"/>
              <w:jc w:val="right"/>
              <w:rPr>
                <w:sz w:val="14"/>
                <w:szCs w:val="14"/>
              </w:rPr>
            </w:pPr>
            <w:r>
              <w:rPr>
                <w:sz w:val="14"/>
                <w:szCs w:val="14"/>
              </w:rPr>
              <w:t>23,3</w:t>
            </w:r>
          </w:p>
        </w:tc>
      </w:tr>
      <w:tr w:rsidR="00F87EC1" w:rsidRPr="001213F3" w14:paraId="6457A748" w14:textId="438BEA6F" w:rsidTr="0041529F">
        <w:trPr>
          <w:trHeight w:hRule="exact" w:val="227"/>
        </w:trPr>
        <w:tc>
          <w:tcPr>
            <w:tcW w:w="0" w:type="auto"/>
            <w:tcBorders>
              <w:top w:val="nil"/>
              <w:left w:val="nil"/>
              <w:bottom w:val="nil"/>
              <w:right w:val="nil"/>
            </w:tcBorders>
            <w:shd w:val="clear" w:color="auto" w:fill="F2F2F2" w:themeFill="background1" w:themeFillShade="F2"/>
          </w:tcPr>
          <w:p w14:paraId="11B970B7" w14:textId="77777777" w:rsidR="00F87EC1" w:rsidRPr="006024A7" w:rsidRDefault="00F87EC1" w:rsidP="00F87EC1">
            <w:pPr>
              <w:pStyle w:val="MerknadTR"/>
              <w:spacing w:line="160" w:lineRule="exact"/>
              <w:rPr>
                <w:sz w:val="14"/>
                <w:szCs w:val="14"/>
              </w:rPr>
            </w:pPr>
            <w:r w:rsidRPr="006024A7">
              <w:rPr>
                <w:sz w:val="14"/>
                <w:szCs w:val="14"/>
              </w:rPr>
              <w:t xml:space="preserve">Førstestillinger (inkl. professorer) </w:t>
            </w:r>
            <w:r>
              <w:rPr>
                <w:sz w:val="14"/>
                <w:szCs w:val="14"/>
              </w:rPr>
              <w:t>%</w:t>
            </w:r>
          </w:p>
          <w:p w14:paraId="552BB6B7"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155F4FF2" w14:textId="6A64DB46" w:rsidR="00285B1F" w:rsidRDefault="00FA294B" w:rsidP="00F87EC1">
            <w:pPr>
              <w:pStyle w:val="MerknadTR"/>
              <w:spacing w:line="160" w:lineRule="exact"/>
              <w:jc w:val="right"/>
              <w:rPr>
                <w:sz w:val="14"/>
                <w:szCs w:val="14"/>
              </w:rPr>
            </w:pPr>
            <w:r>
              <w:rPr>
                <w:sz w:val="14"/>
                <w:szCs w:val="14"/>
              </w:rPr>
              <w:t>74,9</w:t>
            </w:r>
          </w:p>
        </w:tc>
        <w:tc>
          <w:tcPr>
            <w:tcW w:w="0" w:type="auto"/>
            <w:tcBorders>
              <w:top w:val="nil"/>
              <w:left w:val="nil"/>
              <w:bottom w:val="nil"/>
              <w:right w:val="nil"/>
            </w:tcBorders>
            <w:shd w:val="clear" w:color="auto" w:fill="F2F2F2" w:themeFill="background1" w:themeFillShade="F2"/>
          </w:tcPr>
          <w:p w14:paraId="7AD7F279" w14:textId="2E34F951" w:rsidR="00F87EC1" w:rsidRDefault="00F87EC1" w:rsidP="00F87EC1">
            <w:pPr>
              <w:pStyle w:val="MerknadTR"/>
              <w:spacing w:line="160" w:lineRule="exact"/>
              <w:jc w:val="right"/>
              <w:rPr>
                <w:sz w:val="14"/>
                <w:szCs w:val="14"/>
              </w:rPr>
            </w:pPr>
            <w:r>
              <w:rPr>
                <w:sz w:val="14"/>
                <w:szCs w:val="14"/>
              </w:rPr>
              <w:t>75,5</w:t>
            </w:r>
          </w:p>
        </w:tc>
        <w:tc>
          <w:tcPr>
            <w:tcW w:w="0" w:type="auto"/>
            <w:tcBorders>
              <w:top w:val="nil"/>
              <w:left w:val="nil"/>
              <w:bottom w:val="nil"/>
              <w:right w:val="nil"/>
            </w:tcBorders>
            <w:shd w:val="clear" w:color="auto" w:fill="F2F2F2" w:themeFill="background1" w:themeFillShade="F2"/>
          </w:tcPr>
          <w:p w14:paraId="090D6692" w14:textId="414D5BC9" w:rsidR="00F87EC1" w:rsidRDefault="00F87EC1" w:rsidP="00F87EC1">
            <w:pPr>
              <w:pStyle w:val="MerknadTR"/>
              <w:spacing w:line="160" w:lineRule="exact"/>
              <w:jc w:val="right"/>
              <w:rPr>
                <w:sz w:val="14"/>
                <w:szCs w:val="14"/>
              </w:rPr>
            </w:pPr>
            <w:r>
              <w:rPr>
                <w:sz w:val="14"/>
                <w:szCs w:val="14"/>
              </w:rPr>
              <w:t>75,5</w:t>
            </w:r>
          </w:p>
        </w:tc>
        <w:tc>
          <w:tcPr>
            <w:tcW w:w="0" w:type="auto"/>
            <w:tcBorders>
              <w:top w:val="nil"/>
              <w:left w:val="nil"/>
              <w:bottom w:val="nil"/>
              <w:right w:val="nil"/>
            </w:tcBorders>
            <w:shd w:val="clear" w:color="auto" w:fill="F2F2F2" w:themeFill="background1" w:themeFillShade="F2"/>
          </w:tcPr>
          <w:p w14:paraId="69AD8D72" w14:textId="399A9FD2" w:rsidR="00F87EC1" w:rsidRDefault="00850C4D" w:rsidP="00F87EC1">
            <w:pPr>
              <w:pStyle w:val="MerknadTR"/>
              <w:spacing w:line="160" w:lineRule="exact"/>
              <w:jc w:val="right"/>
              <w:rPr>
                <w:sz w:val="14"/>
                <w:szCs w:val="14"/>
              </w:rPr>
            </w:pPr>
            <w:r>
              <w:rPr>
                <w:sz w:val="14"/>
                <w:szCs w:val="14"/>
              </w:rPr>
              <w:t>75,8</w:t>
            </w:r>
          </w:p>
        </w:tc>
      </w:tr>
      <w:tr w:rsidR="00F87EC1" w:rsidRPr="001213F3" w14:paraId="204B3331" w14:textId="068F6BCA" w:rsidTr="0041529F">
        <w:trPr>
          <w:trHeight w:hRule="exact" w:val="227"/>
        </w:trPr>
        <w:tc>
          <w:tcPr>
            <w:tcW w:w="0" w:type="auto"/>
            <w:tcBorders>
              <w:top w:val="nil"/>
              <w:left w:val="nil"/>
              <w:bottom w:val="nil"/>
              <w:right w:val="nil"/>
            </w:tcBorders>
            <w:shd w:val="clear" w:color="auto" w:fill="F2F2F2" w:themeFill="background1" w:themeFillShade="F2"/>
          </w:tcPr>
          <w:p w14:paraId="7FF7ABF9" w14:textId="51791667" w:rsidR="00F87EC1" w:rsidRPr="00233DE1" w:rsidRDefault="00F87EC1" w:rsidP="00F87EC1">
            <w:pPr>
              <w:pStyle w:val="MerknadTR"/>
              <w:spacing w:line="160" w:lineRule="exact"/>
              <w:rPr>
                <w:sz w:val="14"/>
                <w:szCs w:val="14"/>
                <w:lang w:val="nn-NO"/>
              </w:rPr>
            </w:pPr>
            <w:proofErr w:type="spellStart"/>
            <w:r w:rsidRPr="00233DE1">
              <w:rPr>
                <w:sz w:val="14"/>
                <w:szCs w:val="14"/>
                <w:lang w:val="nn-NO"/>
              </w:rPr>
              <w:t>Stipendiater</w:t>
            </w:r>
            <w:proofErr w:type="spellEnd"/>
            <w:r w:rsidRPr="00233DE1">
              <w:rPr>
                <w:sz w:val="14"/>
                <w:szCs w:val="14"/>
                <w:lang w:val="nn-NO"/>
              </w:rPr>
              <w:t xml:space="preserve"> % (av </w:t>
            </w:r>
            <w:proofErr w:type="spellStart"/>
            <w:r w:rsidR="00285B1F" w:rsidRPr="00233DE1">
              <w:rPr>
                <w:sz w:val="14"/>
                <w:szCs w:val="14"/>
                <w:lang w:val="nn-NO"/>
              </w:rPr>
              <w:t>faglig</w:t>
            </w:r>
            <w:proofErr w:type="spellEnd"/>
            <w:r w:rsidR="00285B1F" w:rsidRPr="00233DE1">
              <w:rPr>
                <w:sz w:val="14"/>
                <w:szCs w:val="14"/>
                <w:lang w:val="nn-NO"/>
              </w:rPr>
              <w:t xml:space="preserve"> </w:t>
            </w:r>
            <w:proofErr w:type="spellStart"/>
            <w:r w:rsidR="00A86C89">
              <w:rPr>
                <w:sz w:val="14"/>
                <w:szCs w:val="14"/>
                <w:lang w:val="nn-NO"/>
              </w:rPr>
              <w:t>ansatte</w:t>
            </w:r>
            <w:proofErr w:type="spellEnd"/>
            <w:r w:rsidRPr="00233DE1">
              <w:rPr>
                <w:sz w:val="14"/>
                <w:szCs w:val="14"/>
                <w:lang w:val="nn-NO"/>
              </w:rPr>
              <w:t xml:space="preserve"> inkl</w:t>
            </w:r>
            <w:r w:rsidR="00FA72DD">
              <w:rPr>
                <w:sz w:val="14"/>
                <w:szCs w:val="14"/>
                <w:lang w:val="nn-NO"/>
              </w:rPr>
              <w:t>.</w:t>
            </w:r>
            <w:r w:rsidRPr="00233DE1">
              <w:rPr>
                <w:sz w:val="14"/>
                <w:szCs w:val="14"/>
                <w:lang w:val="nn-NO"/>
              </w:rPr>
              <w:t xml:space="preserve"> </w:t>
            </w:r>
            <w:proofErr w:type="spellStart"/>
            <w:r w:rsidRPr="00233DE1">
              <w:rPr>
                <w:sz w:val="14"/>
                <w:szCs w:val="14"/>
                <w:lang w:val="nn-NO"/>
              </w:rPr>
              <w:t>stipendiater</w:t>
            </w:r>
            <w:proofErr w:type="spellEnd"/>
            <w:r w:rsidRPr="00233DE1">
              <w:rPr>
                <w:sz w:val="14"/>
                <w:szCs w:val="14"/>
                <w:lang w:val="nn-NO"/>
              </w:rPr>
              <w:t xml:space="preserve">) </w:t>
            </w:r>
          </w:p>
          <w:p w14:paraId="100FB4A8" w14:textId="77777777" w:rsidR="00F87EC1" w:rsidRPr="00233DE1" w:rsidRDefault="00F87EC1" w:rsidP="00F87EC1">
            <w:pPr>
              <w:pStyle w:val="MerknadTR"/>
              <w:spacing w:line="160" w:lineRule="exact"/>
              <w:rPr>
                <w:sz w:val="14"/>
                <w:szCs w:val="14"/>
                <w:lang w:val="nn-NO"/>
              </w:rPr>
            </w:pPr>
          </w:p>
        </w:tc>
        <w:tc>
          <w:tcPr>
            <w:tcW w:w="0" w:type="auto"/>
            <w:tcBorders>
              <w:top w:val="nil"/>
              <w:left w:val="nil"/>
              <w:bottom w:val="nil"/>
              <w:right w:val="nil"/>
            </w:tcBorders>
            <w:shd w:val="clear" w:color="auto" w:fill="F2F2F2" w:themeFill="background1" w:themeFillShade="F2"/>
          </w:tcPr>
          <w:p w14:paraId="6A1A871C" w14:textId="180F2B10" w:rsidR="00285B1F" w:rsidRDefault="00FA294B" w:rsidP="00F87EC1">
            <w:pPr>
              <w:pStyle w:val="MerknadTR"/>
              <w:spacing w:line="160" w:lineRule="exact"/>
              <w:jc w:val="right"/>
              <w:rPr>
                <w:sz w:val="14"/>
                <w:szCs w:val="14"/>
              </w:rPr>
            </w:pPr>
            <w:r>
              <w:rPr>
                <w:sz w:val="14"/>
                <w:szCs w:val="14"/>
              </w:rPr>
              <w:t>23,9</w:t>
            </w:r>
          </w:p>
        </w:tc>
        <w:tc>
          <w:tcPr>
            <w:tcW w:w="0" w:type="auto"/>
            <w:tcBorders>
              <w:top w:val="nil"/>
              <w:left w:val="nil"/>
              <w:bottom w:val="nil"/>
              <w:right w:val="nil"/>
            </w:tcBorders>
            <w:shd w:val="clear" w:color="auto" w:fill="F2F2F2" w:themeFill="background1" w:themeFillShade="F2"/>
          </w:tcPr>
          <w:p w14:paraId="10C339AC" w14:textId="55F160FD" w:rsidR="00F87EC1" w:rsidRDefault="00285B1F" w:rsidP="00F87EC1">
            <w:pPr>
              <w:pStyle w:val="MerknadTR"/>
              <w:spacing w:line="160" w:lineRule="exact"/>
              <w:jc w:val="right"/>
              <w:rPr>
                <w:sz w:val="14"/>
                <w:szCs w:val="14"/>
              </w:rPr>
            </w:pPr>
            <w:r>
              <w:rPr>
                <w:sz w:val="14"/>
                <w:szCs w:val="14"/>
              </w:rPr>
              <w:t>2</w:t>
            </w:r>
            <w:r w:rsidR="00FA294B">
              <w:rPr>
                <w:sz w:val="14"/>
                <w:szCs w:val="14"/>
              </w:rPr>
              <w:t>3</w:t>
            </w:r>
            <w:r>
              <w:rPr>
                <w:sz w:val="14"/>
                <w:szCs w:val="14"/>
              </w:rPr>
              <w:t>,</w:t>
            </w:r>
            <w:r w:rsidR="00FA294B">
              <w:rPr>
                <w:sz w:val="14"/>
                <w:szCs w:val="14"/>
              </w:rPr>
              <w:t>9</w:t>
            </w:r>
          </w:p>
        </w:tc>
        <w:tc>
          <w:tcPr>
            <w:tcW w:w="0" w:type="auto"/>
            <w:tcBorders>
              <w:top w:val="nil"/>
              <w:left w:val="nil"/>
              <w:bottom w:val="nil"/>
              <w:right w:val="nil"/>
            </w:tcBorders>
            <w:shd w:val="clear" w:color="auto" w:fill="F2F2F2" w:themeFill="background1" w:themeFillShade="F2"/>
          </w:tcPr>
          <w:p w14:paraId="459250B8" w14:textId="3D939F04" w:rsidR="00F87EC1" w:rsidRDefault="00285B1F" w:rsidP="00F87EC1">
            <w:pPr>
              <w:pStyle w:val="MerknadTR"/>
              <w:spacing w:line="160" w:lineRule="exact"/>
              <w:jc w:val="right"/>
              <w:rPr>
                <w:sz w:val="14"/>
                <w:szCs w:val="14"/>
              </w:rPr>
            </w:pPr>
            <w:r>
              <w:rPr>
                <w:sz w:val="14"/>
                <w:szCs w:val="14"/>
              </w:rPr>
              <w:t>2</w:t>
            </w:r>
            <w:r w:rsidR="00FA294B">
              <w:rPr>
                <w:sz w:val="14"/>
                <w:szCs w:val="14"/>
              </w:rPr>
              <w:t>4</w:t>
            </w:r>
            <w:r>
              <w:rPr>
                <w:sz w:val="14"/>
                <w:szCs w:val="14"/>
              </w:rPr>
              <w:t>,</w:t>
            </w:r>
            <w:r w:rsidR="00FA294B">
              <w:rPr>
                <w:sz w:val="14"/>
                <w:szCs w:val="14"/>
              </w:rPr>
              <w:t>3</w:t>
            </w:r>
          </w:p>
        </w:tc>
        <w:tc>
          <w:tcPr>
            <w:tcW w:w="0" w:type="auto"/>
            <w:tcBorders>
              <w:top w:val="nil"/>
              <w:left w:val="nil"/>
              <w:bottom w:val="nil"/>
              <w:right w:val="nil"/>
            </w:tcBorders>
            <w:shd w:val="clear" w:color="auto" w:fill="F2F2F2" w:themeFill="background1" w:themeFillShade="F2"/>
          </w:tcPr>
          <w:p w14:paraId="4726D443" w14:textId="5401F9B3" w:rsidR="00F87EC1" w:rsidRDefault="00FA294B" w:rsidP="00F87EC1">
            <w:pPr>
              <w:pStyle w:val="MerknadTR"/>
              <w:spacing w:line="160" w:lineRule="exact"/>
              <w:jc w:val="right"/>
              <w:rPr>
                <w:sz w:val="14"/>
                <w:szCs w:val="14"/>
              </w:rPr>
            </w:pPr>
            <w:r>
              <w:rPr>
                <w:sz w:val="14"/>
                <w:szCs w:val="14"/>
              </w:rPr>
              <w:t>24,1</w:t>
            </w:r>
          </w:p>
        </w:tc>
      </w:tr>
      <w:tr w:rsidR="00F87EC1" w:rsidRPr="001213F3" w14:paraId="1258D5DD" w14:textId="2E98492A" w:rsidTr="0041529F">
        <w:trPr>
          <w:trHeight w:hRule="exact" w:val="227"/>
        </w:trPr>
        <w:tc>
          <w:tcPr>
            <w:tcW w:w="0" w:type="auto"/>
            <w:tcBorders>
              <w:top w:val="nil"/>
              <w:left w:val="nil"/>
              <w:bottom w:val="nil"/>
              <w:right w:val="nil"/>
            </w:tcBorders>
            <w:shd w:val="clear" w:color="auto" w:fill="F2F2F2" w:themeFill="background1" w:themeFillShade="F2"/>
          </w:tcPr>
          <w:p w14:paraId="542B4D87"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10AC188B"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11B5E8D"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C4A09C3" w14:textId="5A823AEC"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33BAB99" w14:textId="77777777" w:rsidR="00F87EC1" w:rsidRDefault="00F87EC1" w:rsidP="00F87EC1">
            <w:pPr>
              <w:pStyle w:val="MerknadTR"/>
              <w:spacing w:line="160" w:lineRule="exact"/>
              <w:jc w:val="right"/>
              <w:rPr>
                <w:sz w:val="14"/>
                <w:szCs w:val="14"/>
              </w:rPr>
            </w:pPr>
          </w:p>
        </w:tc>
      </w:tr>
      <w:tr w:rsidR="00F87EC1" w:rsidRPr="001213F3" w14:paraId="1276EF66" w14:textId="43CC5A25" w:rsidTr="0041529F">
        <w:trPr>
          <w:trHeight w:hRule="exact" w:val="227"/>
        </w:trPr>
        <w:tc>
          <w:tcPr>
            <w:tcW w:w="0" w:type="auto"/>
            <w:tcBorders>
              <w:top w:val="nil"/>
              <w:left w:val="nil"/>
              <w:bottom w:val="nil"/>
              <w:right w:val="nil"/>
            </w:tcBorders>
            <w:shd w:val="clear" w:color="auto" w:fill="F2F2F2" w:themeFill="background1" w:themeFillShade="F2"/>
          </w:tcPr>
          <w:p w14:paraId="77CADA8B" w14:textId="0585342F" w:rsidR="00F87EC1" w:rsidRPr="006024A7" w:rsidRDefault="00F87EC1" w:rsidP="00F87EC1">
            <w:pPr>
              <w:pStyle w:val="MerknadTR"/>
              <w:spacing w:line="160" w:lineRule="exact"/>
              <w:rPr>
                <w:b/>
                <w:sz w:val="14"/>
                <w:szCs w:val="14"/>
              </w:rPr>
            </w:pPr>
            <w:r w:rsidRPr="006024A7">
              <w:rPr>
                <w:b/>
                <w:sz w:val="14"/>
                <w:szCs w:val="14"/>
              </w:rPr>
              <w:t>Styre- og ledelsesmodell</w:t>
            </w:r>
          </w:p>
          <w:p w14:paraId="18373AB8"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7E3228CF"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56011407"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9D46DD4" w14:textId="60D13C3F"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1AB0F7E" w14:textId="77777777" w:rsidR="00F87EC1" w:rsidRDefault="00F87EC1" w:rsidP="00F87EC1">
            <w:pPr>
              <w:pStyle w:val="MerknadTR"/>
              <w:spacing w:line="160" w:lineRule="exact"/>
              <w:jc w:val="right"/>
              <w:rPr>
                <w:sz w:val="14"/>
                <w:szCs w:val="14"/>
              </w:rPr>
            </w:pPr>
          </w:p>
        </w:tc>
      </w:tr>
      <w:tr w:rsidR="00F87EC1" w:rsidRPr="001213F3" w14:paraId="4FA0EDB7" w14:textId="120C5AEC" w:rsidTr="0041529F">
        <w:trPr>
          <w:trHeight w:hRule="exact" w:val="227"/>
        </w:trPr>
        <w:tc>
          <w:tcPr>
            <w:tcW w:w="0" w:type="auto"/>
            <w:tcBorders>
              <w:top w:val="nil"/>
              <w:left w:val="nil"/>
              <w:bottom w:val="nil"/>
              <w:right w:val="nil"/>
            </w:tcBorders>
            <w:shd w:val="clear" w:color="auto" w:fill="F2F2F2" w:themeFill="background1" w:themeFillShade="F2"/>
          </w:tcPr>
          <w:p w14:paraId="6BCC53C7" w14:textId="77777777" w:rsidR="00F87EC1" w:rsidRPr="006024A7" w:rsidRDefault="00F87EC1" w:rsidP="00F87EC1">
            <w:pPr>
              <w:pStyle w:val="MerknadTR"/>
              <w:spacing w:line="160" w:lineRule="exact"/>
              <w:rPr>
                <w:sz w:val="14"/>
                <w:szCs w:val="14"/>
              </w:rPr>
            </w:pPr>
            <w:r w:rsidRPr="006024A7">
              <w:rPr>
                <w:sz w:val="14"/>
                <w:szCs w:val="14"/>
              </w:rPr>
              <w:t xml:space="preserve">Statlige institusjoner med valgt rektor </w:t>
            </w:r>
          </w:p>
          <w:p w14:paraId="5096672E"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6A6C6571" w14:textId="6BAD2A63" w:rsidR="00285B1F" w:rsidRDefault="008D3D10" w:rsidP="00F87EC1">
            <w:pPr>
              <w:pStyle w:val="MerknadTR"/>
              <w:spacing w:line="160" w:lineRule="exact"/>
              <w:jc w:val="right"/>
              <w:rPr>
                <w:sz w:val="14"/>
                <w:szCs w:val="14"/>
              </w:rPr>
            </w:pPr>
            <w:r>
              <w:rPr>
                <w:sz w:val="14"/>
                <w:szCs w:val="14"/>
              </w:rPr>
              <w:t>11</w:t>
            </w:r>
          </w:p>
        </w:tc>
        <w:tc>
          <w:tcPr>
            <w:tcW w:w="0" w:type="auto"/>
            <w:tcBorders>
              <w:top w:val="nil"/>
              <w:left w:val="nil"/>
              <w:bottom w:val="nil"/>
              <w:right w:val="nil"/>
            </w:tcBorders>
            <w:shd w:val="clear" w:color="auto" w:fill="F2F2F2" w:themeFill="background1" w:themeFillShade="F2"/>
          </w:tcPr>
          <w:p w14:paraId="7CFE8044" w14:textId="1E939A1A" w:rsidR="00F87EC1" w:rsidRDefault="00F87EC1" w:rsidP="00F87EC1">
            <w:pPr>
              <w:pStyle w:val="MerknadTR"/>
              <w:spacing w:line="160" w:lineRule="exact"/>
              <w:jc w:val="right"/>
              <w:rPr>
                <w:sz w:val="14"/>
                <w:szCs w:val="14"/>
              </w:rPr>
            </w:pPr>
            <w:r>
              <w:rPr>
                <w:sz w:val="14"/>
                <w:szCs w:val="14"/>
              </w:rPr>
              <w:t>11</w:t>
            </w:r>
          </w:p>
        </w:tc>
        <w:tc>
          <w:tcPr>
            <w:tcW w:w="0" w:type="auto"/>
            <w:tcBorders>
              <w:top w:val="nil"/>
              <w:left w:val="nil"/>
              <w:bottom w:val="nil"/>
              <w:right w:val="nil"/>
            </w:tcBorders>
            <w:shd w:val="clear" w:color="auto" w:fill="F2F2F2" w:themeFill="background1" w:themeFillShade="F2"/>
          </w:tcPr>
          <w:p w14:paraId="3501334B" w14:textId="1F8B9184" w:rsidR="00F87EC1" w:rsidRDefault="00F87EC1" w:rsidP="00F87EC1">
            <w:pPr>
              <w:pStyle w:val="MerknadTR"/>
              <w:spacing w:line="160" w:lineRule="exact"/>
              <w:jc w:val="right"/>
              <w:rPr>
                <w:sz w:val="14"/>
                <w:szCs w:val="14"/>
              </w:rPr>
            </w:pPr>
            <w:r>
              <w:rPr>
                <w:sz w:val="14"/>
                <w:szCs w:val="14"/>
              </w:rPr>
              <w:t>10</w:t>
            </w:r>
          </w:p>
        </w:tc>
        <w:tc>
          <w:tcPr>
            <w:tcW w:w="0" w:type="auto"/>
            <w:tcBorders>
              <w:top w:val="nil"/>
              <w:left w:val="nil"/>
              <w:bottom w:val="nil"/>
              <w:right w:val="nil"/>
            </w:tcBorders>
            <w:shd w:val="clear" w:color="auto" w:fill="F2F2F2" w:themeFill="background1" w:themeFillShade="F2"/>
          </w:tcPr>
          <w:p w14:paraId="7F08CA1A" w14:textId="3F14C7C4" w:rsidR="00F87EC1" w:rsidRDefault="002A4A3F" w:rsidP="00F87EC1">
            <w:pPr>
              <w:pStyle w:val="MerknadTR"/>
              <w:spacing w:line="160" w:lineRule="exact"/>
              <w:jc w:val="right"/>
              <w:rPr>
                <w:sz w:val="14"/>
                <w:szCs w:val="14"/>
              </w:rPr>
            </w:pPr>
            <w:r>
              <w:rPr>
                <w:sz w:val="14"/>
                <w:szCs w:val="14"/>
              </w:rPr>
              <w:t>10</w:t>
            </w:r>
          </w:p>
        </w:tc>
      </w:tr>
      <w:tr w:rsidR="00F87EC1" w:rsidRPr="001213F3" w14:paraId="33BDAE86" w14:textId="46CFCE0D" w:rsidTr="0041529F">
        <w:trPr>
          <w:trHeight w:hRule="exact" w:val="227"/>
        </w:trPr>
        <w:tc>
          <w:tcPr>
            <w:tcW w:w="0" w:type="auto"/>
            <w:tcBorders>
              <w:top w:val="nil"/>
              <w:left w:val="nil"/>
              <w:bottom w:val="nil"/>
              <w:right w:val="nil"/>
            </w:tcBorders>
            <w:shd w:val="clear" w:color="auto" w:fill="F2F2F2" w:themeFill="background1" w:themeFillShade="F2"/>
          </w:tcPr>
          <w:p w14:paraId="0EDD256C" w14:textId="51559DF7" w:rsidR="00F87EC1" w:rsidRPr="006024A7" w:rsidRDefault="00F87EC1" w:rsidP="00F87EC1">
            <w:pPr>
              <w:pStyle w:val="MerknadTR"/>
              <w:spacing w:line="160" w:lineRule="exact"/>
              <w:rPr>
                <w:sz w:val="14"/>
                <w:szCs w:val="14"/>
              </w:rPr>
            </w:pPr>
            <w:r w:rsidRPr="006024A7">
              <w:rPr>
                <w:sz w:val="14"/>
                <w:szCs w:val="14"/>
              </w:rPr>
              <w:t>Statlige institusjoner med ansatt rektor</w:t>
            </w:r>
            <w:r>
              <w:rPr>
                <w:sz w:val="14"/>
                <w:szCs w:val="14"/>
              </w:rPr>
              <w:t xml:space="preserve"> og ekstern styreleder</w:t>
            </w:r>
          </w:p>
          <w:p w14:paraId="13595F78"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E77C133" w14:textId="4F2298FC" w:rsidR="00285B1F" w:rsidRDefault="008D3D10" w:rsidP="00F87EC1">
            <w:pPr>
              <w:pStyle w:val="MerknadTR"/>
              <w:spacing w:line="160" w:lineRule="exact"/>
              <w:jc w:val="right"/>
              <w:rPr>
                <w:sz w:val="14"/>
                <w:szCs w:val="14"/>
              </w:rPr>
            </w:pPr>
            <w:r>
              <w:rPr>
                <w:sz w:val="14"/>
                <w:szCs w:val="14"/>
              </w:rPr>
              <w:t>10</w:t>
            </w:r>
          </w:p>
        </w:tc>
        <w:tc>
          <w:tcPr>
            <w:tcW w:w="0" w:type="auto"/>
            <w:tcBorders>
              <w:top w:val="nil"/>
              <w:left w:val="nil"/>
              <w:bottom w:val="nil"/>
              <w:right w:val="nil"/>
            </w:tcBorders>
            <w:shd w:val="clear" w:color="auto" w:fill="F2F2F2" w:themeFill="background1" w:themeFillShade="F2"/>
          </w:tcPr>
          <w:p w14:paraId="50A95EDA" w14:textId="485A4606" w:rsidR="00F87EC1" w:rsidRDefault="00F87EC1" w:rsidP="00F87EC1">
            <w:pPr>
              <w:pStyle w:val="MerknadTR"/>
              <w:spacing w:line="160" w:lineRule="exact"/>
              <w:jc w:val="right"/>
              <w:rPr>
                <w:sz w:val="14"/>
                <w:szCs w:val="14"/>
              </w:rPr>
            </w:pPr>
            <w:r>
              <w:rPr>
                <w:sz w:val="14"/>
                <w:szCs w:val="14"/>
              </w:rPr>
              <w:t>10</w:t>
            </w:r>
          </w:p>
        </w:tc>
        <w:tc>
          <w:tcPr>
            <w:tcW w:w="0" w:type="auto"/>
            <w:tcBorders>
              <w:top w:val="nil"/>
              <w:left w:val="nil"/>
              <w:bottom w:val="nil"/>
              <w:right w:val="nil"/>
            </w:tcBorders>
            <w:shd w:val="clear" w:color="auto" w:fill="F2F2F2" w:themeFill="background1" w:themeFillShade="F2"/>
          </w:tcPr>
          <w:p w14:paraId="66B046F9" w14:textId="4A3D428C" w:rsidR="00F87EC1" w:rsidRDefault="00F87EC1" w:rsidP="00F87EC1">
            <w:pPr>
              <w:pStyle w:val="MerknadTR"/>
              <w:spacing w:line="160" w:lineRule="exact"/>
              <w:jc w:val="right"/>
              <w:rPr>
                <w:sz w:val="14"/>
                <w:szCs w:val="14"/>
              </w:rPr>
            </w:pPr>
            <w:r>
              <w:rPr>
                <w:sz w:val="14"/>
                <w:szCs w:val="14"/>
              </w:rPr>
              <w:t>11</w:t>
            </w:r>
          </w:p>
        </w:tc>
        <w:tc>
          <w:tcPr>
            <w:tcW w:w="0" w:type="auto"/>
            <w:tcBorders>
              <w:top w:val="nil"/>
              <w:left w:val="nil"/>
              <w:bottom w:val="nil"/>
              <w:right w:val="nil"/>
            </w:tcBorders>
            <w:shd w:val="clear" w:color="auto" w:fill="F2F2F2" w:themeFill="background1" w:themeFillShade="F2"/>
          </w:tcPr>
          <w:p w14:paraId="2D20A184" w14:textId="11E33087" w:rsidR="00F87EC1" w:rsidRDefault="002A4A3F" w:rsidP="00F87EC1">
            <w:pPr>
              <w:pStyle w:val="MerknadTR"/>
              <w:spacing w:line="160" w:lineRule="exact"/>
              <w:jc w:val="right"/>
              <w:rPr>
                <w:sz w:val="14"/>
                <w:szCs w:val="14"/>
              </w:rPr>
            </w:pPr>
            <w:r>
              <w:rPr>
                <w:sz w:val="14"/>
                <w:szCs w:val="14"/>
              </w:rPr>
              <w:t>11</w:t>
            </w:r>
          </w:p>
        </w:tc>
      </w:tr>
      <w:tr w:rsidR="00F87EC1" w:rsidRPr="001213F3" w14:paraId="2808CBB5" w14:textId="45548593" w:rsidTr="0041529F">
        <w:trPr>
          <w:trHeight w:hRule="exact" w:val="227"/>
        </w:trPr>
        <w:tc>
          <w:tcPr>
            <w:tcW w:w="0" w:type="auto"/>
            <w:tcBorders>
              <w:top w:val="nil"/>
              <w:left w:val="nil"/>
              <w:bottom w:val="nil"/>
              <w:right w:val="nil"/>
            </w:tcBorders>
            <w:shd w:val="clear" w:color="auto" w:fill="F2F2F2" w:themeFill="background1" w:themeFillShade="F2"/>
          </w:tcPr>
          <w:p w14:paraId="747BB5E5" w14:textId="622F924A" w:rsidR="00F87EC1" w:rsidRPr="006024A7" w:rsidRDefault="00F87EC1" w:rsidP="00F87EC1">
            <w:pPr>
              <w:pStyle w:val="MerknadTR"/>
              <w:spacing w:line="160" w:lineRule="exact"/>
              <w:rPr>
                <w:sz w:val="14"/>
                <w:szCs w:val="14"/>
              </w:rPr>
            </w:pPr>
            <w:r w:rsidRPr="006024A7">
              <w:rPr>
                <w:sz w:val="14"/>
                <w:szCs w:val="14"/>
              </w:rPr>
              <w:t xml:space="preserve">Ekstern styreleder private </w:t>
            </w:r>
            <w:proofErr w:type="spellStart"/>
            <w:r w:rsidRPr="006024A7">
              <w:rPr>
                <w:sz w:val="14"/>
                <w:szCs w:val="14"/>
              </w:rPr>
              <w:t>inst</w:t>
            </w:r>
            <w:proofErr w:type="spellEnd"/>
            <w:r w:rsidRPr="006024A7">
              <w:rPr>
                <w:sz w:val="14"/>
                <w:szCs w:val="14"/>
              </w:rPr>
              <w:t>. m/bevilgn</w:t>
            </w:r>
            <w:r>
              <w:rPr>
                <w:sz w:val="14"/>
                <w:szCs w:val="14"/>
              </w:rPr>
              <w:t xml:space="preserve">ing </w:t>
            </w:r>
            <w:r w:rsidRPr="006024A7">
              <w:rPr>
                <w:sz w:val="14"/>
                <w:szCs w:val="14"/>
              </w:rPr>
              <w:t>KD</w:t>
            </w:r>
          </w:p>
          <w:p w14:paraId="0729AB17"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692CDC32" w14:textId="15F9F3F3" w:rsidR="00285B1F" w:rsidRDefault="008D3D10" w:rsidP="00F87EC1">
            <w:pPr>
              <w:pStyle w:val="MerknadTR"/>
              <w:spacing w:line="160" w:lineRule="exact"/>
              <w:jc w:val="right"/>
              <w:rPr>
                <w:sz w:val="14"/>
                <w:szCs w:val="14"/>
              </w:rPr>
            </w:pPr>
            <w:r>
              <w:rPr>
                <w:sz w:val="14"/>
                <w:szCs w:val="14"/>
              </w:rPr>
              <w:t>15</w:t>
            </w:r>
          </w:p>
        </w:tc>
        <w:tc>
          <w:tcPr>
            <w:tcW w:w="0" w:type="auto"/>
            <w:tcBorders>
              <w:top w:val="nil"/>
              <w:left w:val="nil"/>
              <w:bottom w:val="nil"/>
              <w:right w:val="nil"/>
            </w:tcBorders>
            <w:shd w:val="clear" w:color="auto" w:fill="F2F2F2" w:themeFill="background1" w:themeFillShade="F2"/>
          </w:tcPr>
          <w:p w14:paraId="5FDD84E5" w14:textId="2B2EE40E" w:rsidR="00F87EC1" w:rsidRDefault="00F87EC1" w:rsidP="00F87EC1">
            <w:pPr>
              <w:pStyle w:val="MerknadTR"/>
              <w:spacing w:line="160" w:lineRule="exact"/>
              <w:jc w:val="right"/>
              <w:rPr>
                <w:sz w:val="14"/>
                <w:szCs w:val="14"/>
              </w:rPr>
            </w:pPr>
            <w:r>
              <w:rPr>
                <w:sz w:val="14"/>
                <w:szCs w:val="14"/>
              </w:rPr>
              <w:t>15</w:t>
            </w:r>
          </w:p>
        </w:tc>
        <w:tc>
          <w:tcPr>
            <w:tcW w:w="0" w:type="auto"/>
            <w:tcBorders>
              <w:top w:val="nil"/>
              <w:left w:val="nil"/>
              <w:bottom w:val="nil"/>
              <w:right w:val="nil"/>
            </w:tcBorders>
            <w:shd w:val="clear" w:color="auto" w:fill="F2F2F2" w:themeFill="background1" w:themeFillShade="F2"/>
          </w:tcPr>
          <w:p w14:paraId="64955265" w14:textId="40EFB5D7" w:rsidR="00F87EC1" w:rsidRDefault="00F87EC1" w:rsidP="00F87EC1">
            <w:pPr>
              <w:pStyle w:val="MerknadTR"/>
              <w:spacing w:line="160" w:lineRule="exact"/>
              <w:jc w:val="right"/>
              <w:rPr>
                <w:sz w:val="14"/>
                <w:szCs w:val="14"/>
              </w:rPr>
            </w:pPr>
            <w:r>
              <w:rPr>
                <w:sz w:val="14"/>
                <w:szCs w:val="14"/>
              </w:rPr>
              <w:t>15</w:t>
            </w:r>
          </w:p>
        </w:tc>
        <w:tc>
          <w:tcPr>
            <w:tcW w:w="0" w:type="auto"/>
            <w:tcBorders>
              <w:top w:val="nil"/>
              <w:left w:val="nil"/>
              <w:bottom w:val="nil"/>
              <w:right w:val="nil"/>
            </w:tcBorders>
            <w:shd w:val="clear" w:color="auto" w:fill="F2F2F2" w:themeFill="background1" w:themeFillShade="F2"/>
          </w:tcPr>
          <w:p w14:paraId="56952F3E" w14:textId="72B41E06" w:rsidR="00F87EC1" w:rsidRDefault="002A4A3F" w:rsidP="00F87EC1">
            <w:pPr>
              <w:pStyle w:val="MerknadTR"/>
              <w:spacing w:line="160" w:lineRule="exact"/>
              <w:jc w:val="right"/>
              <w:rPr>
                <w:sz w:val="14"/>
                <w:szCs w:val="14"/>
              </w:rPr>
            </w:pPr>
            <w:r>
              <w:rPr>
                <w:sz w:val="14"/>
                <w:szCs w:val="14"/>
              </w:rPr>
              <w:t>15</w:t>
            </w:r>
          </w:p>
        </w:tc>
      </w:tr>
      <w:tr w:rsidR="00F87EC1" w:rsidRPr="001213F3" w14:paraId="6B94E0B5" w14:textId="63851EB3" w:rsidTr="0041529F">
        <w:trPr>
          <w:trHeight w:hRule="exact" w:val="227"/>
        </w:trPr>
        <w:tc>
          <w:tcPr>
            <w:tcW w:w="0" w:type="auto"/>
            <w:tcBorders>
              <w:top w:val="nil"/>
              <w:left w:val="nil"/>
              <w:bottom w:val="nil"/>
              <w:right w:val="nil"/>
            </w:tcBorders>
            <w:shd w:val="clear" w:color="auto" w:fill="F2F2F2" w:themeFill="background1" w:themeFillShade="F2"/>
          </w:tcPr>
          <w:p w14:paraId="23339D2D"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519F8FD7"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547655F"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E219AF9" w14:textId="099647A6"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04F79E8F" w14:textId="77777777" w:rsidR="00F87EC1" w:rsidRDefault="00F87EC1" w:rsidP="00F87EC1">
            <w:pPr>
              <w:pStyle w:val="MerknadTR"/>
              <w:spacing w:line="160" w:lineRule="exact"/>
              <w:jc w:val="right"/>
              <w:rPr>
                <w:sz w:val="14"/>
                <w:szCs w:val="14"/>
              </w:rPr>
            </w:pPr>
          </w:p>
        </w:tc>
      </w:tr>
      <w:tr w:rsidR="00F87EC1" w:rsidRPr="001213F3" w14:paraId="44C3E02D" w14:textId="513B6991" w:rsidTr="0041529F">
        <w:trPr>
          <w:trHeight w:hRule="exact" w:val="227"/>
        </w:trPr>
        <w:tc>
          <w:tcPr>
            <w:tcW w:w="0" w:type="auto"/>
            <w:tcBorders>
              <w:top w:val="nil"/>
              <w:left w:val="nil"/>
              <w:bottom w:val="nil"/>
              <w:right w:val="nil"/>
            </w:tcBorders>
            <w:shd w:val="clear" w:color="auto" w:fill="F2F2F2" w:themeFill="background1" w:themeFillShade="F2"/>
          </w:tcPr>
          <w:p w14:paraId="297C0A05" w14:textId="77777777" w:rsidR="00F87EC1" w:rsidRPr="006024A7" w:rsidRDefault="00F87EC1" w:rsidP="00F87EC1">
            <w:pPr>
              <w:pStyle w:val="MerknadTR"/>
              <w:spacing w:line="160" w:lineRule="exact"/>
              <w:rPr>
                <w:b/>
                <w:sz w:val="14"/>
                <w:szCs w:val="14"/>
              </w:rPr>
            </w:pPr>
            <w:r w:rsidRPr="006024A7">
              <w:rPr>
                <w:b/>
                <w:sz w:val="14"/>
                <w:szCs w:val="14"/>
              </w:rPr>
              <w:t>Finansielle ressurser</w:t>
            </w:r>
            <w:r>
              <w:rPr>
                <w:b/>
                <w:sz w:val="14"/>
                <w:szCs w:val="14"/>
              </w:rPr>
              <w:t xml:space="preserve"> (i mrd. kroner)</w:t>
            </w:r>
          </w:p>
          <w:p w14:paraId="24C32278" w14:textId="77777777" w:rsidR="00F87EC1" w:rsidRPr="006024A7" w:rsidRDefault="00F87EC1" w:rsidP="00F87EC1">
            <w:pPr>
              <w:pStyle w:val="MerknadTR"/>
              <w:spacing w:line="160" w:lineRule="exact"/>
              <w:rPr>
                <w:sz w:val="14"/>
                <w:szCs w:val="14"/>
              </w:rPr>
            </w:pPr>
          </w:p>
        </w:tc>
        <w:tc>
          <w:tcPr>
            <w:tcW w:w="0" w:type="auto"/>
            <w:tcBorders>
              <w:top w:val="nil"/>
              <w:left w:val="nil"/>
              <w:bottom w:val="nil"/>
              <w:right w:val="nil"/>
            </w:tcBorders>
            <w:shd w:val="clear" w:color="auto" w:fill="F2F2F2" w:themeFill="background1" w:themeFillShade="F2"/>
          </w:tcPr>
          <w:p w14:paraId="1FB57ED6"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4B081052"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D0E1D86" w14:textId="33B1E76D"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6F4DC580" w14:textId="77777777" w:rsidR="00F87EC1" w:rsidRDefault="00F87EC1" w:rsidP="00F87EC1">
            <w:pPr>
              <w:pStyle w:val="MerknadTR"/>
              <w:spacing w:line="160" w:lineRule="exact"/>
              <w:jc w:val="right"/>
              <w:rPr>
                <w:sz w:val="14"/>
                <w:szCs w:val="14"/>
              </w:rPr>
            </w:pPr>
          </w:p>
        </w:tc>
      </w:tr>
      <w:tr w:rsidR="00F87EC1" w:rsidRPr="001213F3" w14:paraId="4DB18727" w14:textId="6324DB5C" w:rsidTr="0041529F">
        <w:trPr>
          <w:trHeight w:hRule="exact" w:val="227"/>
        </w:trPr>
        <w:tc>
          <w:tcPr>
            <w:tcW w:w="0" w:type="auto"/>
            <w:tcBorders>
              <w:top w:val="nil"/>
              <w:left w:val="nil"/>
              <w:bottom w:val="nil"/>
              <w:right w:val="nil"/>
            </w:tcBorders>
            <w:shd w:val="clear" w:color="auto" w:fill="F2F2F2" w:themeFill="background1" w:themeFillShade="F2"/>
          </w:tcPr>
          <w:p w14:paraId="2E9AB631" w14:textId="77777777" w:rsidR="00F87EC1" w:rsidRPr="006024A7" w:rsidRDefault="00F87EC1" w:rsidP="00F87EC1">
            <w:pPr>
              <w:pStyle w:val="MerknadTR"/>
              <w:spacing w:line="160" w:lineRule="exact"/>
              <w:rPr>
                <w:b/>
                <w:i/>
                <w:sz w:val="14"/>
                <w:szCs w:val="14"/>
              </w:rPr>
            </w:pPr>
            <w:r w:rsidRPr="006024A7">
              <w:rPr>
                <w:b/>
                <w:i/>
                <w:sz w:val="14"/>
                <w:szCs w:val="14"/>
              </w:rPr>
              <w:t>Statlige institusjoner</w:t>
            </w:r>
          </w:p>
          <w:p w14:paraId="7F162D2C" w14:textId="77777777" w:rsidR="00F87EC1" w:rsidRPr="006024A7" w:rsidRDefault="00F87EC1" w:rsidP="00F87EC1">
            <w:pPr>
              <w:pStyle w:val="MerknadTR"/>
              <w:spacing w:line="160" w:lineRule="exact"/>
              <w:rPr>
                <w:b/>
                <w:sz w:val="14"/>
                <w:szCs w:val="14"/>
              </w:rPr>
            </w:pPr>
          </w:p>
        </w:tc>
        <w:tc>
          <w:tcPr>
            <w:tcW w:w="0" w:type="auto"/>
            <w:tcBorders>
              <w:top w:val="nil"/>
              <w:left w:val="nil"/>
              <w:bottom w:val="nil"/>
              <w:right w:val="nil"/>
            </w:tcBorders>
            <w:shd w:val="clear" w:color="auto" w:fill="F2F2F2" w:themeFill="background1" w:themeFillShade="F2"/>
          </w:tcPr>
          <w:p w14:paraId="2A0EF2EC" w14:textId="77777777" w:rsidR="00285B1F" w:rsidRDefault="00285B1F"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2BC36166" w14:textId="77777777"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0CFE9B2" w14:textId="6F0EF469" w:rsidR="00F87EC1" w:rsidRDefault="00F87EC1" w:rsidP="00F87EC1">
            <w:pPr>
              <w:pStyle w:val="MerknadTR"/>
              <w:spacing w:line="160" w:lineRule="exact"/>
              <w:jc w:val="right"/>
              <w:rPr>
                <w:sz w:val="14"/>
                <w:szCs w:val="14"/>
              </w:rPr>
            </w:pPr>
          </w:p>
        </w:tc>
        <w:tc>
          <w:tcPr>
            <w:tcW w:w="0" w:type="auto"/>
            <w:tcBorders>
              <w:top w:val="nil"/>
              <w:left w:val="nil"/>
              <w:bottom w:val="nil"/>
              <w:right w:val="nil"/>
            </w:tcBorders>
            <w:shd w:val="clear" w:color="auto" w:fill="F2F2F2" w:themeFill="background1" w:themeFillShade="F2"/>
          </w:tcPr>
          <w:p w14:paraId="18004E49" w14:textId="77777777" w:rsidR="00F87EC1" w:rsidRDefault="00F87EC1" w:rsidP="00F87EC1">
            <w:pPr>
              <w:pStyle w:val="MerknadTR"/>
              <w:spacing w:line="160" w:lineRule="exact"/>
              <w:jc w:val="right"/>
              <w:rPr>
                <w:sz w:val="14"/>
                <w:szCs w:val="14"/>
              </w:rPr>
            </w:pPr>
          </w:p>
        </w:tc>
      </w:tr>
      <w:tr w:rsidR="00F87EC1" w:rsidRPr="001213F3" w14:paraId="055F7F1D" w14:textId="5828BABE" w:rsidTr="0041529F">
        <w:trPr>
          <w:trHeight w:hRule="exact" w:val="227"/>
        </w:trPr>
        <w:tc>
          <w:tcPr>
            <w:tcW w:w="0" w:type="auto"/>
            <w:tcBorders>
              <w:top w:val="nil"/>
              <w:left w:val="nil"/>
              <w:bottom w:val="nil"/>
              <w:right w:val="nil"/>
            </w:tcBorders>
            <w:shd w:val="clear" w:color="auto" w:fill="F2F2F2" w:themeFill="background1" w:themeFillShade="F2"/>
          </w:tcPr>
          <w:p w14:paraId="6493FC98" w14:textId="3B9C2100" w:rsidR="00F87EC1" w:rsidRPr="006024A7" w:rsidRDefault="00F87EC1" w:rsidP="00F87EC1">
            <w:pPr>
              <w:pStyle w:val="MerknadTR"/>
              <w:spacing w:line="160" w:lineRule="exact"/>
              <w:rPr>
                <w:b/>
                <w:i/>
                <w:sz w:val="14"/>
                <w:szCs w:val="14"/>
              </w:rPr>
            </w:pPr>
            <w:r>
              <w:rPr>
                <w:sz w:val="14"/>
                <w:szCs w:val="14"/>
              </w:rPr>
              <w:t>Bevilgning</w:t>
            </w:r>
          </w:p>
        </w:tc>
        <w:tc>
          <w:tcPr>
            <w:tcW w:w="0" w:type="auto"/>
            <w:tcBorders>
              <w:top w:val="nil"/>
              <w:left w:val="nil"/>
              <w:bottom w:val="nil"/>
              <w:right w:val="nil"/>
            </w:tcBorders>
            <w:shd w:val="clear" w:color="auto" w:fill="F2F2F2" w:themeFill="background1" w:themeFillShade="F2"/>
          </w:tcPr>
          <w:p w14:paraId="025AE729" w14:textId="6C567E4A" w:rsidR="00285B1F" w:rsidRDefault="00EB27D9" w:rsidP="00F87EC1">
            <w:pPr>
              <w:pStyle w:val="MerknadTR"/>
              <w:spacing w:line="160" w:lineRule="exact"/>
              <w:jc w:val="right"/>
              <w:rPr>
                <w:sz w:val="14"/>
                <w:szCs w:val="14"/>
              </w:rPr>
            </w:pPr>
            <w:r>
              <w:rPr>
                <w:sz w:val="14"/>
                <w:szCs w:val="14"/>
              </w:rPr>
              <w:t>35,8</w:t>
            </w:r>
          </w:p>
        </w:tc>
        <w:tc>
          <w:tcPr>
            <w:tcW w:w="0" w:type="auto"/>
            <w:tcBorders>
              <w:top w:val="nil"/>
              <w:left w:val="nil"/>
              <w:bottom w:val="nil"/>
              <w:right w:val="nil"/>
            </w:tcBorders>
            <w:shd w:val="clear" w:color="auto" w:fill="F2F2F2" w:themeFill="background1" w:themeFillShade="F2"/>
          </w:tcPr>
          <w:p w14:paraId="6651E93A" w14:textId="23903AFC" w:rsidR="00F87EC1" w:rsidRDefault="00F87EC1" w:rsidP="00F87EC1">
            <w:pPr>
              <w:pStyle w:val="MerknadTR"/>
              <w:spacing w:line="160" w:lineRule="exact"/>
              <w:jc w:val="right"/>
              <w:rPr>
                <w:sz w:val="14"/>
                <w:szCs w:val="14"/>
              </w:rPr>
            </w:pPr>
            <w:r>
              <w:rPr>
                <w:sz w:val="14"/>
                <w:szCs w:val="14"/>
              </w:rPr>
              <w:t>37,</w:t>
            </w:r>
            <w:r w:rsidR="00EC399D">
              <w:rPr>
                <w:sz w:val="14"/>
                <w:szCs w:val="14"/>
              </w:rPr>
              <w:t>8</w:t>
            </w:r>
          </w:p>
        </w:tc>
        <w:tc>
          <w:tcPr>
            <w:tcW w:w="0" w:type="auto"/>
            <w:tcBorders>
              <w:top w:val="nil"/>
              <w:left w:val="nil"/>
              <w:bottom w:val="nil"/>
              <w:right w:val="nil"/>
            </w:tcBorders>
            <w:shd w:val="clear" w:color="auto" w:fill="F2F2F2" w:themeFill="background1" w:themeFillShade="F2"/>
          </w:tcPr>
          <w:p w14:paraId="1C4E487C" w14:textId="38E1B49F" w:rsidR="00F87EC1" w:rsidRDefault="00EC399D" w:rsidP="00F87EC1">
            <w:pPr>
              <w:pStyle w:val="MerknadTR"/>
              <w:spacing w:line="160" w:lineRule="exact"/>
              <w:jc w:val="right"/>
              <w:rPr>
                <w:sz w:val="14"/>
                <w:szCs w:val="14"/>
              </w:rPr>
            </w:pPr>
            <w:r>
              <w:rPr>
                <w:sz w:val="14"/>
                <w:szCs w:val="14"/>
              </w:rPr>
              <w:t>40</w:t>
            </w:r>
            <w:r w:rsidR="00285B1F">
              <w:rPr>
                <w:sz w:val="14"/>
                <w:szCs w:val="14"/>
              </w:rPr>
              <w:t>,</w:t>
            </w:r>
            <w:r>
              <w:rPr>
                <w:sz w:val="14"/>
                <w:szCs w:val="14"/>
              </w:rPr>
              <w:t>1</w:t>
            </w:r>
          </w:p>
        </w:tc>
        <w:tc>
          <w:tcPr>
            <w:tcW w:w="0" w:type="auto"/>
            <w:tcBorders>
              <w:top w:val="nil"/>
              <w:left w:val="nil"/>
              <w:bottom w:val="nil"/>
              <w:right w:val="nil"/>
            </w:tcBorders>
            <w:shd w:val="clear" w:color="auto" w:fill="F2F2F2" w:themeFill="background1" w:themeFillShade="F2"/>
          </w:tcPr>
          <w:p w14:paraId="2D90F067" w14:textId="4BD1FFA9" w:rsidR="00F87EC1" w:rsidRDefault="00EC399D" w:rsidP="00F87EC1">
            <w:pPr>
              <w:pStyle w:val="MerknadTR"/>
              <w:spacing w:line="160" w:lineRule="exact"/>
              <w:jc w:val="right"/>
              <w:rPr>
                <w:sz w:val="14"/>
                <w:szCs w:val="14"/>
              </w:rPr>
            </w:pPr>
            <w:r>
              <w:rPr>
                <w:sz w:val="14"/>
                <w:szCs w:val="14"/>
              </w:rPr>
              <w:t>41</w:t>
            </w:r>
            <w:r w:rsidR="00285B1F">
              <w:rPr>
                <w:sz w:val="14"/>
                <w:szCs w:val="14"/>
              </w:rPr>
              <w:t>,</w:t>
            </w:r>
            <w:r>
              <w:rPr>
                <w:sz w:val="14"/>
                <w:szCs w:val="14"/>
              </w:rPr>
              <w:t>2</w:t>
            </w:r>
          </w:p>
        </w:tc>
      </w:tr>
      <w:tr w:rsidR="00F87EC1" w:rsidRPr="001213F3" w14:paraId="2D718627" w14:textId="66DD9B24" w:rsidTr="0041529F">
        <w:trPr>
          <w:trHeight w:hRule="exact" w:val="227"/>
        </w:trPr>
        <w:tc>
          <w:tcPr>
            <w:tcW w:w="0" w:type="auto"/>
            <w:tcBorders>
              <w:top w:val="nil"/>
              <w:left w:val="nil"/>
              <w:bottom w:val="nil"/>
              <w:right w:val="nil"/>
            </w:tcBorders>
            <w:shd w:val="clear" w:color="auto" w:fill="F2F2F2" w:themeFill="background1" w:themeFillShade="F2"/>
          </w:tcPr>
          <w:p w14:paraId="534B12E0" w14:textId="77345FEE" w:rsidR="00F87EC1" w:rsidRDefault="00F87EC1" w:rsidP="00F87EC1">
            <w:pPr>
              <w:pStyle w:val="MerknadTR"/>
              <w:spacing w:line="160" w:lineRule="exact"/>
              <w:rPr>
                <w:sz w:val="14"/>
                <w:szCs w:val="14"/>
              </w:rPr>
            </w:pPr>
            <w:r w:rsidRPr="00BB4764">
              <w:rPr>
                <w:sz w:val="14"/>
                <w:szCs w:val="14"/>
                <w:lang w:val="nn-NO"/>
              </w:rPr>
              <w:t xml:space="preserve">Sum driftsinntekter </w:t>
            </w:r>
          </w:p>
        </w:tc>
        <w:tc>
          <w:tcPr>
            <w:tcW w:w="0" w:type="auto"/>
            <w:tcBorders>
              <w:top w:val="nil"/>
              <w:left w:val="nil"/>
              <w:bottom w:val="nil"/>
              <w:right w:val="nil"/>
            </w:tcBorders>
            <w:shd w:val="clear" w:color="auto" w:fill="F2F2F2" w:themeFill="background1" w:themeFillShade="F2"/>
          </w:tcPr>
          <w:p w14:paraId="6062FDE0" w14:textId="73D9EEC8" w:rsidR="00285B1F" w:rsidRDefault="00D86AF6" w:rsidP="00F87EC1">
            <w:pPr>
              <w:pStyle w:val="MerknadTR"/>
              <w:spacing w:line="160" w:lineRule="exact"/>
              <w:jc w:val="right"/>
              <w:rPr>
                <w:sz w:val="14"/>
                <w:szCs w:val="14"/>
                <w:lang w:val="nn-NO"/>
              </w:rPr>
            </w:pPr>
            <w:r>
              <w:rPr>
                <w:sz w:val="14"/>
                <w:szCs w:val="14"/>
                <w:lang w:val="nn-NO"/>
              </w:rPr>
              <w:t>45,9</w:t>
            </w:r>
          </w:p>
        </w:tc>
        <w:tc>
          <w:tcPr>
            <w:tcW w:w="0" w:type="auto"/>
            <w:tcBorders>
              <w:top w:val="nil"/>
              <w:left w:val="nil"/>
              <w:bottom w:val="nil"/>
              <w:right w:val="nil"/>
            </w:tcBorders>
            <w:shd w:val="clear" w:color="auto" w:fill="F2F2F2" w:themeFill="background1" w:themeFillShade="F2"/>
          </w:tcPr>
          <w:p w14:paraId="63E4CA51" w14:textId="0FA4D800" w:rsidR="00F87EC1" w:rsidRDefault="00F87EC1" w:rsidP="00F87EC1">
            <w:pPr>
              <w:pStyle w:val="MerknadTR"/>
              <w:spacing w:line="160" w:lineRule="exact"/>
              <w:jc w:val="right"/>
              <w:rPr>
                <w:sz w:val="14"/>
                <w:szCs w:val="14"/>
                <w:lang w:val="nn-NO"/>
              </w:rPr>
            </w:pPr>
            <w:r>
              <w:rPr>
                <w:sz w:val="14"/>
                <w:szCs w:val="14"/>
                <w:lang w:val="nn-NO"/>
              </w:rPr>
              <w:t>47,5</w:t>
            </w:r>
          </w:p>
        </w:tc>
        <w:tc>
          <w:tcPr>
            <w:tcW w:w="0" w:type="auto"/>
            <w:tcBorders>
              <w:top w:val="nil"/>
              <w:left w:val="nil"/>
              <w:bottom w:val="nil"/>
              <w:right w:val="nil"/>
            </w:tcBorders>
            <w:shd w:val="clear" w:color="auto" w:fill="F2F2F2" w:themeFill="background1" w:themeFillShade="F2"/>
          </w:tcPr>
          <w:p w14:paraId="02200780" w14:textId="004A921B" w:rsidR="00F87EC1" w:rsidRDefault="00F87EC1" w:rsidP="00F87EC1">
            <w:pPr>
              <w:pStyle w:val="MerknadTR"/>
              <w:spacing w:line="160" w:lineRule="exact"/>
              <w:jc w:val="right"/>
              <w:rPr>
                <w:sz w:val="14"/>
                <w:szCs w:val="14"/>
              </w:rPr>
            </w:pPr>
            <w:r>
              <w:rPr>
                <w:sz w:val="14"/>
                <w:szCs w:val="14"/>
                <w:lang w:val="nn-NO"/>
              </w:rPr>
              <w:t>50,</w:t>
            </w:r>
            <w:r w:rsidR="00EC399D">
              <w:rPr>
                <w:sz w:val="14"/>
                <w:szCs w:val="14"/>
                <w:lang w:val="nn-NO"/>
              </w:rPr>
              <w:t>6</w:t>
            </w:r>
          </w:p>
        </w:tc>
        <w:tc>
          <w:tcPr>
            <w:tcW w:w="0" w:type="auto"/>
            <w:tcBorders>
              <w:top w:val="nil"/>
              <w:left w:val="nil"/>
              <w:bottom w:val="nil"/>
              <w:right w:val="nil"/>
            </w:tcBorders>
            <w:shd w:val="clear" w:color="auto" w:fill="F2F2F2" w:themeFill="background1" w:themeFillShade="F2"/>
          </w:tcPr>
          <w:p w14:paraId="5E95A119" w14:textId="30CBF2F9" w:rsidR="00F87EC1" w:rsidRDefault="000E4660" w:rsidP="00F87EC1">
            <w:pPr>
              <w:pStyle w:val="MerknadTR"/>
              <w:spacing w:line="160" w:lineRule="exact"/>
              <w:jc w:val="right"/>
              <w:rPr>
                <w:sz w:val="14"/>
                <w:szCs w:val="14"/>
                <w:lang w:val="nn-NO"/>
              </w:rPr>
            </w:pPr>
            <w:r>
              <w:rPr>
                <w:sz w:val="14"/>
                <w:szCs w:val="14"/>
                <w:lang w:val="nn-NO"/>
              </w:rPr>
              <w:t>53,3</w:t>
            </w:r>
          </w:p>
        </w:tc>
      </w:tr>
      <w:tr w:rsidR="00F87EC1" w:rsidRPr="001213F3" w14:paraId="589A1E73" w14:textId="4EF9CD19" w:rsidTr="0041529F">
        <w:trPr>
          <w:trHeight w:hRule="exact" w:val="227"/>
        </w:trPr>
        <w:tc>
          <w:tcPr>
            <w:tcW w:w="0" w:type="auto"/>
            <w:tcBorders>
              <w:top w:val="nil"/>
              <w:left w:val="nil"/>
              <w:bottom w:val="nil"/>
              <w:right w:val="nil"/>
            </w:tcBorders>
            <w:shd w:val="clear" w:color="auto" w:fill="F2F2F2" w:themeFill="background1" w:themeFillShade="F2"/>
          </w:tcPr>
          <w:p w14:paraId="2B8EF4CD" w14:textId="77777777" w:rsidR="00F87EC1" w:rsidRPr="006024A7" w:rsidRDefault="00F87EC1" w:rsidP="00F87EC1">
            <w:pPr>
              <w:pStyle w:val="MerknadTR"/>
              <w:spacing w:line="160" w:lineRule="exact"/>
              <w:rPr>
                <w:b/>
                <w:i/>
                <w:sz w:val="14"/>
                <w:szCs w:val="14"/>
              </w:rPr>
            </w:pPr>
            <w:r w:rsidRPr="006024A7">
              <w:rPr>
                <w:b/>
                <w:i/>
                <w:sz w:val="14"/>
                <w:szCs w:val="14"/>
              </w:rPr>
              <w:t>Private institusjoner</w:t>
            </w:r>
          </w:p>
          <w:p w14:paraId="62881FA7" w14:textId="77777777" w:rsidR="00F87EC1" w:rsidRPr="00BB4764" w:rsidRDefault="00F87EC1" w:rsidP="00F87EC1">
            <w:pPr>
              <w:pStyle w:val="MerknadTR"/>
              <w:spacing w:line="160" w:lineRule="exact"/>
              <w:rPr>
                <w:sz w:val="14"/>
                <w:szCs w:val="14"/>
                <w:lang w:val="nn-NO"/>
              </w:rPr>
            </w:pPr>
          </w:p>
        </w:tc>
        <w:tc>
          <w:tcPr>
            <w:tcW w:w="0" w:type="auto"/>
            <w:tcBorders>
              <w:top w:val="nil"/>
              <w:left w:val="nil"/>
              <w:bottom w:val="nil"/>
              <w:right w:val="nil"/>
            </w:tcBorders>
            <w:shd w:val="clear" w:color="auto" w:fill="F2F2F2" w:themeFill="background1" w:themeFillShade="F2"/>
          </w:tcPr>
          <w:p w14:paraId="77E7CBC5" w14:textId="77777777" w:rsidR="00285B1F" w:rsidRDefault="00285B1F" w:rsidP="00F87EC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77718C34" w14:textId="77777777" w:rsidR="00F87EC1" w:rsidRDefault="00F87EC1" w:rsidP="00F87EC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1B33418E" w14:textId="1BF3EA55" w:rsidR="00F87EC1" w:rsidRDefault="00F87EC1" w:rsidP="00F87EC1">
            <w:pPr>
              <w:pStyle w:val="MerknadTR"/>
              <w:spacing w:line="160" w:lineRule="exact"/>
              <w:jc w:val="right"/>
              <w:rPr>
                <w:sz w:val="14"/>
                <w:szCs w:val="14"/>
                <w:lang w:val="nn-NO"/>
              </w:rPr>
            </w:pPr>
          </w:p>
        </w:tc>
        <w:tc>
          <w:tcPr>
            <w:tcW w:w="0" w:type="auto"/>
            <w:tcBorders>
              <w:top w:val="nil"/>
              <w:left w:val="nil"/>
              <w:bottom w:val="nil"/>
              <w:right w:val="nil"/>
            </w:tcBorders>
            <w:shd w:val="clear" w:color="auto" w:fill="F2F2F2" w:themeFill="background1" w:themeFillShade="F2"/>
          </w:tcPr>
          <w:p w14:paraId="603E1704" w14:textId="77777777" w:rsidR="00F87EC1" w:rsidRDefault="00F87EC1" w:rsidP="00F87EC1">
            <w:pPr>
              <w:pStyle w:val="MerknadTR"/>
              <w:spacing w:line="160" w:lineRule="exact"/>
              <w:jc w:val="right"/>
              <w:rPr>
                <w:sz w:val="14"/>
                <w:szCs w:val="14"/>
                <w:lang w:val="nn-NO"/>
              </w:rPr>
            </w:pPr>
          </w:p>
        </w:tc>
      </w:tr>
      <w:tr w:rsidR="00F87EC1" w:rsidRPr="001213F3" w14:paraId="50CF6195" w14:textId="6B2D42FF" w:rsidTr="0041529F">
        <w:trPr>
          <w:trHeight w:hRule="exact" w:val="227"/>
        </w:trPr>
        <w:tc>
          <w:tcPr>
            <w:tcW w:w="0" w:type="auto"/>
            <w:tcBorders>
              <w:top w:val="nil"/>
              <w:left w:val="nil"/>
              <w:bottom w:val="nil"/>
              <w:right w:val="nil"/>
            </w:tcBorders>
            <w:shd w:val="clear" w:color="auto" w:fill="F2F2F2" w:themeFill="background1" w:themeFillShade="F2"/>
          </w:tcPr>
          <w:p w14:paraId="188D25CB" w14:textId="3EDF601B" w:rsidR="00F87EC1" w:rsidRPr="006024A7" w:rsidRDefault="00F87EC1" w:rsidP="00F87EC1">
            <w:pPr>
              <w:pStyle w:val="MerknadTR"/>
              <w:spacing w:line="160" w:lineRule="exact"/>
              <w:rPr>
                <w:b/>
                <w:i/>
                <w:sz w:val="14"/>
                <w:szCs w:val="14"/>
              </w:rPr>
            </w:pPr>
            <w:r w:rsidRPr="006024A7">
              <w:rPr>
                <w:sz w:val="14"/>
                <w:szCs w:val="14"/>
              </w:rPr>
              <w:t>Statstilskudd</w:t>
            </w:r>
          </w:p>
        </w:tc>
        <w:tc>
          <w:tcPr>
            <w:tcW w:w="0" w:type="auto"/>
            <w:tcBorders>
              <w:top w:val="nil"/>
              <w:left w:val="nil"/>
              <w:bottom w:val="nil"/>
              <w:right w:val="nil"/>
            </w:tcBorders>
            <w:shd w:val="clear" w:color="auto" w:fill="F2F2F2" w:themeFill="background1" w:themeFillShade="F2"/>
          </w:tcPr>
          <w:p w14:paraId="3CC2B16F" w14:textId="12143E51" w:rsidR="00285B1F" w:rsidRDefault="00D86AF6" w:rsidP="00F87EC1">
            <w:pPr>
              <w:pStyle w:val="MerknadTR"/>
              <w:spacing w:line="160" w:lineRule="exact"/>
              <w:jc w:val="right"/>
              <w:rPr>
                <w:sz w:val="14"/>
                <w:szCs w:val="14"/>
              </w:rPr>
            </w:pPr>
            <w:r>
              <w:rPr>
                <w:sz w:val="14"/>
                <w:szCs w:val="14"/>
              </w:rPr>
              <w:t>1,6</w:t>
            </w:r>
          </w:p>
        </w:tc>
        <w:tc>
          <w:tcPr>
            <w:tcW w:w="0" w:type="auto"/>
            <w:tcBorders>
              <w:top w:val="nil"/>
              <w:left w:val="nil"/>
              <w:bottom w:val="nil"/>
              <w:right w:val="nil"/>
            </w:tcBorders>
            <w:shd w:val="clear" w:color="auto" w:fill="F2F2F2" w:themeFill="background1" w:themeFillShade="F2"/>
          </w:tcPr>
          <w:p w14:paraId="26DDF030" w14:textId="786F93BE" w:rsidR="00F87EC1" w:rsidRDefault="00F87EC1" w:rsidP="00F87EC1">
            <w:pPr>
              <w:pStyle w:val="MerknadTR"/>
              <w:spacing w:line="160" w:lineRule="exact"/>
              <w:jc w:val="right"/>
              <w:rPr>
                <w:sz w:val="14"/>
                <w:szCs w:val="14"/>
              </w:rPr>
            </w:pPr>
            <w:r>
              <w:rPr>
                <w:sz w:val="14"/>
                <w:szCs w:val="14"/>
              </w:rPr>
              <w:t>1,7</w:t>
            </w:r>
          </w:p>
        </w:tc>
        <w:tc>
          <w:tcPr>
            <w:tcW w:w="0" w:type="auto"/>
            <w:tcBorders>
              <w:top w:val="nil"/>
              <w:left w:val="nil"/>
              <w:bottom w:val="nil"/>
              <w:right w:val="nil"/>
            </w:tcBorders>
            <w:shd w:val="clear" w:color="auto" w:fill="F2F2F2" w:themeFill="background1" w:themeFillShade="F2"/>
          </w:tcPr>
          <w:p w14:paraId="79EFACB1" w14:textId="6B83E22C" w:rsidR="00F87EC1" w:rsidRDefault="00F87EC1" w:rsidP="00F87EC1">
            <w:pPr>
              <w:pStyle w:val="MerknadTR"/>
              <w:spacing w:line="160" w:lineRule="exact"/>
              <w:jc w:val="right"/>
              <w:rPr>
                <w:sz w:val="14"/>
                <w:szCs w:val="14"/>
                <w:lang w:val="nn-NO"/>
              </w:rPr>
            </w:pPr>
            <w:r>
              <w:rPr>
                <w:sz w:val="14"/>
                <w:szCs w:val="14"/>
              </w:rPr>
              <w:t>1,9</w:t>
            </w:r>
          </w:p>
        </w:tc>
        <w:tc>
          <w:tcPr>
            <w:tcW w:w="0" w:type="auto"/>
            <w:tcBorders>
              <w:top w:val="nil"/>
              <w:left w:val="nil"/>
              <w:bottom w:val="nil"/>
              <w:right w:val="nil"/>
            </w:tcBorders>
            <w:shd w:val="clear" w:color="auto" w:fill="F2F2F2" w:themeFill="background1" w:themeFillShade="F2"/>
          </w:tcPr>
          <w:p w14:paraId="42701976" w14:textId="5B43DA8B" w:rsidR="00F87EC1" w:rsidRDefault="00EC17CA" w:rsidP="00F87EC1">
            <w:pPr>
              <w:pStyle w:val="MerknadTR"/>
              <w:spacing w:line="160" w:lineRule="exact"/>
              <w:jc w:val="right"/>
              <w:rPr>
                <w:sz w:val="14"/>
                <w:szCs w:val="14"/>
              </w:rPr>
            </w:pPr>
            <w:r>
              <w:rPr>
                <w:sz w:val="14"/>
                <w:szCs w:val="14"/>
              </w:rPr>
              <w:t>2,1</w:t>
            </w:r>
          </w:p>
        </w:tc>
      </w:tr>
      <w:tr w:rsidR="00F87EC1" w:rsidRPr="001213F3" w14:paraId="4FFA28AA" w14:textId="06FFD26E" w:rsidTr="0041529F">
        <w:trPr>
          <w:trHeight w:hRule="exact" w:val="227"/>
        </w:trPr>
        <w:tc>
          <w:tcPr>
            <w:tcW w:w="0" w:type="auto"/>
            <w:tcBorders>
              <w:top w:val="nil"/>
              <w:left w:val="nil"/>
              <w:bottom w:val="nil"/>
              <w:right w:val="nil"/>
            </w:tcBorders>
            <w:shd w:val="clear" w:color="auto" w:fill="F2F2F2" w:themeFill="background1" w:themeFillShade="F2"/>
          </w:tcPr>
          <w:p w14:paraId="52A52411" w14:textId="4AF6E231" w:rsidR="00F87EC1" w:rsidRPr="006024A7" w:rsidRDefault="00F87EC1" w:rsidP="00F87EC1">
            <w:pPr>
              <w:pStyle w:val="MerknadTR"/>
              <w:spacing w:line="160" w:lineRule="exact"/>
              <w:rPr>
                <w:sz w:val="14"/>
                <w:szCs w:val="14"/>
              </w:rPr>
            </w:pPr>
            <w:r w:rsidRPr="00BB4764">
              <w:rPr>
                <w:sz w:val="14"/>
                <w:szCs w:val="14"/>
                <w:lang w:val="nn-NO"/>
              </w:rPr>
              <w:t>Sum driftsinntekter</w:t>
            </w:r>
          </w:p>
        </w:tc>
        <w:tc>
          <w:tcPr>
            <w:tcW w:w="0" w:type="auto"/>
            <w:tcBorders>
              <w:top w:val="nil"/>
              <w:left w:val="nil"/>
              <w:bottom w:val="nil"/>
              <w:right w:val="nil"/>
            </w:tcBorders>
            <w:shd w:val="clear" w:color="auto" w:fill="F2F2F2" w:themeFill="background1" w:themeFillShade="F2"/>
          </w:tcPr>
          <w:p w14:paraId="20CA5296" w14:textId="62114A6D" w:rsidR="00285B1F" w:rsidRDefault="00D86AF6" w:rsidP="00F87EC1">
            <w:pPr>
              <w:pStyle w:val="MerknadTR"/>
              <w:spacing w:line="160" w:lineRule="exact"/>
              <w:jc w:val="right"/>
              <w:rPr>
                <w:sz w:val="14"/>
                <w:szCs w:val="14"/>
                <w:lang w:val="nn-NO"/>
              </w:rPr>
            </w:pPr>
            <w:r>
              <w:rPr>
                <w:sz w:val="14"/>
                <w:szCs w:val="14"/>
                <w:lang w:val="nn-NO"/>
              </w:rPr>
              <w:t>3,7</w:t>
            </w:r>
          </w:p>
        </w:tc>
        <w:tc>
          <w:tcPr>
            <w:tcW w:w="0" w:type="auto"/>
            <w:tcBorders>
              <w:top w:val="nil"/>
              <w:left w:val="nil"/>
              <w:bottom w:val="nil"/>
              <w:right w:val="nil"/>
            </w:tcBorders>
            <w:shd w:val="clear" w:color="auto" w:fill="F2F2F2" w:themeFill="background1" w:themeFillShade="F2"/>
          </w:tcPr>
          <w:p w14:paraId="5BC9E80F" w14:textId="3D889F75" w:rsidR="00F87EC1" w:rsidRDefault="00F87EC1" w:rsidP="00F87EC1">
            <w:pPr>
              <w:pStyle w:val="MerknadTR"/>
              <w:spacing w:line="160" w:lineRule="exact"/>
              <w:jc w:val="right"/>
              <w:rPr>
                <w:sz w:val="14"/>
                <w:szCs w:val="14"/>
                <w:lang w:val="nn-NO"/>
              </w:rPr>
            </w:pPr>
            <w:r>
              <w:rPr>
                <w:sz w:val="14"/>
                <w:szCs w:val="14"/>
                <w:lang w:val="nn-NO"/>
              </w:rPr>
              <w:t>4,1</w:t>
            </w:r>
          </w:p>
        </w:tc>
        <w:tc>
          <w:tcPr>
            <w:tcW w:w="0" w:type="auto"/>
            <w:tcBorders>
              <w:top w:val="nil"/>
              <w:left w:val="nil"/>
              <w:bottom w:val="nil"/>
              <w:right w:val="nil"/>
            </w:tcBorders>
            <w:shd w:val="clear" w:color="auto" w:fill="F2F2F2" w:themeFill="background1" w:themeFillShade="F2"/>
          </w:tcPr>
          <w:p w14:paraId="246589E7" w14:textId="3D5A0D84" w:rsidR="00F87EC1" w:rsidRDefault="00F87EC1" w:rsidP="00F87EC1">
            <w:pPr>
              <w:pStyle w:val="MerknadTR"/>
              <w:spacing w:line="160" w:lineRule="exact"/>
              <w:jc w:val="right"/>
              <w:rPr>
                <w:sz w:val="14"/>
                <w:szCs w:val="14"/>
              </w:rPr>
            </w:pPr>
            <w:r>
              <w:rPr>
                <w:sz w:val="14"/>
                <w:szCs w:val="14"/>
                <w:lang w:val="nn-NO"/>
              </w:rPr>
              <w:t>4,6</w:t>
            </w:r>
          </w:p>
        </w:tc>
        <w:tc>
          <w:tcPr>
            <w:tcW w:w="0" w:type="auto"/>
            <w:tcBorders>
              <w:top w:val="nil"/>
              <w:left w:val="nil"/>
              <w:bottom w:val="nil"/>
              <w:right w:val="nil"/>
            </w:tcBorders>
            <w:shd w:val="clear" w:color="auto" w:fill="F2F2F2" w:themeFill="background1" w:themeFillShade="F2"/>
          </w:tcPr>
          <w:p w14:paraId="1F38844E" w14:textId="1C0B3168" w:rsidR="00F87EC1" w:rsidRDefault="009715A1" w:rsidP="00F87EC1">
            <w:pPr>
              <w:pStyle w:val="MerknadTR"/>
              <w:spacing w:line="160" w:lineRule="exact"/>
              <w:jc w:val="right"/>
              <w:rPr>
                <w:sz w:val="14"/>
                <w:szCs w:val="14"/>
                <w:lang w:val="nn-NO"/>
              </w:rPr>
            </w:pPr>
            <w:r>
              <w:rPr>
                <w:sz w:val="14"/>
                <w:szCs w:val="14"/>
                <w:lang w:val="nn-NO"/>
              </w:rPr>
              <w:t>4,9</w:t>
            </w:r>
          </w:p>
        </w:tc>
      </w:tr>
    </w:tbl>
    <w:p w14:paraId="2DC26AE1" w14:textId="2D56B23D" w:rsidR="00C95C0D" w:rsidRDefault="00C95C0D" w:rsidP="00173D4F">
      <w:pPr>
        <w:jc w:val="both"/>
        <w:rPr>
          <w:lang w:val="nn-NO"/>
        </w:rPr>
      </w:pPr>
    </w:p>
    <w:p w14:paraId="7DD88B00" w14:textId="2FB2FD84" w:rsidR="00C95C0D" w:rsidRDefault="00BB4A18" w:rsidP="00AE4B98">
      <w:pPr>
        <w:pStyle w:val="Overskrift2"/>
      </w:pPr>
      <w:bookmarkStart w:id="2" w:name="_Toc134792707"/>
      <w:bookmarkEnd w:id="1"/>
      <w:r w:rsidRPr="006F63AB">
        <w:lastRenderedPageBreak/>
        <w:t>Innhold</w:t>
      </w:r>
      <w:bookmarkEnd w:id="2"/>
    </w:p>
    <w:p w14:paraId="5C3CD657" w14:textId="79919235" w:rsidR="00F262EF" w:rsidRDefault="00776864">
      <w:pPr>
        <w:pStyle w:val="INNH1"/>
        <w:rPr>
          <w:rFonts w:eastAsiaTheme="minorEastAsia"/>
          <w:b w:val="0"/>
          <w:color w:val="auto"/>
          <w:kern w:val="2"/>
          <w:sz w:val="22"/>
          <w:szCs w:val="22"/>
          <w:lang w:eastAsia="nb-NO"/>
          <w14:ligatures w14:val="standardContextual"/>
        </w:rPr>
      </w:pPr>
      <w:r>
        <w:rPr>
          <w:color w:val="23099F" w:themeColor="text2"/>
        </w:rPr>
        <w:fldChar w:fldCharType="begin"/>
      </w:r>
      <w:r>
        <w:rPr>
          <w:color w:val="23099F" w:themeColor="text2"/>
        </w:rPr>
        <w:instrText xml:space="preserve"> TOC \o "1-3" \h \z \u </w:instrText>
      </w:r>
      <w:r>
        <w:rPr>
          <w:color w:val="23099F" w:themeColor="text2"/>
        </w:rPr>
        <w:fldChar w:fldCharType="separate"/>
      </w:r>
      <w:hyperlink w:anchor="_Toc134792707" w:history="1">
        <w:r w:rsidR="00F262EF" w:rsidRPr="00F15E40">
          <w:rPr>
            <w:rStyle w:val="Hyperkobling"/>
          </w:rPr>
          <w:t>Innhold</w:t>
        </w:r>
        <w:r w:rsidR="00F262EF">
          <w:rPr>
            <w:webHidden/>
          </w:rPr>
          <w:tab/>
        </w:r>
        <w:r w:rsidR="00F262EF">
          <w:rPr>
            <w:webHidden/>
          </w:rPr>
          <w:fldChar w:fldCharType="begin"/>
        </w:r>
        <w:r w:rsidR="00F262EF">
          <w:rPr>
            <w:webHidden/>
          </w:rPr>
          <w:instrText xml:space="preserve"> PAGEREF _Toc134792707 \h </w:instrText>
        </w:r>
        <w:r w:rsidR="00F262EF">
          <w:rPr>
            <w:webHidden/>
          </w:rPr>
        </w:r>
        <w:r w:rsidR="00F262EF">
          <w:rPr>
            <w:webHidden/>
          </w:rPr>
          <w:fldChar w:fldCharType="separate"/>
        </w:r>
        <w:r w:rsidR="00F262EF">
          <w:rPr>
            <w:webHidden/>
          </w:rPr>
          <w:t>4</w:t>
        </w:r>
        <w:r w:rsidR="00F262EF">
          <w:rPr>
            <w:webHidden/>
          </w:rPr>
          <w:fldChar w:fldCharType="end"/>
        </w:r>
      </w:hyperlink>
    </w:p>
    <w:p w14:paraId="24F7ABC9" w14:textId="0A7A9B57" w:rsidR="00F262EF" w:rsidRDefault="00000000">
      <w:pPr>
        <w:pStyle w:val="INNH2"/>
        <w:rPr>
          <w:rFonts w:eastAsiaTheme="minorEastAsia"/>
          <w:color w:val="auto"/>
          <w:kern w:val="2"/>
          <w:sz w:val="22"/>
          <w:szCs w:val="22"/>
          <w:lang w:eastAsia="nb-NO"/>
          <w14:ligatures w14:val="standardContextual"/>
        </w:rPr>
      </w:pPr>
      <w:hyperlink w:anchor="_Toc134792708" w:history="1">
        <w:r w:rsidR="00F262EF" w:rsidRPr="00F15E40">
          <w:rPr>
            <w:rStyle w:val="Hyperkobling"/>
          </w:rPr>
          <w:t>Figuroversikt</w:t>
        </w:r>
        <w:r w:rsidR="00F262EF">
          <w:rPr>
            <w:webHidden/>
          </w:rPr>
          <w:tab/>
        </w:r>
        <w:r w:rsidR="00F262EF">
          <w:rPr>
            <w:webHidden/>
          </w:rPr>
          <w:fldChar w:fldCharType="begin"/>
        </w:r>
        <w:r w:rsidR="00F262EF">
          <w:rPr>
            <w:webHidden/>
          </w:rPr>
          <w:instrText xml:space="preserve"> PAGEREF _Toc134792708 \h </w:instrText>
        </w:r>
        <w:r w:rsidR="00F262EF">
          <w:rPr>
            <w:webHidden/>
          </w:rPr>
        </w:r>
        <w:r w:rsidR="00F262EF">
          <w:rPr>
            <w:webHidden/>
          </w:rPr>
          <w:fldChar w:fldCharType="separate"/>
        </w:r>
        <w:r w:rsidR="00F262EF">
          <w:rPr>
            <w:webHidden/>
          </w:rPr>
          <w:t>6</w:t>
        </w:r>
        <w:r w:rsidR="00F262EF">
          <w:rPr>
            <w:webHidden/>
          </w:rPr>
          <w:fldChar w:fldCharType="end"/>
        </w:r>
      </w:hyperlink>
    </w:p>
    <w:p w14:paraId="4C86123D" w14:textId="48552FA3" w:rsidR="00F262EF" w:rsidRDefault="00000000">
      <w:pPr>
        <w:pStyle w:val="INNH2"/>
        <w:rPr>
          <w:rFonts w:eastAsiaTheme="minorEastAsia"/>
          <w:color w:val="auto"/>
          <w:kern w:val="2"/>
          <w:sz w:val="22"/>
          <w:szCs w:val="22"/>
          <w:lang w:eastAsia="nb-NO"/>
          <w14:ligatures w14:val="standardContextual"/>
        </w:rPr>
      </w:pPr>
      <w:hyperlink w:anchor="_Toc134792709" w:history="1">
        <w:r w:rsidR="00F262EF" w:rsidRPr="00F15E40">
          <w:rPr>
            <w:rStyle w:val="Hyperkobling"/>
          </w:rPr>
          <w:t>Tabelloversikt</w:t>
        </w:r>
        <w:r w:rsidR="00F262EF">
          <w:rPr>
            <w:webHidden/>
          </w:rPr>
          <w:tab/>
        </w:r>
        <w:r w:rsidR="00F262EF">
          <w:rPr>
            <w:webHidden/>
          </w:rPr>
          <w:fldChar w:fldCharType="begin"/>
        </w:r>
        <w:r w:rsidR="00F262EF">
          <w:rPr>
            <w:webHidden/>
          </w:rPr>
          <w:instrText xml:space="preserve"> PAGEREF _Toc134792709 \h </w:instrText>
        </w:r>
        <w:r w:rsidR="00F262EF">
          <w:rPr>
            <w:webHidden/>
          </w:rPr>
        </w:r>
        <w:r w:rsidR="00F262EF">
          <w:rPr>
            <w:webHidden/>
          </w:rPr>
          <w:fldChar w:fldCharType="separate"/>
        </w:r>
        <w:r w:rsidR="00F262EF">
          <w:rPr>
            <w:webHidden/>
          </w:rPr>
          <w:t>7</w:t>
        </w:r>
        <w:r w:rsidR="00F262EF">
          <w:rPr>
            <w:webHidden/>
          </w:rPr>
          <w:fldChar w:fldCharType="end"/>
        </w:r>
      </w:hyperlink>
    </w:p>
    <w:p w14:paraId="4E768E4B" w14:textId="301D453B" w:rsidR="00F262EF" w:rsidRDefault="00000000">
      <w:pPr>
        <w:pStyle w:val="INNH2"/>
        <w:rPr>
          <w:rFonts w:eastAsiaTheme="minorEastAsia"/>
          <w:color w:val="auto"/>
          <w:kern w:val="2"/>
          <w:sz w:val="22"/>
          <w:szCs w:val="22"/>
          <w:lang w:eastAsia="nb-NO"/>
          <w14:ligatures w14:val="standardContextual"/>
        </w:rPr>
      </w:pPr>
      <w:hyperlink w:anchor="_Toc134792710" w:history="1">
        <w:r w:rsidR="00F262EF" w:rsidRPr="00F15E40">
          <w:rPr>
            <w:rStyle w:val="Hyperkobling"/>
          </w:rPr>
          <w:t>Tekstbokser</w:t>
        </w:r>
        <w:r w:rsidR="00F262EF">
          <w:rPr>
            <w:webHidden/>
          </w:rPr>
          <w:tab/>
        </w:r>
        <w:r w:rsidR="00F262EF">
          <w:rPr>
            <w:webHidden/>
          </w:rPr>
          <w:fldChar w:fldCharType="begin"/>
        </w:r>
        <w:r w:rsidR="00F262EF">
          <w:rPr>
            <w:webHidden/>
          </w:rPr>
          <w:instrText xml:space="preserve"> PAGEREF _Toc134792710 \h </w:instrText>
        </w:r>
        <w:r w:rsidR="00F262EF">
          <w:rPr>
            <w:webHidden/>
          </w:rPr>
        </w:r>
        <w:r w:rsidR="00F262EF">
          <w:rPr>
            <w:webHidden/>
          </w:rPr>
          <w:fldChar w:fldCharType="separate"/>
        </w:r>
        <w:r w:rsidR="00F262EF">
          <w:rPr>
            <w:webHidden/>
          </w:rPr>
          <w:t>7</w:t>
        </w:r>
        <w:r w:rsidR="00F262EF">
          <w:rPr>
            <w:webHidden/>
          </w:rPr>
          <w:fldChar w:fldCharType="end"/>
        </w:r>
      </w:hyperlink>
    </w:p>
    <w:p w14:paraId="353DAECF" w14:textId="41A141B9" w:rsidR="00F262EF" w:rsidRDefault="00000000">
      <w:pPr>
        <w:pStyle w:val="INNH2"/>
        <w:rPr>
          <w:rFonts w:eastAsiaTheme="minorEastAsia"/>
          <w:color w:val="auto"/>
          <w:kern w:val="2"/>
          <w:sz w:val="22"/>
          <w:szCs w:val="22"/>
          <w:lang w:eastAsia="nb-NO"/>
          <w14:ligatures w14:val="standardContextual"/>
        </w:rPr>
      </w:pPr>
      <w:hyperlink w:anchor="_Toc134792711" w:history="1">
        <w:r w:rsidR="00F262EF" w:rsidRPr="00F15E40">
          <w:rPr>
            <w:rStyle w:val="Hyperkobling"/>
            <w:rFonts w:eastAsia="Times New Roman"/>
          </w:rPr>
          <w:t>Om rapport og vedlegg</w:t>
        </w:r>
        <w:r w:rsidR="00F262EF">
          <w:rPr>
            <w:webHidden/>
          </w:rPr>
          <w:tab/>
        </w:r>
        <w:r w:rsidR="00F262EF">
          <w:rPr>
            <w:webHidden/>
          </w:rPr>
          <w:fldChar w:fldCharType="begin"/>
        </w:r>
        <w:r w:rsidR="00F262EF">
          <w:rPr>
            <w:webHidden/>
          </w:rPr>
          <w:instrText xml:space="preserve"> PAGEREF _Toc134792711 \h </w:instrText>
        </w:r>
        <w:r w:rsidR="00F262EF">
          <w:rPr>
            <w:webHidden/>
          </w:rPr>
        </w:r>
        <w:r w:rsidR="00F262EF">
          <w:rPr>
            <w:webHidden/>
          </w:rPr>
          <w:fldChar w:fldCharType="separate"/>
        </w:r>
        <w:r w:rsidR="00F262EF">
          <w:rPr>
            <w:webHidden/>
          </w:rPr>
          <w:t>9</w:t>
        </w:r>
        <w:r w:rsidR="00F262EF">
          <w:rPr>
            <w:webHidden/>
          </w:rPr>
          <w:fldChar w:fldCharType="end"/>
        </w:r>
      </w:hyperlink>
    </w:p>
    <w:p w14:paraId="1A6813B1" w14:textId="1011C1AB" w:rsidR="00F262EF" w:rsidRDefault="00000000">
      <w:pPr>
        <w:pStyle w:val="INNH1"/>
        <w:rPr>
          <w:rFonts w:eastAsiaTheme="minorEastAsia"/>
          <w:b w:val="0"/>
          <w:color w:val="auto"/>
          <w:kern w:val="2"/>
          <w:sz w:val="22"/>
          <w:szCs w:val="22"/>
          <w:lang w:eastAsia="nb-NO"/>
          <w14:ligatures w14:val="standardContextual"/>
        </w:rPr>
      </w:pPr>
      <w:hyperlink w:anchor="_Toc134792712" w:history="1">
        <w:r w:rsidR="00F262EF" w:rsidRPr="00F15E40">
          <w:rPr>
            <w:rStyle w:val="Hyperkobling"/>
          </w:rPr>
          <w:t>1</w:t>
        </w:r>
        <w:r w:rsidR="00F262EF">
          <w:rPr>
            <w:rFonts w:eastAsiaTheme="minorEastAsia"/>
            <w:b w:val="0"/>
            <w:color w:val="auto"/>
            <w:kern w:val="2"/>
            <w:sz w:val="22"/>
            <w:szCs w:val="22"/>
            <w:lang w:eastAsia="nb-NO"/>
            <w14:ligatures w14:val="standardContextual"/>
          </w:rPr>
          <w:tab/>
        </w:r>
        <w:r w:rsidR="00F262EF" w:rsidRPr="00F15E40">
          <w:rPr>
            <w:rStyle w:val="Hyperkobling"/>
          </w:rPr>
          <w:t>Sammendrag</w:t>
        </w:r>
        <w:r w:rsidR="00F262EF">
          <w:rPr>
            <w:webHidden/>
          </w:rPr>
          <w:tab/>
        </w:r>
        <w:r w:rsidR="00F262EF">
          <w:rPr>
            <w:webHidden/>
          </w:rPr>
          <w:fldChar w:fldCharType="begin"/>
        </w:r>
        <w:r w:rsidR="00F262EF">
          <w:rPr>
            <w:webHidden/>
          </w:rPr>
          <w:instrText xml:space="preserve"> PAGEREF _Toc134792712 \h </w:instrText>
        </w:r>
        <w:r w:rsidR="00F262EF">
          <w:rPr>
            <w:webHidden/>
          </w:rPr>
        </w:r>
        <w:r w:rsidR="00F262EF">
          <w:rPr>
            <w:webHidden/>
          </w:rPr>
          <w:fldChar w:fldCharType="separate"/>
        </w:r>
        <w:r w:rsidR="00F262EF">
          <w:rPr>
            <w:webHidden/>
          </w:rPr>
          <w:t>10</w:t>
        </w:r>
        <w:r w:rsidR="00F262EF">
          <w:rPr>
            <w:webHidden/>
          </w:rPr>
          <w:fldChar w:fldCharType="end"/>
        </w:r>
      </w:hyperlink>
    </w:p>
    <w:p w14:paraId="25C834A2" w14:textId="095059C0" w:rsidR="00F262EF" w:rsidRDefault="00000000">
      <w:pPr>
        <w:pStyle w:val="INNH2"/>
        <w:rPr>
          <w:rFonts w:eastAsiaTheme="minorEastAsia"/>
          <w:color w:val="auto"/>
          <w:kern w:val="2"/>
          <w:sz w:val="22"/>
          <w:szCs w:val="22"/>
          <w:lang w:eastAsia="nb-NO"/>
          <w14:ligatures w14:val="standardContextual"/>
        </w:rPr>
      </w:pPr>
      <w:hyperlink w:anchor="_Toc134792713" w:history="1">
        <w:r w:rsidR="00F262EF" w:rsidRPr="00F15E40">
          <w:rPr>
            <w:rStyle w:val="Hyperkobling"/>
          </w:rPr>
          <w:t>1.1</w:t>
        </w:r>
        <w:r w:rsidR="00F262EF">
          <w:rPr>
            <w:rFonts w:eastAsiaTheme="minorEastAsia"/>
            <w:color w:val="auto"/>
            <w:kern w:val="2"/>
            <w:sz w:val="22"/>
            <w:szCs w:val="22"/>
            <w:lang w:eastAsia="nb-NO"/>
            <w14:ligatures w14:val="standardContextual"/>
          </w:rPr>
          <w:tab/>
        </w:r>
        <w:r w:rsidR="00F262EF" w:rsidRPr="00F15E40">
          <w:rPr>
            <w:rStyle w:val="Hyperkobling"/>
          </w:rPr>
          <w:t>Utdanning</w:t>
        </w:r>
        <w:r w:rsidR="00F262EF">
          <w:rPr>
            <w:webHidden/>
          </w:rPr>
          <w:tab/>
        </w:r>
        <w:r w:rsidR="00F262EF">
          <w:rPr>
            <w:webHidden/>
          </w:rPr>
          <w:fldChar w:fldCharType="begin"/>
        </w:r>
        <w:r w:rsidR="00F262EF">
          <w:rPr>
            <w:webHidden/>
          </w:rPr>
          <w:instrText xml:space="preserve"> PAGEREF _Toc134792713 \h </w:instrText>
        </w:r>
        <w:r w:rsidR="00F262EF">
          <w:rPr>
            <w:webHidden/>
          </w:rPr>
        </w:r>
        <w:r w:rsidR="00F262EF">
          <w:rPr>
            <w:webHidden/>
          </w:rPr>
          <w:fldChar w:fldCharType="separate"/>
        </w:r>
        <w:r w:rsidR="00F262EF">
          <w:rPr>
            <w:webHidden/>
          </w:rPr>
          <w:t>10</w:t>
        </w:r>
        <w:r w:rsidR="00F262EF">
          <w:rPr>
            <w:webHidden/>
          </w:rPr>
          <w:fldChar w:fldCharType="end"/>
        </w:r>
      </w:hyperlink>
    </w:p>
    <w:p w14:paraId="0C9801B2" w14:textId="5A3FEC1F" w:rsidR="00F262EF" w:rsidRDefault="00000000">
      <w:pPr>
        <w:pStyle w:val="INNH2"/>
        <w:rPr>
          <w:rFonts w:eastAsiaTheme="minorEastAsia"/>
          <w:color w:val="auto"/>
          <w:kern w:val="2"/>
          <w:sz w:val="22"/>
          <w:szCs w:val="22"/>
          <w:lang w:eastAsia="nb-NO"/>
          <w14:ligatures w14:val="standardContextual"/>
        </w:rPr>
      </w:pPr>
      <w:hyperlink w:anchor="_Toc134792714" w:history="1">
        <w:r w:rsidR="00F262EF" w:rsidRPr="00F15E40">
          <w:rPr>
            <w:rStyle w:val="Hyperkobling"/>
          </w:rPr>
          <w:t>1.2</w:t>
        </w:r>
        <w:r w:rsidR="00F262EF">
          <w:rPr>
            <w:rFonts w:eastAsiaTheme="minorEastAsia"/>
            <w:color w:val="auto"/>
            <w:kern w:val="2"/>
            <w:sz w:val="22"/>
            <w:szCs w:val="22"/>
            <w:lang w:eastAsia="nb-NO"/>
            <w14:ligatures w14:val="standardContextual"/>
          </w:rPr>
          <w:tab/>
        </w:r>
        <w:r w:rsidR="00F262EF" w:rsidRPr="00F15E40">
          <w:rPr>
            <w:rStyle w:val="Hyperkobling"/>
          </w:rPr>
          <w:t>Doktorgradsutdanning og forskning</w:t>
        </w:r>
        <w:r w:rsidR="00F262EF">
          <w:rPr>
            <w:webHidden/>
          </w:rPr>
          <w:tab/>
        </w:r>
        <w:r w:rsidR="00F262EF">
          <w:rPr>
            <w:webHidden/>
          </w:rPr>
          <w:fldChar w:fldCharType="begin"/>
        </w:r>
        <w:r w:rsidR="00F262EF">
          <w:rPr>
            <w:webHidden/>
          </w:rPr>
          <w:instrText xml:space="preserve"> PAGEREF _Toc134792714 \h </w:instrText>
        </w:r>
        <w:r w:rsidR="00F262EF">
          <w:rPr>
            <w:webHidden/>
          </w:rPr>
        </w:r>
        <w:r w:rsidR="00F262EF">
          <w:rPr>
            <w:webHidden/>
          </w:rPr>
          <w:fldChar w:fldCharType="separate"/>
        </w:r>
        <w:r w:rsidR="00F262EF">
          <w:rPr>
            <w:webHidden/>
          </w:rPr>
          <w:t>12</w:t>
        </w:r>
        <w:r w:rsidR="00F262EF">
          <w:rPr>
            <w:webHidden/>
          </w:rPr>
          <w:fldChar w:fldCharType="end"/>
        </w:r>
      </w:hyperlink>
    </w:p>
    <w:p w14:paraId="3E85D125" w14:textId="28E169C3" w:rsidR="00F262EF" w:rsidRDefault="00000000">
      <w:pPr>
        <w:pStyle w:val="INNH2"/>
        <w:rPr>
          <w:rFonts w:eastAsiaTheme="minorEastAsia"/>
          <w:color w:val="auto"/>
          <w:kern w:val="2"/>
          <w:sz w:val="22"/>
          <w:szCs w:val="22"/>
          <w:lang w:eastAsia="nb-NO"/>
          <w14:ligatures w14:val="standardContextual"/>
        </w:rPr>
      </w:pPr>
      <w:hyperlink w:anchor="_Toc134792715" w:history="1">
        <w:r w:rsidR="00F262EF" w:rsidRPr="00F15E40">
          <w:rPr>
            <w:rStyle w:val="Hyperkobling"/>
          </w:rPr>
          <w:t>1.3</w:t>
        </w:r>
        <w:r w:rsidR="00F262EF">
          <w:rPr>
            <w:rFonts w:eastAsiaTheme="minorEastAsia"/>
            <w:color w:val="auto"/>
            <w:kern w:val="2"/>
            <w:sz w:val="22"/>
            <w:szCs w:val="22"/>
            <w:lang w:eastAsia="nb-NO"/>
            <w14:ligatures w14:val="standardContextual"/>
          </w:rPr>
          <w:tab/>
        </w:r>
        <w:r w:rsidR="00F262EF" w:rsidRPr="00F15E40">
          <w:rPr>
            <w:rStyle w:val="Hyperkobling"/>
          </w:rPr>
          <w:t>Styring, økonomi og personal</w:t>
        </w:r>
        <w:r w:rsidR="00F262EF">
          <w:rPr>
            <w:webHidden/>
          </w:rPr>
          <w:tab/>
        </w:r>
        <w:r w:rsidR="00F262EF">
          <w:rPr>
            <w:webHidden/>
          </w:rPr>
          <w:fldChar w:fldCharType="begin"/>
        </w:r>
        <w:r w:rsidR="00F262EF">
          <w:rPr>
            <w:webHidden/>
          </w:rPr>
          <w:instrText xml:space="preserve"> PAGEREF _Toc134792715 \h </w:instrText>
        </w:r>
        <w:r w:rsidR="00F262EF">
          <w:rPr>
            <w:webHidden/>
          </w:rPr>
        </w:r>
        <w:r w:rsidR="00F262EF">
          <w:rPr>
            <w:webHidden/>
          </w:rPr>
          <w:fldChar w:fldCharType="separate"/>
        </w:r>
        <w:r w:rsidR="00F262EF">
          <w:rPr>
            <w:webHidden/>
          </w:rPr>
          <w:t>14</w:t>
        </w:r>
        <w:r w:rsidR="00F262EF">
          <w:rPr>
            <w:webHidden/>
          </w:rPr>
          <w:fldChar w:fldCharType="end"/>
        </w:r>
      </w:hyperlink>
    </w:p>
    <w:p w14:paraId="2EB55D39" w14:textId="2EB826C7" w:rsidR="00F262EF" w:rsidRDefault="00000000">
      <w:pPr>
        <w:pStyle w:val="INNH1"/>
        <w:rPr>
          <w:rFonts w:eastAsiaTheme="minorEastAsia"/>
          <w:b w:val="0"/>
          <w:color w:val="auto"/>
          <w:kern w:val="2"/>
          <w:sz w:val="22"/>
          <w:szCs w:val="22"/>
          <w:lang w:eastAsia="nb-NO"/>
          <w14:ligatures w14:val="standardContextual"/>
        </w:rPr>
      </w:pPr>
      <w:hyperlink w:anchor="_Toc134792716" w:history="1">
        <w:r w:rsidR="00F262EF" w:rsidRPr="00F15E40">
          <w:rPr>
            <w:rStyle w:val="Hyperkobling"/>
          </w:rPr>
          <w:t>2</w:t>
        </w:r>
        <w:r w:rsidR="00F262EF">
          <w:rPr>
            <w:rFonts w:eastAsiaTheme="minorEastAsia"/>
            <w:b w:val="0"/>
            <w:color w:val="auto"/>
            <w:kern w:val="2"/>
            <w:sz w:val="22"/>
            <w:szCs w:val="22"/>
            <w:lang w:eastAsia="nb-NO"/>
            <w14:ligatures w14:val="standardContextual"/>
          </w:rPr>
          <w:tab/>
        </w:r>
        <w:r w:rsidR="00F262EF" w:rsidRPr="00F15E40">
          <w:rPr>
            <w:rStyle w:val="Hyperkobling"/>
          </w:rPr>
          <w:t>Utdanning</w:t>
        </w:r>
        <w:r w:rsidR="00F262EF">
          <w:rPr>
            <w:webHidden/>
          </w:rPr>
          <w:tab/>
        </w:r>
        <w:r w:rsidR="00F262EF">
          <w:rPr>
            <w:webHidden/>
          </w:rPr>
          <w:fldChar w:fldCharType="begin"/>
        </w:r>
        <w:r w:rsidR="00F262EF">
          <w:rPr>
            <w:webHidden/>
          </w:rPr>
          <w:instrText xml:space="preserve"> PAGEREF _Toc134792716 \h </w:instrText>
        </w:r>
        <w:r w:rsidR="00F262EF">
          <w:rPr>
            <w:webHidden/>
          </w:rPr>
        </w:r>
        <w:r w:rsidR="00F262EF">
          <w:rPr>
            <w:webHidden/>
          </w:rPr>
          <w:fldChar w:fldCharType="separate"/>
        </w:r>
        <w:r w:rsidR="00F262EF">
          <w:rPr>
            <w:webHidden/>
          </w:rPr>
          <w:t>15</w:t>
        </w:r>
        <w:r w:rsidR="00F262EF">
          <w:rPr>
            <w:webHidden/>
          </w:rPr>
          <w:fldChar w:fldCharType="end"/>
        </w:r>
      </w:hyperlink>
    </w:p>
    <w:p w14:paraId="7EC612F1" w14:textId="22F7E402" w:rsidR="00F262EF" w:rsidRDefault="00000000">
      <w:pPr>
        <w:pStyle w:val="INNH2"/>
        <w:rPr>
          <w:rFonts w:eastAsiaTheme="minorEastAsia"/>
          <w:color w:val="auto"/>
          <w:kern w:val="2"/>
          <w:sz w:val="22"/>
          <w:szCs w:val="22"/>
          <w:lang w:eastAsia="nb-NO"/>
          <w14:ligatures w14:val="standardContextual"/>
        </w:rPr>
      </w:pPr>
      <w:hyperlink w:anchor="_Toc134792717" w:history="1">
        <w:r w:rsidR="00F262EF" w:rsidRPr="00F15E40">
          <w:rPr>
            <w:rStyle w:val="Hyperkobling"/>
          </w:rPr>
          <w:t>2.1</w:t>
        </w:r>
        <w:r w:rsidR="00F262EF">
          <w:rPr>
            <w:rFonts w:eastAsiaTheme="minorEastAsia"/>
            <w:color w:val="auto"/>
            <w:kern w:val="2"/>
            <w:sz w:val="22"/>
            <w:szCs w:val="22"/>
            <w:lang w:eastAsia="nb-NO"/>
            <w14:ligatures w14:val="standardContextual"/>
          </w:rPr>
          <w:tab/>
        </w:r>
        <w:r w:rsidR="00F262EF" w:rsidRPr="00F15E40">
          <w:rPr>
            <w:rStyle w:val="Hyperkobling"/>
          </w:rPr>
          <w:t>Søkere</w:t>
        </w:r>
        <w:r w:rsidR="00F262EF">
          <w:rPr>
            <w:webHidden/>
          </w:rPr>
          <w:tab/>
        </w:r>
        <w:r w:rsidR="00F262EF">
          <w:rPr>
            <w:webHidden/>
          </w:rPr>
          <w:fldChar w:fldCharType="begin"/>
        </w:r>
        <w:r w:rsidR="00F262EF">
          <w:rPr>
            <w:webHidden/>
          </w:rPr>
          <w:instrText xml:space="preserve"> PAGEREF _Toc134792717 \h </w:instrText>
        </w:r>
        <w:r w:rsidR="00F262EF">
          <w:rPr>
            <w:webHidden/>
          </w:rPr>
        </w:r>
        <w:r w:rsidR="00F262EF">
          <w:rPr>
            <w:webHidden/>
          </w:rPr>
          <w:fldChar w:fldCharType="separate"/>
        </w:r>
        <w:r w:rsidR="00F262EF">
          <w:rPr>
            <w:webHidden/>
          </w:rPr>
          <w:t>15</w:t>
        </w:r>
        <w:r w:rsidR="00F262EF">
          <w:rPr>
            <w:webHidden/>
          </w:rPr>
          <w:fldChar w:fldCharType="end"/>
        </w:r>
      </w:hyperlink>
    </w:p>
    <w:p w14:paraId="0FD1B372" w14:textId="46A4F2DB" w:rsidR="00F262EF" w:rsidRDefault="00000000">
      <w:pPr>
        <w:pStyle w:val="INNH2"/>
        <w:rPr>
          <w:rFonts w:eastAsiaTheme="minorEastAsia"/>
          <w:color w:val="auto"/>
          <w:kern w:val="2"/>
          <w:sz w:val="22"/>
          <w:szCs w:val="22"/>
          <w:lang w:eastAsia="nb-NO"/>
          <w14:ligatures w14:val="standardContextual"/>
        </w:rPr>
      </w:pPr>
      <w:hyperlink w:anchor="_Toc134792718" w:history="1">
        <w:r w:rsidR="00F262EF" w:rsidRPr="00F15E40">
          <w:rPr>
            <w:rStyle w:val="Hyperkobling"/>
          </w:rPr>
          <w:t>2.2</w:t>
        </w:r>
        <w:r w:rsidR="00F262EF">
          <w:rPr>
            <w:rFonts w:eastAsiaTheme="minorEastAsia"/>
            <w:color w:val="auto"/>
            <w:kern w:val="2"/>
            <w:sz w:val="22"/>
            <w:szCs w:val="22"/>
            <w:lang w:eastAsia="nb-NO"/>
            <w14:ligatures w14:val="standardContextual"/>
          </w:rPr>
          <w:tab/>
        </w:r>
        <w:r w:rsidR="00F262EF" w:rsidRPr="00F15E40">
          <w:rPr>
            <w:rStyle w:val="Hyperkobling"/>
          </w:rPr>
          <w:t>Studenter</w:t>
        </w:r>
        <w:r w:rsidR="00F262EF">
          <w:rPr>
            <w:webHidden/>
          </w:rPr>
          <w:tab/>
        </w:r>
        <w:r w:rsidR="00F262EF">
          <w:rPr>
            <w:webHidden/>
          </w:rPr>
          <w:fldChar w:fldCharType="begin"/>
        </w:r>
        <w:r w:rsidR="00F262EF">
          <w:rPr>
            <w:webHidden/>
          </w:rPr>
          <w:instrText xml:space="preserve"> PAGEREF _Toc134792718 \h </w:instrText>
        </w:r>
        <w:r w:rsidR="00F262EF">
          <w:rPr>
            <w:webHidden/>
          </w:rPr>
        </w:r>
        <w:r w:rsidR="00F262EF">
          <w:rPr>
            <w:webHidden/>
          </w:rPr>
          <w:fldChar w:fldCharType="separate"/>
        </w:r>
        <w:r w:rsidR="00F262EF">
          <w:rPr>
            <w:webHidden/>
          </w:rPr>
          <w:t>18</w:t>
        </w:r>
        <w:r w:rsidR="00F262EF">
          <w:rPr>
            <w:webHidden/>
          </w:rPr>
          <w:fldChar w:fldCharType="end"/>
        </w:r>
      </w:hyperlink>
    </w:p>
    <w:p w14:paraId="7ADDD4AF" w14:textId="3E838066" w:rsidR="00F262EF" w:rsidRDefault="00000000">
      <w:pPr>
        <w:pStyle w:val="INNH2"/>
        <w:rPr>
          <w:rFonts w:eastAsiaTheme="minorEastAsia"/>
          <w:color w:val="auto"/>
          <w:kern w:val="2"/>
          <w:sz w:val="22"/>
          <w:szCs w:val="22"/>
          <w:lang w:eastAsia="nb-NO"/>
          <w14:ligatures w14:val="standardContextual"/>
        </w:rPr>
      </w:pPr>
      <w:hyperlink w:anchor="_Toc134792719" w:history="1">
        <w:r w:rsidR="00F262EF" w:rsidRPr="00F15E40">
          <w:rPr>
            <w:rStyle w:val="Hyperkobling"/>
          </w:rPr>
          <w:t>2.3</w:t>
        </w:r>
        <w:r w:rsidR="00F262EF">
          <w:rPr>
            <w:rFonts w:eastAsiaTheme="minorEastAsia"/>
            <w:color w:val="auto"/>
            <w:kern w:val="2"/>
            <w:sz w:val="22"/>
            <w:szCs w:val="22"/>
            <w:lang w:eastAsia="nb-NO"/>
            <w14:ligatures w14:val="standardContextual"/>
          </w:rPr>
          <w:tab/>
        </w:r>
        <w:r w:rsidR="00F262EF" w:rsidRPr="00F15E40">
          <w:rPr>
            <w:rStyle w:val="Hyperkobling"/>
          </w:rPr>
          <w:t>Studenter etter kjønn, alder og fag</w:t>
        </w:r>
        <w:r w:rsidR="00F262EF">
          <w:rPr>
            <w:webHidden/>
          </w:rPr>
          <w:tab/>
        </w:r>
        <w:r w:rsidR="00F262EF">
          <w:rPr>
            <w:webHidden/>
          </w:rPr>
          <w:fldChar w:fldCharType="begin"/>
        </w:r>
        <w:r w:rsidR="00F262EF">
          <w:rPr>
            <w:webHidden/>
          </w:rPr>
          <w:instrText xml:space="preserve"> PAGEREF _Toc134792719 \h </w:instrText>
        </w:r>
        <w:r w:rsidR="00F262EF">
          <w:rPr>
            <w:webHidden/>
          </w:rPr>
        </w:r>
        <w:r w:rsidR="00F262EF">
          <w:rPr>
            <w:webHidden/>
          </w:rPr>
          <w:fldChar w:fldCharType="separate"/>
        </w:r>
        <w:r w:rsidR="00F262EF">
          <w:rPr>
            <w:webHidden/>
          </w:rPr>
          <w:t>20</w:t>
        </w:r>
        <w:r w:rsidR="00F262EF">
          <w:rPr>
            <w:webHidden/>
          </w:rPr>
          <w:fldChar w:fldCharType="end"/>
        </w:r>
      </w:hyperlink>
    </w:p>
    <w:p w14:paraId="2B35273A" w14:textId="78F920CE" w:rsidR="00F262EF" w:rsidRDefault="00000000">
      <w:pPr>
        <w:pStyle w:val="INNH2"/>
        <w:rPr>
          <w:rFonts w:eastAsiaTheme="minorEastAsia"/>
          <w:color w:val="auto"/>
          <w:kern w:val="2"/>
          <w:sz w:val="22"/>
          <w:szCs w:val="22"/>
          <w:lang w:eastAsia="nb-NO"/>
          <w14:ligatures w14:val="standardContextual"/>
        </w:rPr>
      </w:pPr>
      <w:hyperlink w:anchor="_Toc134792720" w:history="1">
        <w:r w:rsidR="00F262EF" w:rsidRPr="00F15E40">
          <w:rPr>
            <w:rStyle w:val="Hyperkobling"/>
          </w:rPr>
          <w:t>2.4</w:t>
        </w:r>
        <w:r w:rsidR="00F262EF">
          <w:rPr>
            <w:rFonts w:eastAsiaTheme="minorEastAsia"/>
            <w:color w:val="auto"/>
            <w:kern w:val="2"/>
            <w:sz w:val="22"/>
            <w:szCs w:val="22"/>
            <w:lang w:eastAsia="nb-NO"/>
            <w14:ligatures w14:val="standardContextual"/>
          </w:rPr>
          <w:tab/>
        </w:r>
        <w:r w:rsidR="00F262EF" w:rsidRPr="00F15E40">
          <w:rPr>
            <w:rStyle w:val="Hyperkobling"/>
          </w:rPr>
          <w:t>Studiepoeng per faglige årsverk – nasjonal styringsparameter</w:t>
        </w:r>
        <w:r w:rsidR="00F262EF">
          <w:rPr>
            <w:webHidden/>
          </w:rPr>
          <w:tab/>
        </w:r>
        <w:r w:rsidR="00F262EF">
          <w:rPr>
            <w:webHidden/>
          </w:rPr>
          <w:fldChar w:fldCharType="begin"/>
        </w:r>
        <w:r w:rsidR="00F262EF">
          <w:rPr>
            <w:webHidden/>
          </w:rPr>
          <w:instrText xml:space="preserve"> PAGEREF _Toc134792720 \h </w:instrText>
        </w:r>
        <w:r w:rsidR="00F262EF">
          <w:rPr>
            <w:webHidden/>
          </w:rPr>
        </w:r>
        <w:r w:rsidR="00F262EF">
          <w:rPr>
            <w:webHidden/>
          </w:rPr>
          <w:fldChar w:fldCharType="separate"/>
        </w:r>
        <w:r w:rsidR="00F262EF">
          <w:rPr>
            <w:webHidden/>
          </w:rPr>
          <w:t>24</w:t>
        </w:r>
        <w:r w:rsidR="00F262EF">
          <w:rPr>
            <w:webHidden/>
          </w:rPr>
          <w:fldChar w:fldCharType="end"/>
        </w:r>
      </w:hyperlink>
    </w:p>
    <w:p w14:paraId="312E940B" w14:textId="71A11240" w:rsidR="00F262EF" w:rsidRDefault="00000000">
      <w:pPr>
        <w:pStyle w:val="INNH2"/>
        <w:rPr>
          <w:rFonts w:eastAsiaTheme="minorEastAsia"/>
          <w:color w:val="auto"/>
          <w:kern w:val="2"/>
          <w:sz w:val="22"/>
          <w:szCs w:val="22"/>
          <w:lang w:eastAsia="nb-NO"/>
          <w14:ligatures w14:val="standardContextual"/>
        </w:rPr>
      </w:pPr>
      <w:hyperlink w:anchor="_Toc134792721" w:history="1">
        <w:r w:rsidR="00F262EF" w:rsidRPr="00F15E40">
          <w:rPr>
            <w:rStyle w:val="Hyperkobling"/>
          </w:rPr>
          <w:t>2.5</w:t>
        </w:r>
        <w:r w:rsidR="00F262EF">
          <w:rPr>
            <w:rFonts w:eastAsiaTheme="minorEastAsia"/>
            <w:color w:val="auto"/>
            <w:kern w:val="2"/>
            <w:sz w:val="22"/>
            <w:szCs w:val="22"/>
            <w:lang w:eastAsia="nb-NO"/>
            <w14:ligatures w14:val="standardContextual"/>
          </w:rPr>
          <w:tab/>
        </w:r>
        <w:r w:rsidR="00F262EF" w:rsidRPr="00F15E40">
          <w:rPr>
            <w:rStyle w:val="Hyperkobling"/>
          </w:rPr>
          <w:t>Gjennomføring på normert tid – nasjonal styringsparameter</w:t>
        </w:r>
        <w:r w:rsidR="00F262EF">
          <w:rPr>
            <w:webHidden/>
          </w:rPr>
          <w:tab/>
        </w:r>
        <w:r w:rsidR="00F262EF">
          <w:rPr>
            <w:webHidden/>
          </w:rPr>
          <w:fldChar w:fldCharType="begin"/>
        </w:r>
        <w:r w:rsidR="00F262EF">
          <w:rPr>
            <w:webHidden/>
          </w:rPr>
          <w:instrText xml:space="preserve"> PAGEREF _Toc134792721 \h </w:instrText>
        </w:r>
        <w:r w:rsidR="00F262EF">
          <w:rPr>
            <w:webHidden/>
          </w:rPr>
        </w:r>
        <w:r w:rsidR="00F262EF">
          <w:rPr>
            <w:webHidden/>
          </w:rPr>
          <w:fldChar w:fldCharType="separate"/>
        </w:r>
        <w:r w:rsidR="00F262EF">
          <w:rPr>
            <w:webHidden/>
          </w:rPr>
          <w:t>26</w:t>
        </w:r>
        <w:r w:rsidR="00F262EF">
          <w:rPr>
            <w:webHidden/>
          </w:rPr>
          <w:fldChar w:fldCharType="end"/>
        </w:r>
      </w:hyperlink>
    </w:p>
    <w:p w14:paraId="62F237C5" w14:textId="0E230F11" w:rsidR="00F262EF" w:rsidRDefault="00000000">
      <w:pPr>
        <w:pStyle w:val="INNH2"/>
        <w:rPr>
          <w:rFonts w:eastAsiaTheme="minorEastAsia"/>
          <w:color w:val="auto"/>
          <w:kern w:val="2"/>
          <w:sz w:val="22"/>
          <w:szCs w:val="22"/>
          <w:lang w:eastAsia="nb-NO"/>
          <w14:ligatures w14:val="standardContextual"/>
        </w:rPr>
      </w:pPr>
      <w:hyperlink w:anchor="_Toc134792722" w:history="1">
        <w:r w:rsidR="00F262EF" w:rsidRPr="00F15E40">
          <w:rPr>
            <w:rStyle w:val="Hyperkobling"/>
          </w:rPr>
          <w:t>2.6</w:t>
        </w:r>
        <w:r w:rsidR="00F262EF">
          <w:rPr>
            <w:rFonts w:eastAsiaTheme="minorEastAsia"/>
            <w:color w:val="auto"/>
            <w:kern w:val="2"/>
            <w:sz w:val="22"/>
            <w:szCs w:val="22"/>
            <w:lang w:eastAsia="nb-NO"/>
            <w14:ligatures w14:val="standardContextual"/>
          </w:rPr>
          <w:tab/>
        </w:r>
        <w:r w:rsidR="00F262EF" w:rsidRPr="00F15E40">
          <w:rPr>
            <w:rStyle w:val="Hyperkobling"/>
          </w:rPr>
          <w:t>Uteksaminerte</w:t>
        </w:r>
        <w:r w:rsidR="00F262EF">
          <w:rPr>
            <w:webHidden/>
          </w:rPr>
          <w:tab/>
        </w:r>
        <w:r w:rsidR="00F262EF">
          <w:rPr>
            <w:webHidden/>
          </w:rPr>
          <w:fldChar w:fldCharType="begin"/>
        </w:r>
        <w:r w:rsidR="00F262EF">
          <w:rPr>
            <w:webHidden/>
          </w:rPr>
          <w:instrText xml:space="preserve"> PAGEREF _Toc134792722 \h </w:instrText>
        </w:r>
        <w:r w:rsidR="00F262EF">
          <w:rPr>
            <w:webHidden/>
          </w:rPr>
        </w:r>
        <w:r w:rsidR="00F262EF">
          <w:rPr>
            <w:webHidden/>
          </w:rPr>
          <w:fldChar w:fldCharType="separate"/>
        </w:r>
        <w:r w:rsidR="00F262EF">
          <w:rPr>
            <w:webHidden/>
          </w:rPr>
          <w:t>27</w:t>
        </w:r>
        <w:r w:rsidR="00F262EF">
          <w:rPr>
            <w:webHidden/>
          </w:rPr>
          <w:fldChar w:fldCharType="end"/>
        </w:r>
      </w:hyperlink>
    </w:p>
    <w:p w14:paraId="01526F3D" w14:textId="65743B37" w:rsidR="00F262EF" w:rsidRDefault="00000000">
      <w:pPr>
        <w:pStyle w:val="INNH2"/>
        <w:rPr>
          <w:rFonts w:eastAsiaTheme="minorEastAsia"/>
          <w:color w:val="auto"/>
          <w:kern w:val="2"/>
          <w:sz w:val="22"/>
          <w:szCs w:val="22"/>
          <w:lang w:eastAsia="nb-NO"/>
          <w14:ligatures w14:val="standardContextual"/>
        </w:rPr>
      </w:pPr>
      <w:hyperlink w:anchor="_Toc134792723" w:history="1">
        <w:r w:rsidR="00F262EF" w:rsidRPr="00F15E40">
          <w:rPr>
            <w:rStyle w:val="Hyperkobling"/>
          </w:rPr>
          <w:t>2.7</w:t>
        </w:r>
        <w:r w:rsidR="00F262EF">
          <w:rPr>
            <w:rFonts w:eastAsiaTheme="minorEastAsia"/>
            <w:color w:val="auto"/>
            <w:kern w:val="2"/>
            <w:sz w:val="22"/>
            <w:szCs w:val="22"/>
            <w:lang w:eastAsia="nb-NO"/>
            <w14:ligatures w14:val="standardContextual"/>
          </w:rPr>
          <w:tab/>
        </w:r>
        <w:r w:rsidR="00F262EF" w:rsidRPr="00F15E40">
          <w:rPr>
            <w:rStyle w:val="Hyperkobling"/>
          </w:rPr>
          <w:t>Nasjonal deleksamen – resultater for sykepleie</w:t>
        </w:r>
        <w:r w:rsidR="00F262EF">
          <w:rPr>
            <w:webHidden/>
          </w:rPr>
          <w:tab/>
        </w:r>
        <w:r w:rsidR="00F262EF">
          <w:rPr>
            <w:webHidden/>
          </w:rPr>
          <w:fldChar w:fldCharType="begin"/>
        </w:r>
        <w:r w:rsidR="00F262EF">
          <w:rPr>
            <w:webHidden/>
          </w:rPr>
          <w:instrText xml:space="preserve"> PAGEREF _Toc134792723 \h </w:instrText>
        </w:r>
        <w:r w:rsidR="00F262EF">
          <w:rPr>
            <w:webHidden/>
          </w:rPr>
        </w:r>
        <w:r w:rsidR="00F262EF">
          <w:rPr>
            <w:webHidden/>
          </w:rPr>
          <w:fldChar w:fldCharType="separate"/>
        </w:r>
        <w:r w:rsidR="00F262EF">
          <w:rPr>
            <w:webHidden/>
          </w:rPr>
          <w:t>29</w:t>
        </w:r>
        <w:r w:rsidR="00F262EF">
          <w:rPr>
            <w:webHidden/>
          </w:rPr>
          <w:fldChar w:fldCharType="end"/>
        </w:r>
      </w:hyperlink>
    </w:p>
    <w:p w14:paraId="52823580" w14:textId="12ABEBD3" w:rsidR="00F262EF" w:rsidRDefault="00000000">
      <w:pPr>
        <w:pStyle w:val="INNH2"/>
        <w:rPr>
          <w:rFonts w:eastAsiaTheme="minorEastAsia"/>
          <w:color w:val="auto"/>
          <w:kern w:val="2"/>
          <w:sz w:val="22"/>
          <w:szCs w:val="22"/>
          <w:lang w:eastAsia="nb-NO"/>
          <w14:ligatures w14:val="standardContextual"/>
        </w:rPr>
      </w:pPr>
      <w:hyperlink w:anchor="_Toc134792724" w:history="1">
        <w:r w:rsidR="00F262EF" w:rsidRPr="00F15E40">
          <w:rPr>
            <w:rStyle w:val="Hyperkobling"/>
          </w:rPr>
          <w:t>2.8</w:t>
        </w:r>
        <w:r w:rsidR="00F262EF">
          <w:rPr>
            <w:rFonts w:eastAsiaTheme="minorEastAsia"/>
            <w:color w:val="auto"/>
            <w:kern w:val="2"/>
            <w:sz w:val="22"/>
            <w:szCs w:val="22"/>
            <w:lang w:eastAsia="nb-NO"/>
            <w14:ligatures w14:val="standardContextual"/>
          </w:rPr>
          <w:tab/>
        </w:r>
        <w:r w:rsidR="00F262EF" w:rsidRPr="00F15E40">
          <w:rPr>
            <w:rStyle w:val="Hyperkobling"/>
          </w:rPr>
          <w:t>Nasjonal deleksamen i matematikk for grunnskolelærerutdanningene (GLU), trinn 1–7 og 5–10</w:t>
        </w:r>
        <w:r w:rsidR="00F262EF">
          <w:rPr>
            <w:webHidden/>
          </w:rPr>
          <w:tab/>
        </w:r>
        <w:r w:rsidR="00F262EF">
          <w:rPr>
            <w:webHidden/>
          </w:rPr>
          <w:fldChar w:fldCharType="begin"/>
        </w:r>
        <w:r w:rsidR="00F262EF">
          <w:rPr>
            <w:webHidden/>
          </w:rPr>
          <w:instrText xml:space="preserve"> PAGEREF _Toc134792724 \h </w:instrText>
        </w:r>
        <w:r w:rsidR="00F262EF">
          <w:rPr>
            <w:webHidden/>
          </w:rPr>
        </w:r>
        <w:r w:rsidR="00F262EF">
          <w:rPr>
            <w:webHidden/>
          </w:rPr>
          <w:fldChar w:fldCharType="separate"/>
        </w:r>
        <w:r w:rsidR="00F262EF">
          <w:rPr>
            <w:webHidden/>
          </w:rPr>
          <w:t>30</w:t>
        </w:r>
        <w:r w:rsidR="00F262EF">
          <w:rPr>
            <w:webHidden/>
          </w:rPr>
          <w:fldChar w:fldCharType="end"/>
        </w:r>
      </w:hyperlink>
    </w:p>
    <w:p w14:paraId="684B4E22" w14:textId="452521FA" w:rsidR="00F262EF" w:rsidRDefault="00000000">
      <w:pPr>
        <w:pStyle w:val="INNH2"/>
        <w:rPr>
          <w:rFonts w:eastAsiaTheme="minorEastAsia"/>
          <w:color w:val="auto"/>
          <w:kern w:val="2"/>
          <w:sz w:val="22"/>
          <w:szCs w:val="22"/>
          <w:lang w:eastAsia="nb-NO"/>
          <w14:ligatures w14:val="standardContextual"/>
        </w:rPr>
      </w:pPr>
      <w:hyperlink w:anchor="_Toc134792725" w:history="1">
        <w:r w:rsidR="00F262EF" w:rsidRPr="00F15E40">
          <w:rPr>
            <w:rStyle w:val="Hyperkobling"/>
          </w:rPr>
          <w:t>2.9</w:t>
        </w:r>
        <w:r w:rsidR="00F262EF">
          <w:rPr>
            <w:rFonts w:eastAsiaTheme="minorEastAsia"/>
            <w:color w:val="auto"/>
            <w:kern w:val="2"/>
            <w:sz w:val="22"/>
            <w:szCs w:val="22"/>
            <w:lang w:eastAsia="nb-NO"/>
            <w14:ligatures w14:val="standardContextual"/>
          </w:rPr>
          <w:tab/>
        </w:r>
        <w:r w:rsidR="00F262EF" w:rsidRPr="00F15E40">
          <w:rPr>
            <w:rStyle w:val="Hyperkobling"/>
          </w:rPr>
          <w:t>Oppfyllelse måltall på helsefag- og lærerutdanningene - nasjonal styringsparameter</w:t>
        </w:r>
        <w:r w:rsidR="00F262EF">
          <w:rPr>
            <w:webHidden/>
          </w:rPr>
          <w:tab/>
        </w:r>
        <w:r w:rsidR="00F262EF">
          <w:rPr>
            <w:webHidden/>
          </w:rPr>
          <w:fldChar w:fldCharType="begin"/>
        </w:r>
        <w:r w:rsidR="00F262EF">
          <w:rPr>
            <w:webHidden/>
          </w:rPr>
          <w:instrText xml:space="preserve"> PAGEREF _Toc134792725 \h </w:instrText>
        </w:r>
        <w:r w:rsidR="00F262EF">
          <w:rPr>
            <w:webHidden/>
          </w:rPr>
        </w:r>
        <w:r w:rsidR="00F262EF">
          <w:rPr>
            <w:webHidden/>
          </w:rPr>
          <w:fldChar w:fldCharType="separate"/>
        </w:r>
        <w:r w:rsidR="00F262EF">
          <w:rPr>
            <w:webHidden/>
          </w:rPr>
          <w:t>32</w:t>
        </w:r>
        <w:r w:rsidR="00F262EF">
          <w:rPr>
            <w:webHidden/>
          </w:rPr>
          <w:fldChar w:fldCharType="end"/>
        </w:r>
      </w:hyperlink>
    </w:p>
    <w:p w14:paraId="2C016377" w14:textId="70D78A5A"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26" w:history="1">
        <w:r w:rsidR="00F262EF" w:rsidRPr="00F15E40">
          <w:rPr>
            <w:rStyle w:val="Hyperkobling"/>
          </w:rPr>
          <w:t>2.10</w:t>
        </w:r>
        <w:r w:rsidR="00F262EF">
          <w:rPr>
            <w:rFonts w:eastAsiaTheme="minorEastAsia"/>
            <w:color w:val="auto"/>
            <w:kern w:val="2"/>
            <w:sz w:val="22"/>
            <w:szCs w:val="22"/>
            <w:lang w:eastAsia="nb-NO"/>
            <w14:ligatures w14:val="standardContextual"/>
          </w:rPr>
          <w:tab/>
        </w:r>
        <w:r w:rsidR="00F262EF" w:rsidRPr="00F15E40">
          <w:rPr>
            <w:rStyle w:val="Hyperkobling"/>
          </w:rPr>
          <w:t>Studentenes tidsbruk - nasjonal styringsparameter</w:t>
        </w:r>
        <w:r w:rsidR="00F262EF">
          <w:rPr>
            <w:webHidden/>
          </w:rPr>
          <w:tab/>
        </w:r>
        <w:r w:rsidR="00F262EF">
          <w:rPr>
            <w:webHidden/>
          </w:rPr>
          <w:fldChar w:fldCharType="begin"/>
        </w:r>
        <w:r w:rsidR="00F262EF">
          <w:rPr>
            <w:webHidden/>
          </w:rPr>
          <w:instrText xml:space="preserve"> PAGEREF _Toc134792726 \h </w:instrText>
        </w:r>
        <w:r w:rsidR="00F262EF">
          <w:rPr>
            <w:webHidden/>
          </w:rPr>
        </w:r>
        <w:r w:rsidR="00F262EF">
          <w:rPr>
            <w:webHidden/>
          </w:rPr>
          <w:fldChar w:fldCharType="separate"/>
        </w:r>
        <w:r w:rsidR="00F262EF">
          <w:rPr>
            <w:webHidden/>
          </w:rPr>
          <w:t>35</w:t>
        </w:r>
        <w:r w:rsidR="00F262EF">
          <w:rPr>
            <w:webHidden/>
          </w:rPr>
          <w:fldChar w:fldCharType="end"/>
        </w:r>
      </w:hyperlink>
    </w:p>
    <w:p w14:paraId="4C51A266" w14:textId="27FF6A0E"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27" w:history="1">
        <w:r w:rsidR="00F262EF" w:rsidRPr="00F15E40">
          <w:rPr>
            <w:rStyle w:val="Hyperkobling"/>
          </w:rPr>
          <w:t>2.11</w:t>
        </w:r>
        <w:r w:rsidR="00F262EF">
          <w:rPr>
            <w:rFonts w:eastAsiaTheme="minorEastAsia"/>
            <w:color w:val="auto"/>
            <w:kern w:val="2"/>
            <w:sz w:val="22"/>
            <w:szCs w:val="22"/>
            <w:lang w:eastAsia="nb-NO"/>
            <w14:ligatures w14:val="standardContextual"/>
          </w:rPr>
          <w:tab/>
        </w:r>
        <w:r w:rsidR="00F262EF" w:rsidRPr="00F15E40">
          <w:rPr>
            <w:rStyle w:val="Hyperkobling"/>
          </w:rPr>
          <w:t>Studenttilfredshet - nasjonal styringsparameter</w:t>
        </w:r>
        <w:r w:rsidR="00F262EF">
          <w:rPr>
            <w:webHidden/>
          </w:rPr>
          <w:tab/>
        </w:r>
        <w:r w:rsidR="00F262EF">
          <w:rPr>
            <w:webHidden/>
          </w:rPr>
          <w:fldChar w:fldCharType="begin"/>
        </w:r>
        <w:r w:rsidR="00F262EF">
          <w:rPr>
            <w:webHidden/>
          </w:rPr>
          <w:instrText xml:space="preserve"> PAGEREF _Toc134792727 \h </w:instrText>
        </w:r>
        <w:r w:rsidR="00F262EF">
          <w:rPr>
            <w:webHidden/>
          </w:rPr>
        </w:r>
        <w:r w:rsidR="00F262EF">
          <w:rPr>
            <w:webHidden/>
          </w:rPr>
          <w:fldChar w:fldCharType="separate"/>
        </w:r>
        <w:r w:rsidR="00F262EF">
          <w:rPr>
            <w:webHidden/>
          </w:rPr>
          <w:t>37</w:t>
        </w:r>
        <w:r w:rsidR="00F262EF">
          <w:rPr>
            <w:webHidden/>
          </w:rPr>
          <w:fldChar w:fldCharType="end"/>
        </w:r>
      </w:hyperlink>
    </w:p>
    <w:p w14:paraId="72CFF88C" w14:textId="7BE00739"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28" w:history="1">
        <w:r w:rsidR="00F262EF" w:rsidRPr="00F15E40">
          <w:rPr>
            <w:rStyle w:val="Hyperkobling"/>
          </w:rPr>
          <w:t>2.12</w:t>
        </w:r>
        <w:r w:rsidR="00F262EF">
          <w:rPr>
            <w:rFonts w:eastAsiaTheme="minorEastAsia"/>
            <w:color w:val="auto"/>
            <w:kern w:val="2"/>
            <w:sz w:val="22"/>
            <w:szCs w:val="22"/>
            <w:lang w:eastAsia="nb-NO"/>
            <w14:ligatures w14:val="standardContextual"/>
          </w:rPr>
          <w:tab/>
        </w:r>
        <w:r w:rsidR="00F262EF" w:rsidRPr="00F15E40">
          <w:rPr>
            <w:rStyle w:val="Hyperkobling"/>
          </w:rPr>
          <w:t>Studenter på fleksible studietilbud</w:t>
        </w:r>
        <w:r w:rsidR="00F262EF">
          <w:rPr>
            <w:webHidden/>
          </w:rPr>
          <w:tab/>
        </w:r>
        <w:r w:rsidR="00F262EF">
          <w:rPr>
            <w:webHidden/>
          </w:rPr>
          <w:fldChar w:fldCharType="begin"/>
        </w:r>
        <w:r w:rsidR="00F262EF">
          <w:rPr>
            <w:webHidden/>
          </w:rPr>
          <w:instrText xml:space="preserve"> PAGEREF _Toc134792728 \h </w:instrText>
        </w:r>
        <w:r w:rsidR="00F262EF">
          <w:rPr>
            <w:webHidden/>
          </w:rPr>
        </w:r>
        <w:r w:rsidR="00F262EF">
          <w:rPr>
            <w:webHidden/>
          </w:rPr>
          <w:fldChar w:fldCharType="separate"/>
        </w:r>
        <w:r w:rsidR="00F262EF">
          <w:rPr>
            <w:webHidden/>
          </w:rPr>
          <w:t>40</w:t>
        </w:r>
        <w:r w:rsidR="00F262EF">
          <w:rPr>
            <w:webHidden/>
          </w:rPr>
          <w:fldChar w:fldCharType="end"/>
        </w:r>
      </w:hyperlink>
    </w:p>
    <w:p w14:paraId="2F7EF65E" w14:textId="4C8740EA"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29" w:history="1">
        <w:r w:rsidR="00F262EF" w:rsidRPr="00F15E40">
          <w:rPr>
            <w:rStyle w:val="Hyperkobling"/>
          </w:rPr>
          <w:t>2.13</w:t>
        </w:r>
        <w:r w:rsidR="00F262EF">
          <w:rPr>
            <w:rFonts w:eastAsiaTheme="minorEastAsia"/>
            <w:color w:val="auto"/>
            <w:kern w:val="2"/>
            <w:sz w:val="22"/>
            <w:szCs w:val="22"/>
            <w:lang w:eastAsia="nb-NO"/>
            <w14:ligatures w14:val="standardContextual"/>
          </w:rPr>
          <w:tab/>
        </w:r>
        <w:r w:rsidR="00F262EF" w:rsidRPr="00F15E40">
          <w:rPr>
            <w:rStyle w:val="Hyperkobling"/>
          </w:rPr>
          <w:t>Bruk og utbytte av digitale verktøy i høyere utdanning</w:t>
        </w:r>
        <w:r w:rsidR="00F262EF">
          <w:rPr>
            <w:webHidden/>
          </w:rPr>
          <w:tab/>
        </w:r>
        <w:r w:rsidR="00F262EF">
          <w:rPr>
            <w:webHidden/>
          </w:rPr>
          <w:fldChar w:fldCharType="begin"/>
        </w:r>
        <w:r w:rsidR="00F262EF">
          <w:rPr>
            <w:webHidden/>
          </w:rPr>
          <w:instrText xml:space="preserve"> PAGEREF _Toc134792729 \h </w:instrText>
        </w:r>
        <w:r w:rsidR="00F262EF">
          <w:rPr>
            <w:webHidden/>
          </w:rPr>
        </w:r>
        <w:r w:rsidR="00F262EF">
          <w:rPr>
            <w:webHidden/>
          </w:rPr>
          <w:fldChar w:fldCharType="separate"/>
        </w:r>
        <w:r w:rsidR="00F262EF">
          <w:rPr>
            <w:webHidden/>
          </w:rPr>
          <w:t>42</w:t>
        </w:r>
        <w:r w:rsidR="00F262EF">
          <w:rPr>
            <w:webHidden/>
          </w:rPr>
          <w:fldChar w:fldCharType="end"/>
        </w:r>
      </w:hyperlink>
    </w:p>
    <w:p w14:paraId="34BE3004" w14:textId="48EE3A09"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30" w:history="1">
        <w:r w:rsidR="00F262EF" w:rsidRPr="00F15E40">
          <w:rPr>
            <w:rStyle w:val="Hyperkobling"/>
          </w:rPr>
          <w:t>2.14</w:t>
        </w:r>
        <w:r w:rsidR="00F262EF">
          <w:rPr>
            <w:rFonts w:eastAsiaTheme="minorEastAsia"/>
            <w:color w:val="auto"/>
            <w:kern w:val="2"/>
            <w:sz w:val="22"/>
            <w:szCs w:val="22"/>
            <w:lang w:eastAsia="nb-NO"/>
            <w14:ligatures w14:val="standardContextual"/>
          </w:rPr>
          <w:tab/>
        </w:r>
        <w:r w:rsidR="00F262EF" w:rsidRPr="00F15E40">
          <w:rPr>
            <w:rStyle w:val="Hyperkobling"/>
          </w:rPr>
          <w:t>Tilpasning på arbeidsmarkedet - nasjonal styringsparameter</w:t>
        </w:r>
        <w:r w:rsidR="00F262EF">
          <w:rPr>
            <w:webHidden/>
          </w:rPr>
          <w:tab/>
        </w:r>
        <w:r w:rsidR="00F262EF">
          <w:rPr>
            <w:webHidden/>
          </w:rPr>
          <w:fldChar w:fldCharType="begin"/>
        </w:r>
        <w:r w:rsidR="00F262EF">
          <w:rPr>
            <w:webHidden/>
          </w:rPr>
          <w:instrText xml:space="preserve"> PAGEREF _Toc134792730 \h </w:instrText>
        </w:r>
        <w:r w:rsidR="00F262EF">
          <w:rPr>
            <w:webHidden/>
          </w:rPr>
        </w:r>
        <w:r w:rsidR="00F262EF">
          <w:rPr>
            <w:webHidden/>
          </w:rPr>
          <w:fldChar w:fldCharType="separate"/>
        </w:r>
        <w:r w:rsidR="00F262EF">
          <w:rPr>
            <w:webHidden/>
          </w:rPr>
          <w:t>44</w:t>
        </w:r>
        <w:r w:rsidR="00F262EF">
          <w:rPr>
            <w:webHidden/>
          </w:rPr>
          <w:fldChar w:fldCharType="end"/>
        </w:r>
      </w:hyperlink>
    </w:p>
    <w:p w14:paraId="7F44E84F" w14:textId="1FAF81CA"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31" w:history="1">
        <w:r w:rsidR="00F262EF" w:rsidRPr="00F15E40">
          <w:rPr>
            <w:rStyle w:val="Hyperkobling"/>
          </w:rPr>
          <w:t>2.15</w:t>
        </w:r>
        <w:r w:rsidR="00F262EF">
          <w:rPr>
            <w:rFonts w:eastAsiaTheme="minorEastAsia"/>
            <w:color w:val="auto"/>
            <w:kern w:val="2"/>
            <w:sz w:val="22"/>
            <w:szCs w:val="22"/>
            <w:lang w:eastAsia="nb-NO"/>
            <w14:ligatures w14:val="standardContextual"/>
          </w:rPr>
          <w:tab/>
        </w:r>
        <w:r w:rsidR="00F262EF" w:rsidRPr="00F15E40">
          <w:rPr>
            <w:rStyle w:val="Hyperkobling"/>
          </w:rPr>
          <w:t>Studenter med innvandrerbakgrunn</w:t>
        </w:r>
        <w:r w:rsidR="00F262EF">
          <w:rPr>
            <w:webHidden/>
          </w:rPr>
          <w:tab/>
        </w:r>
        <w:r w:rsidR="00F262EF">
          <w:rPr>
            <w:webHidden/>
          </w:rPr>
          <w:fldChar w:fldCharType="begin"/>
        </w:r>
        <w:r w:rsidR="00F262EF">
          <w:rPr>
            <w:webHidden/>
          </w:rPr>
          <w:instrText xml:space="preserve"> PAGEREF _Toc134792731 \h </w:instrText>
        </w:r>
        <w:r w:rsidR="00F262EF">
          <w:rPr>
            <w:webHidden/>
          </w:rPr>
        </w:r>
        <w:r w:rsidR="00F262EF">
          <w:rPr>
            <w:webHidden/>
          </w:rPr>
          <w:fldChar w:fldCharType="separate"/>
        </w:r>
        <w:r w:rsidR="00F262EF">
          <w:rPr>
            <w:webHidden/>
          </w:rPr>
          <w:t>45</w:t>
        </w:r>
        <w:r w:rsidR="00F262EF">
          <w:rPr>
            <w:webHidden/>
          </w:rPr>
          <w:fldChar w:fldCharType="end"/>
        </w:r>
      </w:hyperlink>
    </w:p>
    <w:p w14:paraId="11911D42" w14:textId="701C5495"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32" w:history="1">
        <w:r w:rsidR="00F262EF" w:rsidRPr="00F15E40">
          <w:rPr>
            <w:rStyle w:val="Hyperkobling"/>
          </w:rPr>
          <w:t>2.16</w:t>
        </w:r>
        <w:r w:rsidR="00F262EF">
          <w:rPr>
            <w:rFonts w:eastAsiaTheme="minorEastAsia"/>
            <w:color w:val="auto"/>
            <w:kern w:val="2"/>
            <w:sz w:val="22"/>
            <w:szCs w:val="22"/>
            <w:lang w:eastAsia="nb-NO"/>
            <w14:ligatures w14:val="standardContextual"/>
          </w:rPr>
          <w:tab/>
        </w:r>
        <w:r w:rsidR="00F262EF" w:rsidRPr="00F15E40">
          <w:rPr>
            <w:rStyle w:val="Hyperkobling"/>
          </w:rPr>
          <w:t>Norske gradsstudenter i utlandet</w:t>
        </w:r>
        <w:r w:rsidR="00F262EF">
          <w:rPr>
            <w:webHidden/>
          </w:rPr>
          <w:tab/>
        </w:r>
        <w:r w:rsidR="00F262EF">
          <w:rPr>
            <w:webHidden/>
          </w:rPr>
          <w:fldChar w:fldCharType="begin"/>
        </w:r>
        <w:r w:rsidR="00F262EF">
          <w:rPr>
            <w:webHidden/>
          </w:rPr>
          <w:instrText xml:space="preserve"> PAGEREF _Toc134792732 \h </w:instrText>
        </w:r>
        <w:r w:rsidR="00F262EF">
          <w:rPr>
            <w:webHidden/>
          </w:rPr>
        </w:r>
        <w:r w:rsidR="00F262EF">
          <w:rPr>
            <w:webHidden/>
          </w:rPr>
          <w:fldChar w:fldCharType="separate"/>
        </w:r>
        <w:r w:rsidR="00F262EF">
          <w:rPr>
            <w:webHidden/>
          </w:rPr>
          <w:t>47</w:t>
        </w:r>
        <w:r w:rsidR="00F262EF">
          <w:rPr>
            <w:webHidden/>
          </w:rPr>
          <w:fldChar w:fldCharType="end"/>
        </w:r>
      </w:hyperlink>
    </w:p>
    <w:p w14:paraId="071C1884" w14:textId="19797527"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33" w:history="1">
        <w:r w:rsidR="00F262EF" w:rsidRPr="00F15E40">
          <w:rPr>
            <w:rStyle w:val="Hyperkobling"/>
          </w:rPr>
          <w:t>2.17</w:t>
        </w:r>
        <w:r w:rsidR="00F262EF">
          <w:rPr>
            <w:rFonts w:eastAsiaTheme="minorEastAsia"/>
            <w:color w:val="auto"/>
            <w:kern w:val="2"/>
            <w:sz w:val="22"/>
            <w:szCs w:val="22"/>
            <w:lang w:eastAsia="nb-NO"/>
            <w14:ligatures w14:val="standardContextual"/>
          </w:rPr>
          <w:tab/>
        </w:r>
        <w:r w:rsidR="00F262EF" w:rsidRPr="00F15E40">
          <w:rPr>
            <w:rStyle w:val="Hyperkobling"/>
          </w:rPr>
          <w:t>Internasjonale studenter i Norge</w:t>
        </w:r>
        <w:r w:rsidR="00F262EF">
          <w:rPr>
            <w:webHidden/>
          </w:rPr>
          <w:tab/>
        </w:r>
        <w:r w:rsidR="00F262EF">
          <w:rPr>
            <w:webHidden/>
          </w:rPr>
          <w:fldChar w:fldCharType="begin"/>
        </w:r>
        <w:r w:rsidR="00F262EF">
          <w:rPr>
            <w:webHidden/>
          </w:rPr>
          <w:instrText xml:space="preserve"> PAGEREF _Toc134792733 \h </w:instrText>
        </w:r>
        <w:r w:rsidR="00F262EF">
          <w:rPr>
            <w:webHidden/>
          </w:rPr>
        </w:r>
        <w:r w:rsidR="00F262EF">
          <w:rPr>
            <w:webHidden/>
          </w:rPr>
          <w:fldChar w:fldCharType="separate"/>
        </w:r>
        <w:r w:rsidR="00F262EF">
          <w:rPr>
            <w:webHidden/>
          </w:rPr>
          <w:t>49</w:t>
        </w:r>
        <w:r w:rsidR="00F262EF">
          <w:rPr>
            <w:webHidden/>
          </w:rPr>
          <w:fldChar w:fldCharType="end"/>
        </w:r>
      </w:hyperlink>
    </w:p>
    <w:p w14:paraId="5BE52185" w14:textId="1A703668"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34" w:history="1">
        <w:r w:rsidR="00F262EF" w:rsidRPr="00F15E40">
          <w:rPr>
            <w:rStyle w:val="Hyperkobling"/>
          </w:rPr>
          <w:t>2.18</w:t>
        </w:r>
        <w:r w:rsidR="00F262EF">
          <w:rPr>
            <w:rFonts w:eastAsiaTheme="minorEastAsia"/>
            <w:color w:val="auto"/>
            <w:kern w:val="2"/>
            <w:sz w:val="22"/>
            <w:szCs w:val="22"/>
            <w:lang w:eastAsia="nb-NO"/>
            <w14:ligatures w14:val="standardContextual"/>
          </w:rPr>
          <w:tab/>
        </w:r>
        <w:r w:rsidR="00F262EF" w:rsidRPr="00F15E40">
          <w:rPr>
            <w:rStyle w:val="Hyperkobling"/>
          </w:rPr>
          <w:t>Studentutveksling</w:t>
        </w:r>
        <w:r w:rsidR="00F262EF">
          <w:rPr>
            <w:webHidden/>
          </w:rPr>
          <w:tab/>
        </w:r>
        <w:r w:rsidR="00F262EF">
          <w:rPr>
            <w:webHidden/>
          </w:rPr>
          <w:fldChar w:fldCharType="begin"/>
        </w:r>
        <w:r w:rsidR="00F262EF">
          <w:rPr>
            <w:webHidden/>
          </w:rPr>
          <w:instrText xml:space="preserve"> PAGEREF _Toc134792734 \h </w:instrText>
        </w:r>
        <w:r w:rsidR="00F262EF">
          <w:rPr>
            <w:webHidden/>
          </w:rPr>
        </w:r>
        <w:r w:rsidR="00F262EF">
          <w:rPr>
            <w:webHidden/>
          </w:rPr>
          <w:fldChar w:fldCharType="separate"/>
        </w:r>
        <w:r w:rsidR="00F262EF">
          <w:rPr>
            <w:webHidden/>
          </w:rPr>
          <w:t>51</w:t>
        </w:r>
        <w:r w:rsidR="00F262EF">
          <w:rPr>
            <w:webHidden/>
          </w:rPr>
          <w:fldChar w:fldCharType="end"/>
        </w:r>
      </w:hyperlink>
    </w:p>
    <w:p w14:paraId="0043D38C" w14:textId="38C9C381"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35" w:history="1">
        <w:r w:rsidR="00F262EF" w:rsidRPr="00F15E40">
          <w:rPr>
            <w:rStyle w:val="Hyperkobling"/>
          </w:rPr>
          <w:t>2.19</w:t>
        </w:r>
        <w:r w:rsidR="00F262EF">
          <w:rPr>
            <w:rFonts w:eastAsiaTheme="minorEastAsia"/>
            <w:color w:val="auto"/>
            <w:kern w:val="2"/>
            <w:sz w:val="22"/>
            <w:szCs w:val="22"/>
            <w:lang w:eastAsia="nb-NO"/>
            <w14:ligatures w14:val="standardContextual"/>
          </w:rPr>
          <w:tab/>
        </w:r>
        <w:r w:rsidR="00F262EF" w:rsidRPr="00F15E40">
          <w:rPr>
            <w:rStyle w:val="Hyperkobling"/>
          </w:rPr>
          <w:t>Erasmus+ – nasjonal styringsparameter</w:t>
        </w:r>
        <w:r w:rsidR="00F262EF">
          <w:rPr>
            <w:webHidden/>
          </w:rPr>
          <w:tab/>
        </w:r>
        <w:r w:rsidR="00F262EF">
          <w:rPr>
            <w:webHidden/>
          </w:rPr>
          <w:fldChar w:fldCharType="begin"/>
        </w:r>
        <w:r w:rsidR="00F262EF">
          <w:rPr>
            <w:webHidden/>
          </w:rPr>
          <w:instrText xml:space="preserve"> PAGEREF _Toc134792735 \h </w:instrText>
        </w:r>
        <w:r w:rsidR="00F262EF">
          <w:rPr>
            <w:webHidden/>
          </w:rPr>
        </w:r>
        <w:r w:rsidR="00F262EF">
          <w:rPr>
            <w:webHidden/>
          </w:rPr>
          <w:fldChar w:fldCharType="separate"/>
        </w:r>
        <w:r w:rsidR="00F262EF">
          <w:rPr>
            <w:webHidden/>
          </w:rPr>
          <w:t>54</w:t>
        </w:r>
        <w:r w:rsidR="00F262EF">
          <w:rPr>
            <w:webHidden/>
          </w:rPr>
          <w:fldChar w:fldCharType="end"/>
        </w:r>
      </w:hyperlink>
    </w:p>
    <w:p w14:paraId="4517485F" w14:textId="34420724" w:rsidR="00F262EF" w:rsidRDefault="00000000">
      <w:pPr>
        <w:pStyle w:val="INNH1"/>
        <w:rPr>
          <w:rFonts w:eastAsiaTheme="minorEastAsia"/>
          <w:b w:val="0"/>
          <w:color w:val="auto"/>
          <w:kern w:val="2"/>
          <w:sz w:val="22"/>
          <w:szCs w:val="22"/>
          <w:lang w:eastAsia="nb-NO"/>
          <w14:ligatures w14:val="standardContextual"/>
        </w:rPr>
      </w:pPr>
      <w:hyperlink w:anchor="_Toc134792736" w:history="1">
        <w:r w:rsidR="00F262EF" w:rsidRPr="00F15E40">
          <w:rPr>
            <w:rStyle w:val="Hyperkobling"/>
          </w:rPr>
          <w:t>3</w:t>
        </w:r>
        <w:r w:rsidR="00F262EF">
          <w:rPr>
            <w:rFonts w:eastAsiaTheme="minorEastAsia"/>
            <w:b w:val="0"/>
            <w:color w:val="auto"/>
            <w:kern w:val="2"/>
            <w:sz w:val="22"/>
            <w:szCs w:val="22"/>
            <w:lang w:eastAsia="nb-NO"/>
            <w14:ligatures w14:val="standardContextual"/>
          </w:rPr>
          <w:tab/>
        </w:r>
        <w:r w:rsidR="00F262EF" w:rsidRPr="00F15E40">
          <w:rPr>
            <w:rStyle w:val="Hyperkobling"/>
          </w:rPr>
          <w:t>Doktorgradsutdanning og forskning</w:t>
        </w:r>
        <w:r w:rsidR="00F262EF">
          <w:rPr>
            <w:webHidden/>
          </w:rPr>
          <w:tab/>
        </w:r>
        <w:r w:rsidR="00F262EF">
          <w:rPr>
            <w:webHidden/>
          </w:rPr>
          <w:fldChar w:fldCharType="begin"/>
        </w:r>
        <w:r w:rsidR="00F262EF">
          <w:rPr>
            <w:webHidden/>
          </w:rPr>
          <w:instrText xml:space="preserve"> PAGEREF _Toc134792736 \h </w:instrText>
        </w:r>
        <w:r w:rsidR="00F262EF">
          <w:rPr>
            <w:webHidden/>
          </w:rPr>
        </w:r>
        <w:r w:rsidR="00F262EF">
          <w:rPr>
            <w:webHidden/>
          </w:rPr>
          <w:fldChar w:fldCharType="separate"/>
        </w:r>
        <w:r w:rsidR="00F262EF">
          <w:rPr>
            <w:webHidden/>
          </w:rPr>
          <w:t>56</w:t>
        </w:r>
        <w:r w:rsidR="00F262EF">
          <w:rPr>
            <w:webHidden/>
          </w:rPr>
          <w:fldChar w:fldCharType="end"/>
        </w:r>
      </w:hyperlink>
    </w:p>
    <w:p w14:paraId="29404C4A" w14:textId="298E0404" w:rsidR="00F262EF" w:rsidRDefault="00000000">
      <w:pPr>
        <w:pStyle w:val="INNH2"/>
        <w:rPr>
          <w:rFonts w:eastAsiaTheme="minorEastAsia"/>
          <w:color w:val="auto"/>
          <w:kern w:val="2"/>
          <w:sz w:val="22"/>
          <w:szCs w:val="22"/>
          <w:lang w:eastAsia="nb-NO"/>
          <w14:ligatures w14:val="standardContextual"/>
        </w:rPr>
      </w:pPr>
      <w:hyperlink w:anchor="_Toc134792737" w:history="1">
        <w:r w:rsidR="00F262EF" w:rsidRPr="00F15E40">
          <w:rPr>
            <w:rStyle w:val="Hyperkobling"/>
          </w:rPr>
          <w:t>3.1</w:t>
        </w:r>
        <w:r w:rsidR="00F262EF">
          <w:rPr>
            <w:rFonts w:eastAsiaTheme="minorEastAsia"/>
            <w:color w:val="auto"/>
            <w:kern w:val="2"/>
            <w:sz w:val="22"/>
            <w:szCs w:val="22"/>
            <w:lang w:eastAsia="nb-NO"/>
            <w14:ligatures w14:val="standardContextual"/>
          </w:rPr>
          <w:tab/>
        </w:r>
        <w:r w:rsidR="00F262EF" w:rsidRPr="00F15E40">
          <w:rPr>
            <w:rStyle w:val="Hyperkobling"/>
          </w:rPr>
          <w:t>Avlagte doktorgrader i Norge</w:t>
        </w:r>
        <w:r w:rsidR="00F262EF">
          <w:rPr>
            <w:webHidden/>
          </w:rPr>
          <w:tab/>
        </w:r>
        <w:r w:rsidR="00F262EF">
          <w:rPr>
            <w:webHidden/>
          </w:rPr>
          <w:fldChar w:fldCharType="begin"/>
        </w:r>
        <w:r w:rsidR="00F262EF">
          <w:rPr>
            <w:webHidden/>
          </w:rPr>
          <w:instrText xml:space="preserve"> PAGEREF _Toc134792737 \h </w:instrText>
        </w:r>
        <w:r w:rsidR="00F262EF">
          <w:rPr>
            <w:webHidden/>
          </w:rPr>
        </w:r>
        <w:r w:rsidR="00F262EF">
          <w:rPr>
            <w:webHidden/>
          </w:rPr>
          <w:fldChar w:fldCharType="separate"/>
        </w:r>
        <w:r w:rsidR="00F262EF">
          <w:rPr>
            <w:webHidden/>
          </w:rPr>
          <w:t>57</w:t>
        </w:r>
        <w:r w:rsidR="00F262EF">
          <w:rPr>
            <w:webHidden/>
          </w:rPr>
          <w:fldChar w:fldCharType="end"/>
        </w:r>
      </w:hyperlink>
    </w:p>
    <w:p w14:paraId="22BB8AB3" w14:textId="677FE9E7" w:rsidR="00F262EF" w:rsidRDefault="00000000">
      <w:pPr>
        <w:pStyle w:val="INNH2"/>
        <w:rPr>
          <w:rFonts w:eastAsiaTheme="minorEastAsia"/>
          <w:color w:val="auto"/>
          <w:kern w:val="2"/>
          <w:sz w:val="22"/>
          <w:szCs w:val="22"/>
          <w:lang w:eastAsia="nb-NO"/>
          <w14:ligatures w14:val="standardContextual"/>
        </w:rPr>
      </w:pPr>
      <w:hyperlink w:anchor="_Toc134792738" w:history="1">
        <w:r w:rsidR="00F262EF" w:rsidRPr="00F15E40">
          <w:rPr>
            <w:rStyle w:val="Hyperkobling"/>
          </w:rPr>
          <w:t>3.2</w:t>
        </w:r>
        <w:r w:rsidR="00F262EF">
          <w:rPr>
            <w:rFonts w:eastAsiaTheme="minorEastAsia"/>
            <w:color w:val="auto"/>
            <w:kern w:val="2"/>
            <w:sz w:val="22"/>
            <w:szCs w:val="22"/>
            <w:lang w:eastAsia="nb-NO"/>
            <w14:ligatures w14:val="standardContextual"/>
          </w:rPr>
          <w:tab/>
        </w:r>
        <w:r w:rsidR="00F262EF" w:rsidRPr="00F15E40">
          <w:rPr>
            <w:rStyle w:val="Hyperkobling"/>
          </w:rPr>
          <w:t>Fagområdefordeling på avlagte doktorgrader</w:t>
        </w:r>
        <w:r w:rsidR="00F262EF">
          <w:rPr>
            <w:webHidden/>
          </w:rPr>
          <w:tab/>
        </w:r>
        <w:r w:rsidR="00F262EF">
          <w:rPr>
            <w:webHidden/>
          </w:rPr>
          <w:fldChar w:fldCharType="begin"/>
        </w:r>
        <w:r w:rsidR="00F262EF">
          <w:rPr>
            <w:webHidden/>
          </w:rPr>
          <w:instrText xml:space="preserve"> PAGEREF _Toc134792738 \h </w:instrText>
        </w:r>
        <w:r w:rsidR="00F262EF">
          <w:rPr>
            <w:webHidden/>
          </w:rPr>
        </w:r>
        <w:r w:rsidR="00F262EF">
          <w:rPr>
            <w:webHidden/>
          </w:rPr>
          <w:fldChar w:fldCharType="separate"/>
        </w:r>
        <w:r w:rsidR="00F262EF">
          <w:rPr>
            <w:webHidden/>
          </w:rPr>
          <w:t>58</w:t>
        </w:r>
        <w:r w:rsidR="00F262EF">
          <w:rPr>
            <w:webHidden/>
          </w:rPr>
          <w:fldChar w:fldCharType="end"/>
        </w:r>
      </w:hyperlink>
    </w:p>
    <w:p w14:paraId="0FC4CA60" w14:textId="122252F3" w:rsidR="00F262EF" w:rsidRDefault="00000000">
      <w:pPr>
        <w:pStyle w:val="INNH2"/>
        <w:rPr>
          <w:rFonts w:eastAsiaTheme="minorEastAsia"/>
          <w:color w:val="auto"/>
          <w:kern w:val="2"/>
          <w:sz w:val="22"/>
          <w:szCs w:val="22"/>
          <w:lang w:eastAsia="nb-NO"/>
          <w14:ligatures w14:val="standardContextual"/>
        </w:rPr>
      </w:pPr>
      <w:hyperlink w:anchor="_Toc134792739" w:history="1">
        <w:r w:rsidR="00F262EF" w:rsidRPr="00F15E40">
          <w:rPr>
            <w:rStyle w:val="Hyperkobling"/>
          </w:rPr>
          <w:t>3.3</w:t>
        </w:r>
        <w:r w:rsidR="00F262EF">
          <w:rPr>
            <w:rFonts w:eastAsiaTheme="minorEastAsia"/>
            <w:color w:val="auto"/>
            <w:kern w:val="2"/>
            <w:sz w:val="22"/>
            <w:szCs w:val="22"/>
            <w:lang w:eastAsia="nb-NO"/>
            <w14:ligatures w14:val="standardContextual"/>
          </w:rPr>
          <w:tab/>
        </w:r>
        <w:r w:rsidR="00F262EF" w:rsidRPr="00F15E40">
          <w:rPr>
            <w:rStyle w:val="Hyperkobling"/>
          </w:rPr>
          <w:t>Utenlandske statsborgere som disputerte for doktorgrad</w:t>
        </w:r>
        <w:r w:rsidR="00F262EF">
          <w:rPr>
            <w:webHidden/>
          </w:rPr>
          <w:tab/>
        </w:r>
        <w:r w:rsidR="00F262EF">
          <w:rPr>
            <w:webHidden/>
          </w:rPr>
          <w:fldChar w:fldCharType="begin"/>
        </w:r>
        <w:r w:rsidR="00F262EF">
          <w:rPr>
            <w:webHidden/>
          </w:rPr>
          <w:instrText xml:space="preserve"> PAGEREF _Toc134792739 \h </w:instrText>
        </w:r>
        <w:r w:rsidR="00F262EF">
          <w:rPr>
            <w:webHidden/>
          </w:rPr>
        </w:r>
        <w:r w:rsidR="00F262EF">
          <w:rPr>
            <w:webHidden/>
          </w:rPr>
          <w:fldChar w:fldCharType="separate"/>
        </w:r>
        <w:r w:rsidR="00F262EF">
          <w:rPr>
            <w:webHidden/>
          </w:rPr>
          <w:t>59</w:t>
        </w:r>
        <w:r w:rsidR="00F262EF">
          <w:rPr>
            <w:webHidden/>
          </w:rPr>
          <w:fldChar w:fldCharType="end"/>
        </w:r>
      </w:hyperlink>
    </w:p>
    <w:p w14:paraId="0B947415" w14:textId="42E29A08" w:rsidR="00F262EF" w:rsidRDefault="00000000">
      <w:pPr>
        <w:pStyle w:val="INNH2"/>
        <w:rPr>
          <w:rFonts w:eastAsiaTheme="minorEastAsia"/>
          <w:color w:val="auto"/>
          <w:kern w:val="2"/>
          <w:sz w:val="22"/>
          <w:szCs w:val="22"/>
          <w:lang w:eastAsia="nb-NO"/>
          <w14:ligatures w14:val="standardContextual"/>
        </w:rPr>
      </w:pPr>
      <w:hyperlink w:anchor="_Toc134792740" w:history="1">
        <w:r w:rsidR="00F262EF" w:rsidRPr="00F15E40">
          <w:rPr>
            <w:rStyle w:val="Hyperkobling"/>
          </w:rPr>
          <w:t>3.4</w:t>
        </w:r>
        <w:r w:rsidR="00F262EF">
          <w:rPr>
            <w:rFonts w:eastAsiaTheme="minorEastAsia"/>
            <w:color w:val="auto"/>
            <w:kern w:val="2"/>
            <w:sz w:val="22"/>
            <w:szCs w:val="22"/>
            <w:lang w:eastAsia="nb-NO"/>
            <w14:ligatures w14:val="standardContextual"/>
          </w:rPr>
          <w:tab/>
        </w:r>
        <w:r w:rsidR="00F262EF" w:rsidRPr="00F15E40">
          <w:rPr>
            <w:rStyle w:val="Hyperkobling"/>
          </w:rPr>
          <w:t>Gjennomføring i doktorgradsutdanningen – nasjonal styringsparameter</w:t>
        </w:r>
        <w:r w:rsidR="00F262EF">
          <w:rPr>
            <w:webHidden/>
          </w:rPr>
          <w:tab/>
        </w:r>
        <w:r w:rsidR="00F262EF">
          <w:rPr>
            <w:webHidden/>
          </w:rPr>
          <w:fldChar w:fldCharType="begin"/>
        </w:r>
        <w:r w:rsidR="00F262EF">
          <w:rPr>
            <w:webHidden/>
          </w:rPr>
          <w:instrText xml:space="preserve"> PAGEREF _Toc134792740 \h </w:instrText>
        </w:r>
        <w:r w:rsidR="00F262EF">
          <w:rPr>
            <w:webHidden/>
          </w:rPr>
        </w:r>
        <w:r w:rsidR="00F262EF">
          <w:rPr>
            <w:webHidden/>
          </w:rPr>
          <w:fldChar w:fldCharType="separate"/>
        </w:r>
        <w:r w:rsidR="00F262EF">
          <w:rPr>
            <w:webHidden/>
          </w:rPr>
          <w:t>61</w:t>
        </w:r>
        <w:r w:rsidR="00F262EF">
          <w:rPr>
            <w:webHidden/>
          </w:rPr>
          <w:fldChar w:fldCharType="end"/>
        </w:r>
      </w:hyperlink>
    </w:p>
    <w:p w14:paraId="59360DBD" w14:textId="34AF3EEA" w:rsidR="00F262EF" w:rsidRDefault="00000000">
      <w:pPr>
        <w:pStyle w:val="INNH2"/>
        <w:rPr>
          <w:rFonts w:eastAsiaTheme="minorEastAsia"/>
          <w:color w:val="auto"/>
          <w:kern w:val="2"/>
          <w:sz w:val="22"/>
          <w:szCs w:val="22"/>
          <w:lang w:eastAsia="nb-NO"/>
          <w14:ligatures w14:val="standardContextual"/>
        </w:rPr>
      </w:pPr>
      <w:hyperlink w:anchor="_Toc134792741" w:history="1">
        <w:r w:rsidR="00F262EF" w:rsidRPr="00F15E40">
          <w:rPr>
            <w:rStyle w:val="Hyperkobling"/>
          </w:rPr>
          <w:t>3.5</w:t>
        </w:r>
        <w:r w:rsidR="00F262EF">
          <w:rPr>
            <w:rFonts w:eastAsiaTheme="minorEastAsia"/>
            <w:color w:val="auto"/>
            <w:kern w:val="2"/>
            <w:sz w:val="22"/>
            <w:szCs w:val="22"/>
            <w:lang w:eastAsia="nb-NO"/>
            <w14:ligatures w14:val="standardContextual"/>
          </w:rPr>
          <w:tab/>
        </w:r>
        <w:r w:rsidR="00F262EF" w:rsidRPr="00F15E40">
          <w:rPr>
            <w:rStyle w:val="Hyperkobling"/>
          </w:rPr>
          <w:t>Hvor er doktorandene sysselsatt?</w:t>
        </w:r>
        <w:r w:rsidR="00F262EF">
          <w:rPr>
            <w:webHidden/>
          </w:rPr>
          <w:tab/>
        </w:r>
        <w:r w:rsidR="00F262EF">
          <w:rPr>
            <w:webHidden/>
          </w:rPr>
          <w:fldChar w:fldCharType="begin"/>
        </w:r>
        <w:r w:rsidR="00F262EF">
          <w:rPr>
            <w:webHidden/>
          </w:rPr>
          <w:instrText xml:space="preserve"> PAGEREF _Toc134792741 \h </w:instrText>
        </w:r>
        <w:r w:rsidR="00F262EF">
          <w:rPr>
            <w:webHidden/>
          </w:rPr>
        </w:r>
        <w:r w:rsidR="00F262EF">
          <w:rPr>
            <w:webHidden/>
          </w:rPr>
          <w:fldChar w:fldCharType="separate"/>
        </w:r>
        <w:r w:rsidR="00F262EF">
          <w:rPr>
            <w:webHidden/>
          </w:rPr>
          <w:t>62</w:t>
        </w:r>
        <w:r w:rsidR="00F262EF">
          <w:rPr>
            <w:webHidden/>
          </w:rPr>
          <w:fldChar w:fldCharType="end"/>
        </w:r>
      </w:hyperlink>
    </w:p>
    <w:p w14:paraId="09B9E9C6" w14:textId="11A55E99" w:rsidR="00F262EF" w:rsidRDefault="00000000">
      <w:pPr>
        <w:pStyle w:val="INNH2"/>
        <w:rPr>
          <w:rFonts w:eastAsiaTheme="minorEastAsia"/>
          <w:color w:val="auto"/>
          <w:kern w:val="2"/>
          <w:sz w:val="22"/>
          <w:szCs w:val="22"/>
          <w:lang w:eastAsia="nb-NO"/>
          <w14:ligatures w14:val="standardContextual"/>
        </w:rPr>
      </w:pPr>
      <w:hyperlink w:anchor="_Toc134792742" w:history="1">
        <w:r w:rsidR="00F262EF" w:rsidRPr="00F15E40">
          <w:rPr>
            <w:rStyle w:val="Hyperkobling"/>
          </w:rPr>
          <w:t>3.6</w:t>
        </w:r>
        <w:r w:rsidR="00F262EF">
          <w:rPr>
            <w:rFonts w:eastAsiaTheme="minorEastAsia"/>
            <w:color w:val="auto"/>
            <w:kern w:val="2"/>
            <w:sz w:val="22"/>
            <w:szCs w:val="22"/>
            <w:lang w:eastAsia="nb-NO"/>
            <w14:ligatures w14:val="standardContextual"/>
          </w:rPr>
          <w:tab/>
        </w:r>
        <w:r w:rsidR="00F262EF" w:rsidRPr="00F15E40">
          <w:rPr>
            <w:rStyle w:val="Hyperkobling"/>
          </w:rPr>
          <w:t>Publiseringspoeng – nasjonal styringsparameter</w:t>
        </w:r>
        <w:r w:rsidR="00F262EF">
          <w:rPr>
            <w:webHidden/>
          </w:rPr>
          <w:tab/>
        </w:r>
        <w:r w:rsidR="00F262EF">
          <w:rPr>
            <w:webHidden/>
          </w:rPr>
          <w:fldChar w:fldCharType="begin"/>
        </w:r>
        <w:r w:rsidR="00F262EF">
          <w:rPr>
            <w:webHidden/>
          </w:rPr>
          <w:instrText xml:space="preserve"> PAGEREF _Toc134792742 \h </w:instrText>
        </w:r>
        <w:r w:rsidR="00F262EF">
          <w:rPr>
            <w:webHidden/>
          </w:rPr>
        </w:r>
        <w:r w:rsidR="00F262EF">
          <w:rPr>
            <w:webHidden/>
          </w:rPr>
          <w:fldChar w:fldCharType="separate"/>
        </w:r>
        <w:r w:rsidR="00F262EF">
          <w:rPr>
            <w:webHidden/>
          </w:rPr>
          <w:t>64</w:t>
        </w:r>
        <w:r w:rsidR="00F262EF">
          <w:rPr>
            <w:webHidden/>
          </w:rPr>
          <w:fldChar w:fldCharType="end"/>
        </w:r>
      </w:hyperlink>
    </w:p>
    <w:p w14:paraId="3C4A09CD" w14:textId="47FFA153" w:rsidR="00F262EF" w:rsidRDefault="00000000">
      <w:pPr>
        <w:pStyle w:val="INNH2"/>
        <w:rPr>
          <w:rFonts w:eastAsiaTheme="minorEastAsia"/>
          <w:color w:val="auto"/>
          <w:kern w:val="2"/>
          <w:sz w:val="22"/>
          <w:szCs w:val="22"/>
          <w:lang w:eastAsia="nb-NO"/>
          <w14:ligatures w14:val="standardContextual"/>
        </w:rPr>
      </w:pPr>
      <w:hyperlink w:anchor="_Toc134792743" w:history="1">
        <w:r w:rsidR="00F262EF" w:rsidRPr="00F15E40">
          <w:rPr>
            <w:rStyle w:val="Hyperkobling"/>
          </w:rPr>
          <w:t>3.7</w:t>
        </w:r>
        <w:r w:rsidR="00F262EF">
          <w:rPr>
            <w:rFonts w:eastAsiaTheme="minorEastAsia"/>
            <w:color w:val="auto"/>
            <w:kern w:val="2"/>
            <w:sz w:val="22"/>
            <w:szCs w:val="22"/>
            <w:lang w:eastAsia="nb-NO"/>
            <w14:ligatures w14:val="standardContextual"/>
          </w:rPr>
          <w:tab/>
        </w:r>
        <w:r w:rsidR="00F262EF" w:rsidRPr="00F15E40">
          <w:rPr>
            <w:rStyle w:val="Hyperkobling"/>
          </w:rPr>
          <w:t>Publisering på nivå 2 i de vitenskapelige publiseringskanalene</w:t>
        </w:r>
        <w:r w:rsidR="00F262EF">
          <w:rPr>
            <w:webHidden/>
          </w:rPr>
          <w:tab/>
        </w:r>
        <w:r w:rsidR="00F262EF">
          <w:rPr>
            <w:webHidden/>
          </w:rPr>
          <w:fldChar w:fldCharType="begin"/>
        </w:r>
        <w:r w:rsidR="00F262EF">
          <w:rPr>
            <w:webHidden/>
          </w:rPr>
          <w:instrText xml:space="preserve"> PAGEREF _Toc134792743 \h </w:instrText>
        </w:r>
        <w:r w:rsidR="00F262EF">
          <w:rPr>
            <w:webHidden/>
          </w:rPr>
        </w:r>
        <w:r w:rsidR="00F262EF">
          <w:rPr>
            <w:webHidden/>
          </w:rPr>
          <w:fldChar w:fldCharType="separate"/>
        </w:r>
        <w:r w:rsidR="00F262EF">
          <w:rPr>
            <w:webHidden/>
          </w:rPr>
          <w:t>66</w:t>
        </w:r>
        <w:r w:rsidR="00F262EF">
          <w:rPr>
            <w:webHidden/>
          </w:rPr>
          <w:fldChar w:fldCharType="end"/>
        </w:r>
      </w:hyperlink>
    </w:p>
    <w:p w14:paraId="7F66D223" w14:textId="4D1AC49F" w:rsidR="00F262EF" w:rsidRDefault="00000000">
      <w:pPr>
        <w:pStyle w:val="INNH2"/>
        <w:rPr>
          <w:rFonts w:eastAsiaTheme="minorEastAsia"/>
          <w:color w:val="auto"/>
          <w:kern w:val="2"/>
          <w:sz w:val="22"/>
          <w:szCs w:val="22"/>
          <w:lang w:eastAsia="nb-NO"/>
          <w14:ligatures w14:val="standardContextual"/>
        </w:rPr>
      </w:pPr>
      <w:hyperlink w:anchor="_Toc134792744" w:history="1">
        <w:r w:rsidR="00F262EF" w:rsidRPr="00F15E40">
          <w:rPr>
            <w:rStyle w:val="Hyperkobling"/>
          </w:rPr>
          <w:t>3.8</w:t>
        </w:r>
        <w:r w:rsidR="00F262EF">
          <w:rPr>
            <w:rFonts w:eastAsiaTheme="minorEastAsia"/>
            <w:color w:val="auto"/>
            <w:kern w:val="2"/>
            <w:sz w:val="22"/>
            <w:szCs w:val="22"/>
            <w:lang w:eastAsia="nb-NO"/>
            <w14:ligatures w14:val="standardContextual"/>
          </w:rPr>
          <w:tab/>
        </w:r>
        <w:r w:rsidR="00F262EF" w:rsidRPr="00F15E40">
          <w:rPr>
            <w:rStyle w:val="Hyperkobling"/>
          </w:rPr>
          <w:t>Åpen tilgang</w:t>
        </w:r>
        <w:r w:rsidR="00F262EF">
          <w:rPr>
            <w:webHidden/>
          </w:rPr>
          <w:tab/>
        </w:r>
        <w:r w:rsidR="00F262EF">
          <w:rPr>
            <w:webHidden/>
          </w:rPr>
          <w:fldChar w:fldCharType="begin"/>
        </w:r>
        <w:r w:rsidR="00F262EF">
          <w:rPr>
            <w:webHidden/>
          </w:rPr>
          <w:instrText xml:space="preserve"> PAGEREF _Toc134792744 \h </w:instrText>
        </w:r>
        <w:r w:rsidR="00F262EF">
          <w:rPr>
            <w:webHidden/>
          </w:rPr>
        </w:r>
        <w:r w:rsidR="00F262EF">
          <w:rPr>
            <w:webHidden/>
          </w:rPr>
          <w:fldChar w:fldCharType="separate"/>
        </w:r>
        <w:r w:rsidR="00F262EF">
          <w:rPr>
            <w:webHidden/>
          </w:rPr>
          <w:t>67</w:t>
        </w:r>
        <w:r w:rsidR="00F262EF">
          <w:rPr>
            <w:webHidden/>
          </w:rPr>
          <w:fldChar w:fldCharType="end"/>
        </w:r>
      </w:hyperlink>
    </w:p>
    <w:p w14:paraId="269892A9" w14:textId="166DC151" w:rsidR="00F262EF" w:rsidRDefault="00000000">
      <w:pPr>
        <w:pStyle w:val="INNH2"/>
        <w:rPr>
          <w:rFonts w:eastAsiaTheme="minorEastAsia"/>
          <w:color w:val="auto"/>
          <w:kern w:val="2"/>
          <w:sz w:val="22"/>
          <w:szCs w:val="22"/>
          <w:lang w:eastAsia="nb-NO"/>
          <w14:ligatures w14:val="standardContextual"/>
        </w:rPr>
      </w:pPr>
      <w:hyperlink w:anchor="_Toc134792745" w:history="1">
        <w:r w:rsidR="00F262EF" w:rsidRPr="00F15E40">
          <w:rPr>
            <w:rStyle w:val="Hyperkobling"/>
          </w:rPr>
          <w:t>3.9</w:t>
        </w:r>
        <w:r w:rsidR="00F262EF">
          <w:rPr>
            <w:rFonts w:eastAsiaTheme="minorEastAsia"/>
            <w:color w:val="auto"/>
            <w:kern w:val="2"/>
            <w:sz w:val="22"/>
            <w:szCs w:val="22"/>
            <w:lang w:eastAsia="nb-NO"/>
            <w14:ligatures w14:val="standardContextual"/>
          </w:rPr>
          <w:tab/>
        </w:r>
        <w:r w:rsidR="00F262EF" w:rsidRPr="00F15E40">
          <w:rPr>
            <w:rStyle w:val="Hyperkobling"/>
          </w:rPr>
          <w:t>Forskningsinnsats i MNT-fag – nasjonal styringsparameter</w:t>
        </w:r>
        <w:r w:rsidR="00F262EF">
          <w:rPr>
            <w:webHidden/>
          </w:rPr>
          <w:tab/>
        </w:r>
        <w:r w:rsidR="00F262EF">
          <w:rPr>
            <w:webHidden/>
          </w:rPr>
          <w:fldChar w:fldCharType="begin"/>
        </w:r>
        <w:r w:rsidR="00F262EF">
          <w:rPr>
            <w:webHidden/>
          </w:rPr>
          <w:instrText xml:space="preserve"> PAGEREF _Toc134792745 \h </w:instrText>
        </w:r>
        <w:r w:rsidR="00F262EF">
          <w:rPr>
            <w:webHidden/>
          </w:rPr>
        </w:r>
        <w:r w:rsidR="00F262EF">
          <w:rPr>
            <w:webHidden/>
          </w:rPr>
          <w:fldChar w:fldCharType="separate"/>
        </w:r>
        <w:r w:rsidR="00F262EF">
          <w:rPr>
            <w:webHidden/>
          </w:rPr>
          <w:t>70</w:t>
        </w:r>
        <w:r w:rsidR="00F262EF">
          <w:rPr>
            <w:webHidden/>
          </w:rPr>
          <w:fldChar w:fldCharType="end"/>
        </w:r>
      </w:hyperlink>
    </w:p>
    <w:p w14:paraId="463F204E" w14:textId="62F6A18E"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46" w:history="1">
        <w:r w:rsidR="00F262EF" w:rsidRPr="00F15E40">
          <w:rPr>
            <w:rStyle w:val="Hyperkobling"/>
          </w:rPr>
          <w:t>3.10</w:t>
        </w:r>
        <w:r w:rsidR="00F262EF">
          <w:rPr>
            <w:rFonts w:eastAsiaTheme="minorEastAsia"/>
            <w:color w:val="auto"/>
            <w:kern w:val="2"/>
            <w:sz w:val="22"/>
            <w:szCs w:val="22"/>
            <w:lang w:eastAsia="nb-NO"/>
            <w14:ligatures w14:val="standardContextual"/>
          </w:rPr>
          <w:tab/>
        </w:r>
        <w:r w:rsidR="00F262EF" w:rsidRPr="00F15E40">
          <w:rPr>
            <w:rStyle w:val="Hyperkobling"/>
          </w:rPr>
          <w:t>Bidragsinntekter fra Forskningsrådet per faglig årsverk – nasjonal styringsparameter</w:t>
        </w:r>
        <w:r w:rsidR="00F262EF">
          <w:rPr>
            <w:webHidden/>
          </w:rPr>
          <w:tab/>
        </w:r>
        <w:r w:rsidR="00F262EF">
          <w:rPr>
            <w:webHidden/>
          </w:rPr>
          <w:fldChar w:fldCharType="begin"/>
        </w:r>
        <w:r w:rsidR="00F262EF">
          <w:rPr>
            <w:webHidden/>
          </w:rPr>
          <w:instrText xml:space="preserve"> PAGEREF _Toc134792746 \h </w:instrText>
        </w:r>
        <w:r w:rsidR="00F262EF">
          <w:rPr>
            <w:webHidden/>
          </w:rPr>
        </w:r>
        <w:r w:rsidR="00F262EF">
          <w:rPr>
            <w:webHidden/>
          </w:rPr>
          <w:fldChar w:fldCharType="separate"/>
        </w:r>
        <w:r w:rsidR="00F262EF">
          <w:rPr>
            <w:webHidden/>
          </w:rPr>
          <w:t>72</w:t>
        </w:r>
        <w:r w:rsidR="00F262EF">
          <w:rPr>
            <w:webHidden/>
          </w:rPr>
          <w:fldChar w:fldCharType="end"/>
        </w:r>
      </w:hyperlink>
    </w:p>
    <w:p w14:paraId="7EC7320A" w14:textId="26EB42FC"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47" w:history="1">
        <w:r w:rsidR="00F262EF" w:rsidRPr="00F15E40">
          <w:rPr>
            <w:rStyle w:val="Hyperkobling"/>
          </w:rPr>
          <w:t>3.11</w:t>
        </w:r>
        <w:r w:rsidR="00F262EF">
          <w:rPr>
            <w:rFonts w:eastAsiaTheme="minorEastAsia"/>
            <w:color w:val="auto"/>
            <w:kern w:val="2"/>
            <w:sz w:val="22"/>
            <w:szCs w:val="22"/>
            <w:lang w:eastAsia="nb-NO"/>
            <w14:ligatures w14:val="standardContextual"/>
          </w:rPr>
          <w:tab/>
        </w:r>
        <w:r w:rsidR="00F262EF" w:rsidRPr="00F15E40">
          <w:rPr>
            <w:rStyle w:val="Hyperkobling"/>
          </w:rPr>
          <w:t>Midler fra deltakelse i EU-prosjekter</w:t>
        </w:r>
        <w:r w:rsidR="00F262EF">
          <w:rPr>
            <w:webHidden/>
          </w:rPr>
          <w:tab/>
        </w:r>
        <w:r w:rsidR="00F262EF">
          <w:rPr>
            <w:webHidden/>
          </w:rPr>
          <w:fldChar w:fldCharType="begin"/>
        </w:r>
        <w:r w:rsidR="00F262EF">
          <w:rPr>
            <w:webHidden/>
          </w:rPr>
          <w:instrText xml:space="preserve"> PAGEREF _Toc134792747 \h </w:instrText>
        </w:r>
        <w:r w:rsidR="00F262EF">
          <w:rPr>
            <w:webHidden/>
          </w:rPr>
        </w:r>
        <w:r w:rsidR="00F262EF">
          <w:rPr>
            <w:webHidden/>
          </w:rPr>
          <w:fldChar w:fldCharType="separate"/>
        </w:r>
        <w:r w:rsidR="00F262EF">
          <w:rPr>
            <w:webHidden/>
          </w:rPr>
          <w:t>74</w:t>
        </w:r>
        <w:r w:rsidR="00F262EF">
          <w:rPr>
            <w:webHidden/>
          </w:rPr>
          <w:fldChar w:fldCharType="end"/>
        </w:r>
      </w:hyperlink>
    </w:p>
    <w:p w14:paraId="3AD7A471" w14:textId="7EAD1EE8"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48" w:history="1">
        <w:r w:rsidR="00F262EF" w:rsidRPr="00F15E40">
          <w:rPr>
            <w:rStyle w:val="Hyperkobling"/>
          </w:rPr>
          <w:t>3.12</w:t>
        </w:r>
        <w:r w:rsidR="00F262EF">
          <w:rPr>
            <w:rFonts w:eastAsiaTheme="minorEastAsia"/>
            <w:color w:val="auto"/>
            <w:kern w:val="2"/>
            <w:sz w:val="22"/>
            <w:szCs w:val="22"/>
            <w:lang w:eastAsia="nb-NO"/>
            <w14:ligatures w14:val="standardContextual"/>
          </w:rPr>
          <w:tab/>
        </w:r>
        <w:r w:rsidR="00F262EF" w:rsidRPr="00F15E40">
          <w:rPr>
            <w:rStyle w:val="Hyperkobling"/>
          </w:rPr>
          <w:t>Verdien av Horisont 2020-kontraktene per FoU-årsverk – nasjonal styringsparameter</w:t>
        </w:r>
        <w:r w:rsidR="00F262EF">
          <w:rPr>
            <w:webHidden/>
          </w:rPr>
          <w:tab/>
        </w:r>
        <w:r w:rsidR="00F262EF">
          <w:rPr>
            <w:webHidden/>
          </w:rPr>
          <w:fldChar w:fldCharType="begin"/>
        </w:r>
        <w:r w:rsidR="00F262EF">
          <w:rPr>
            <w:webHidden/>
          </w:rPr>
          <w:instrText xml:space="preserve"> PAGEREF _Toc134792748 \h </w:instrText>
        </w:r>
        <w:r w:rsidR="00F262EF">
          <w:rPr>
            <w:webHidden/>
          </w:rPr>
        </w:r>
        <w:r w:rsidR="00F262EF">
          <w:rPr>
            <w:webHidden/>
          </w:rPr>
          <w:fldChar w:fldCharType="separate"/>
        </w:r>
        <w:r w:rsidR="00F262EF">
          <w:rPr>
            <w:webHidden/>
          </w:rPr>
          <w:t>75</w:t>
        </w:r>
        <w:r w:rsidR="00F262EF">
          <w:rPr>
            <w:webHidden/>
          </w:rPr>
          <w:fldChar w:fldCharType="end"/>
        </w:r>
      </w:hyperlink>
    </w:p>
    <w:p w14:paraId="7DCC51CC" w14:textId="4C7BC881"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49" w:history="1">
        <w:r w:rsidR="00F262EF" w:rsidRPr="00F15E40">
          <w:rPr>
            <w:rStyle w:val="Hyperkobling"/>
          </w:rPr>
          <w:t>3.13</w:t>
        </w:r>
        <w:r w:rsidR="00F262EF">
          <w:rPr>
            <w:rFonts w:eastAsiaTheme="minorEastAsia"/>
            <w:color w:val="auto"/>
            <w:kern w:val="2"/>
            <w:sz w:val="22"/>
            <w:szCs w:val="22"/>
            <w:lang w:eastAsia="nb-NO"/>
            <w14:ligatures w14:val="standardContextual"/>
          </w:rPr>
          <w:tab/>
        </w:r>
        <w:r w:rsidR="00F262EF" w:rsidRPr="00F15E40">
          <w:rPr>
            <w:rStyle w:val="Hyperkobling"/>
          </w:rPr>
          <w:t>Universiteter og høyskoler i Horisont Europa</w:t>
        </w:r>
        <w:r w:rsidR="00F262EF">
          <w:rPr>
            <w:webHidden/>
          </w:rPr>
          <w:tab/>
        </w:r>
        <w:r w:rsidR="00F262EF">
          <w:rPr>
            <w:webHidden/>
          </w:rPr>
          <w:fldChar w:fldCharType="begin"/>
        </w:r>
        <w:r w:rsidR="00F262EF">
          <w:rPr>
            <w:webHidden/>
          </w:rPr>
          <w:instrText xml:space="preserve"> PAGEREF _Toc134792749 \h </w:instrText>
        </w:r>
        <w:r w:rsidR="00F262EF">
          <w:rPr>
            <w:webHidden/>
          </w:rPr>
        </w:r>
        <w:r w:rsidR="00F262EF">
          <w:rPr>
            <w:webHidden/>
          </w:rPr>
          <w:fldChar w:fldCharType="separate"/>
        </w:r>
        <w:r w:rsidR="00F262EF">
          <w:rPr>
            <w:webHidden/>
          </w:rPr>
          <w:t>76</w:t>
        </w:r>
        <w:r w:rsidR="00F262EF">
          <w:rPr>
            <w:webHidden/>
          </w:rPr>
          <w:fldChar w:fldCharType="end"/>
        </w:r>
      </w:hyperlink>
    </w:p>
    <w:p w14:paraId="226AFBA4" w14:textId="5D257D34"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50" w:history="1">
        <w:r w:rsidR="00F262EF" w:rsidRPr="00F15E40">
          <w:rPr>
            <w:rStyle w:val="Hyperkobling"/>
          </w:rPr>
          <w:t>3.14</w:t>
        </w:r>
        <w:r w:rsidR="00F262EF">
          <w:rPr>
            <w:rFonts w:eastAsiaTheme="minorEastAsia"/>
            <w:color w:val="auto"/>
            <w:kern w:val="2"/>
            <w:sz w:val="22"/>
            <w:szCs w:val="22"/>
            <w:lang w:eastAsia="nb-NO"/>
            <w14:ligatures w14:val="standardContextual"/>
          </w:rPr>
          <w:tab/>
        </w:r>
        <w:r w:rsidR="00F262EF" w:rsidRPr="00F15E40">
          <w:rPr>
            <w:rStyle w:val="Hyperkobling"/>
          </w:rPr>
          <w:t>Andre bidrags- og oppdragsinntekter per faglig årsverk – nasjonal styringsparameter</w:t>
        </w:r>
        <w:r w:rsidR="00F262EF">
          <w:rPr>
            <w:webHidden/>
          </w:rPr>
          <w:tab/>
        </w:r>
        <w:r w:rsidR="00F262EF">
          <w:rPr>
            <w:webHidden/>
          </w:rPr>
          <w:fldChar w:fldCharType="begin"/>
        </w:r>
        <w:r w:rsidR="00F262EF">
          <w:rPr>
            <w:webHidden/>
          </w:rPr>
          <w:instrText xml:space="preserve"> PAGEREF _Toc134792750 \h </w:instrText>
        </w:r>
        <w:r w:rsidR="00F262EF">
          <w:rPr>
            <w:webHidden/>
          </w:rPr>
        </w:r>
        <w:r w:rsidR="00F262EF">
          <w:rPr>
            <w:webHidden/>
          </w:rPr>
          <w:fldChar w:fldCharType="separate"/>
        </w:r>
        <w:r w:rsidR="00F262EF">
          <w:rPr>
            <w:webHidden/>
          </w:rPr>
          <w:t>79</w:t>
        </w:r>
        <w:r w:rsidR="00F262EF">
          <w:rPr>
            <w:webHidden/>
          </w:rPr>
          <w:fldChar w:fldCharType="end"/>
        </w:r>
      </w:hyperlink>
    </w:p>
    <w:p w14:paraId="7D449838" w14:textId="1AF2A3AA" w:rsidR="00F262EF" w:rsidRDefault="00000000">
      <w:pPr>
        <w:pStyle w:val="INNH2"/>
        <w:tabs>
          <w:tab w:val="left" w:pos="851"/>
        </w:tabs>
        <w:rPr>
          <w:rFonts w:eastAsiaTheme="minorEastAsia"/>
          <w:color w:val="auto"/>
          <w:kern w:val="2"/>
          <w:sz w:val="22"/>
          <w:szCs w:val="22"/>
          <w:lang w:eastAsia="nb-NO"/>
          <w14:ligatures w14:val="standardContextual"/>
        </w:rPr>
      </w:pPr>
      <w:hyperlink w:anchor="_Toc134792751" w:history="1">
        <w:r w:rsidR="00F262EF" w:rsidRPr="00F15E40">
          <w:rPr>
            <w:rStyle w:val="Hyperkobling"/>
            <w:lang w:val="nn-NO"/>
          </w:rPr>
          <w:t>3.15</w:t>
        </w:r>
        <w:r w:rsidR="00F262EF">
          <w:rPr>
            <w:rFonts w:eastAsiaTheme="minorEastAsia"/>
            <w:color w:val="auto"/>
            <w:kern w:val="2"/>
            <w:sz w:val="22"/>
            <w:szCs w:val="22"/>
            <w:lang w:eastAsia="nb-NO"/>
            <w14:ligatures w14:val="standardContextual"/>
          </w:rPr>
          <w:tab/>
        </w:r>
        <w:r w:rsidR="00F262EF" w:rsidRPr="00F15E40">
          <w:rPr>
            <w:rStyle w:val="Hyperkobling"/>
            <w:lang w:val="nn-NO"/>
          </w:rPr>
          <w:t>Sikring og bevaring av universitetsmuseene – nasjonal styringsparameter</w:t>
        </w:r>
        <w:r w:rsidR="00F262EF">
          <w:rPr>
            <w:webHidden/>
          </w:rPr>
          <w:tab/>
        </w:r>
        <w:r w:rsidR="00F262EF">
          <w:rPr>
            <w:webHidden/>
          </w:rPr>
          <w:fldChar w:fldCharType="begin"/>
        </w:r>
        <w:r w:rsidR="00F262EF">
          <w:rPr>
            <w:webHidden/>
          </w:rPr>
          <w:instrText xml:space="preserve"> PAGEREF _Toc134792751 \h </w:instrText>
        </w:r>
        <w:r w:rsidR="00F262EF">
          <w:rPr>
            <w:webHidden/>
          </w:rPr>
        </w:r>
        <w:r w:rsidR="00F262EF">
          <w:rPr>
            <w:webHidden/>
          </w:rPr>
          <w:fldChar w:fldCharType="separate"/>
        </w:r>
        <w:r w:rsidR="00F262EF">
          <w:rPr>
            <w:webHidden/>
          </w:rPr>
          <w:t>81</w:t>
        </w:r>
        <w:r w:rsidR="00F262EF">
          <w:rPr>
            <w:webHidden/>
          </w:rPr>
          <w:fldChar w:fldCharType="end"/>
        </w:r>
      </w:hyperlink>
    </w:p>
    <w:p w14:paraId="4B908DC9" w14:textId="721F1B1F" w:rsidR="00F262EF" w:rsidRDefault="00000000">
      <w:pPr>
        <w:pStyle w:val="INNH1"/>
        <w:rPr>
          <w:rFonts w:eastAsiaTheme="minorEastAsia"/>
          <w:b w:val="0"/>
          <w:color w:val="auto"/>
          <w:kern w:val="2"/>
          <w:sz w:val="22"/>
          <w:szCs w:val="22"/>
          <w:lang w:eastAsia="nb-NO"/>
          <w14:ligatures w14:val="standardContextual"/>
        </w:rPr>
      </w:pPr>
      <w:hyperlink w:anchor="_Toc134792752" w:history="1">
        <w:r w:rsidR="00F262EF" w:rsidRPr="00F15E40">
          <w:rPr>
            <w:rStyle w:val="Hyperkobling"/>
          </w:rPr>
          <w:t>4</w:t>
        </w:r>
        <w:r w:rsidR="00F262EF">
          <w:rPr>
            <w:rFonts w:eastAsiaTheme="minorEastAsia"/>
            <w:b w:val="0"/>
            <w:color w:val="auto"/>
            <w:kern w:val="2"/>
            <w:sz w:val="22"/>
            <w:szCs w:val="22"/>
            <w:lang w:eastAsia="nb-NO"/>
            <w14:ligatures w14:val="standardContextual"/>
          </w:rPr>
          <w:tab/>
        </w:r>
        <w:r w:rsidR="00F262EF" w:rsidRPr="00F15E40">
          <w:rPr>
            <w:rStyle w:val="Hyperkobling"/>
          </w:rPr>
          <w:t>Styring, økonomi og personal</w:t>
        </w:r>
        <w:r w:rsidR="00F262EF">
          <w:rPr>
            <w:webHidden/>
          </w:rPr>
          <w:tab/>
        </w:r>
        <w:r w:rsidR="00F262EF">
          <w:rPr>
            <w:webHidden/>
          </w:rPr>
          <w:fldChar w:fldCharType="begin"/>
        </w:r>
        <w:r w:rsidR="00F262EF">
          <w:rPr>
            <w:webHidden/>
          </w:rPr>
          <w:instrText xml:space="preserve"> PAGEREF _Toc134792752 \h </w:instrText>
        </w:r>
        <w:r w:rsidR="00F262EF">
          <w:rPr>
            <w:webHidden/>
          </w:rPr>
        </w:r>
        <w:r w:rsidR="00F262EF">
          <w:rPr>
            <w:webHidden/>
          </w:rPr>
          <w:fldChar w:fldCharType="separate"/>
        </w:r>
        <w:r w:rsidR="00F262EF">
          <w:rPr>
            <w:webHidden/>
          </w:rPr>
          <w:t>82</w:t>
        </w:r>
        <w:r w:rsidR="00F262EF">
          <w:rPr>
            <w:webHidden/>
          </w:rPr>
          <w:fldChar w:fldCharType="end"/>
        </w:r>
      </w:hyperlink>
    </w:p>
    <w:p w14:paraId="039C322A" w14:textId="2E1267D2" w:rsidR="00F262EF" w:rsidRDefault="00000000">
      <w:pPr>
        <w:pStyle w:val="INNH2"/>
        <w:rPr>
          <w:rFonts w:eastAsiaTheme="minorEastAsia"/>
          <w:color w:val="auto"/>
          <w:kern w:val="2"/>
          <w:sz w:val="22"/>
          <w:szCs w:val="22"/>
          <w:lang w:eastAsia="nb-NO"/>
          <w14:ligatures w14:val="standardContextual"/>
        </w:rPr>
      </w:pPr>
      <w:hyperlink w:anchor="_Toc134792753" w:history="1">
        <w:r w:rsidR="00F262EF" w:rsidRPr="00F15E40">
          <w:rPr>
            <w:rStyle w:val="Hyperkobling"/>
          </w:rPr>
          <w:t>4.1</w:t>
        </w:r>
        <w:r w:rsidR="00F262EF">
          <w:rPr>
            <w:rFonts w:eastAsiaTheme="minorEastAsia"/>
            <w:color w:val="auto"/>
            <w:kern w:val="2"/>
            <w:sz w:val="22"/>
            <w:szCs w:val="22"/>
            <w:lang w:eastAsia="nb-NO"/>
            <w14:ligatures w14:val="standardContextual"/>
          </w:rPr>
          <w:tab/>
        </w:r>
        <w:r w:rsidR="00F262EF" w:rsidRPr="00F15E40">
          <w:rPr>
            <w:rStyle w:val="Hyperkobling"/>
          </w:rPr>
          <w:t>Styrings- og ledelsesmodell ved universiteter og høyskoler</w:t>
        </w:r>
        <w:r w:rsidR="00F262EF">
          <w:rPr>
            <w:webHidden/>
          </w:rPr>
          <w:tab/>
        </w:r>
        <w:r w:rsidR="00F262EF">
          <w:rPr>
            <w:webHidden/>
          </w:rPr>
          <w:fldChar w:fldCharType="begin"/>
        </w:r>
        <w:r w:rsidR="00F262EF">
          <w:rPr>
            <w:webHidden/>
          </w:rPr>
          <w:instrText xml:space="preserve"> PAGEREF _Toc134792753 \h </w:instrText>
        </w:r>
        <w:r w:rsidR="00F262EF">
          <w:rPr>
            <w:webHidden/>
          </w:rPr>
        </w:r>
        <w:r w:rsidR="00F262EF">
          <w:rPr>
            <w:webHidden/>
          </w:rPr>
          <w:fldChar w:fldCharType="separate"/>
        </w:r>
        <w:r w:rsidR="00F262EF">
          <w:rPr>
            <w:webHidden/>
          </w:rPr>
          <w:t>82</w:t>
        </w:r>
        <w:r w:rsidR="00F262EF">
          <w:rPr>
            <w:webHidden/>
          </w:rPr>
          <w:fldChar w:fldCharType="end"/>
        </w:r>
      </w:hyperlink>
    </w:p>
    <w:p w14:paraId="1A3D1614" w14:textId="3CE81508" w:rsidR="00F262EF" w:rsidRDefault="00000000">
      <w:pPr>
        <w:pStyle w:val="INNH2"/>
        <w:rPr>
          <w:rFonts w:eastAsiaTheme="minorEastAsia"/>
          <w:color w:val="auto"/>
          <w:kern w:val="2"/>
          <w:sz w:val="22"/>
          <w:szCs w:val="22"/>
          <w:lang w:eastAsia="nb-NO"/>
          <w14:ligatures w14:val="standardContextual"/>
        </w:rPr>
      </w:pPr>
      <w:hyperlink w:anchor="_Toc134792754" w:history="1">
        <w:r w:rsidR="00F262EF" w:rsidRPr="00F15E40">
          <w:rPr>
            <w:rStyle w:val="Hyperkobling"/>
          </w:rPr>
          <w:t>4.2</w:t>
        </w:r>
        <w:r w:rsidR="00F262EF">
          <w:rPr>
            <w:rFonts w:eastAsiaTheme="minorEastAsia"/>
            <w:color w:val="auto"/>
            <w:kern w:val="2"/>
            <w:sz w:val="22"/>
            <w:szCs w:val="22"/>
            <w:lang w:eastAsia="nb-NO"/>
            <w14:ligatures w14:val="standardContextual"/>
          </w:rPr>
          <w:tab/>
        </w:r>
        <w:r w:rsidR="00F262EF" w:rsidRPr="00F15E40">
          <w:rPr>
            <w:rStyle w:val="Hyperkobling"/>
          </w:rPr>
          <w:t>Finansielle ressurser fordelt på kilde</w:t>
        </w:r>
        <w:r w:rsidR="00F262EF">
          <w:rPr>
            <w:webHidden/>
          </w:rPr>
          <w:tab/>
        </w:r>
        <w:r w:rsidR="00F262EF">
          <w:rPr>
            <w:webHidden/>
          </w:rPr>
          <w:fldChar w:fldCharType="begin"/>
        </w:r>
        <w:r w:rsidR="00F262EF">
          <w:rPr>
            <w:webHidden/>
          </w:rPr>
          <w:instrText xml:space="preserve"> PAGEREF _Toc134792754 \h </w:instrText>
        </w:r>
        <w:r w:rsidR="00F262EF">
          <w:rPr>
            <w:webHidden/>
          </w:rPr>
        </w:r>
        <w:r w:rsidR="00F262EF">
          <w:rPr>
            <w:webHidden/>
          </w:rPr>
          <w:fldChar w:fldCharType="separate"/>
        </w:r>
        <w:r w:rsidR="00F262EF">
          <w:rPr>
            <w:webHidden/>
          </w:rPr>
          <w:t>83</w:t>
        </w:r>
        <w:r w:rsidR="00F262EF">
          <w:rPr>
            <w:webHidden/>
          </w:rPr>
          <w:fldChar w:fldCharType="end"/>
        </w:r>
      </w:hyperlink>
    </w:p>
    <w:p w14:paraId="3484C62C" w14:textId="0EE1030A" w:rsidR="00F262EF" w:rsidRDefault="00000000">
      <w:pPr>
        <w:pStyle w:val="INNH2"/>
        <w:rPr>
          <w:rFonts w:eastAsiaTheme="minorEastAsia"/>
          <w:color w:val="auto"/>
          <w:kern w:val="2"/>
          <w:sz w:val="22"/>
          <w:szCs w:val="22"/>
          <w:lang w:eastAsia="nb-NO"/>
          <w14:ligatures w14:val="standardContextual"/>
        </w:rPr>
      </w:pPr>
      <w:hyperlink w:anchor="_Toc134792755" w:history="1">
        <w:r w:rsidR="00F262EF" w:rsidRPr="00F15E40">
          <w:rPr>
            <w:rStyle w:val="Hyperkobling"/>
          </w:rPr>
          <w:t>4.3</w:t>
        </w:r>
        <w:r w:rsidR="00F262EF">
          <w:rPr>
            <w:rFonts w:eastAsiaTheme="minorEastAsia"/>
            <w:color w:val="auto"/>
            <w:kern w:val="2"/>
            <w:sz w:val="22"/>
            <w:szCs w:val="22"/>
            <w:lang w:eastAsia="nb-NO"/>
            <w14:ligatures w14:val="standardContextual"/>
          </w:rPr>
          <w:tab/>
        </w:r>
        <w:r w:rsidR="00F262EF" w:rsidRPr="00F15E40">
          <w:rPr>
            <w:rStyle w:val="Hyperkobling"/>
          </w:rPr>
          <w:t>Studie- og eksamensavgifter ved private høyskoler</w:t>
        </w:r>
        <w:r w:rsidR="00F262EF">
          <w:rPr>
            <w:webHidden/>
          </w:rPr>
          <w:tab/>
        </w:r>
        <w:r w:rsidR="00F262EF">
          <w:rPr>
            <w:webHidden/>
          </w:rPr>
          <w:fldChar w:fldCharType="begin"/>
        </w:r>
        <w:r w:rsidR="00F262EF">
          <w:rPr>
            <w:webHidden/>
          </w:rPr>
          <w:instrText xml:space="preserve"> PAGEREF _Toc134792755 \h </w:instrText>
        </w:r>
        <w:r w:rsidR="00F262EF">
          <w:rPr>
            <w:webHidden/>
          </w:rPr>
        </w:r>
        <w:r w:rsidR="00F262EF">
          <w:rPr>
            <w:webHidden/>
          </w:rPr>
          <w:fldChar w:fldCharType="separate"/>
        </w:r>
        <w:r w:rsidR="00F262EF">
          <w:rPr>
            <w:webHidden/>
          </w:rPr>
          <w:t>84</w:t>
        </w:r>
        <w:r w:rsidR="00F262EF">
          <w:rPr>
            <w:webHidden/>
          </w:rPr>
          <w:fldChar w:fldCharType="end"/>
        </w:r>
      </w:hyperlink>
    </w:p>
    <w:p w14:paraId="64B355B5" w14:textId="672F04D2" w:rsidR="00F262EF" w:rsidRDefault="00000000">
      <w:pPr>
        <w:pStyle w:val="INNH2"/>
        <w:rPr>
          <w:rFonts w:eastAsiaTheme="minorEastAsia"/>
          <w:color w:val="auto"/>
          <w:kern w:val="2"/>
          <w:sz w:val="22"/>
          <w:szCs w:val="22"/>
          <w:lang w:eastAsia="nb-NO"/>
          <w14:ligatures w14:val="standardContextual"/>
        </w:rPr>
      </w:pPr>
      <w:hyperlink w:anchor="_Toc134792756" w:history="1">
        <w:r w:rsidR="00F262EF" w:rsidRPr="00F15E40">
          <w:rPr>
            <w:rStyle w:val="Hyperkobling"/>
          </w:rPr>
          <w:t>4.4</w:t>
        </w:r>
        <w:r w:rsidR="00F262EF">
          <w:rPr>
            <w:rFonts w:eastAsiaTheme="minorEastAsia"/>
            <w:color w:val="auto"/>
            <w:kern w:val="2"/>
            <w:sz w:val="22"/>
            <w:szCs w:val="22"/>
            <w:lang w:eastAsia="nb-NO"/>
            <w14:ligatures w14:val="standardContextual"/>
          </w:rPr>
          <w:tab/>
        </w:r>
        <w:r w:rsidR="00F262EF" w:rsidRPr="00F15E40">
          <w:rPr>
            <w:rStyle w:val="Hyperkobling"/>
          </w:rPr>
          <w:t>Andelen førstestillinger blant de faglig ansatte</w:t>
        </w:r>
        <w:r w:rsidR="00F262EF">
          <w:rPr>
            <w:webHidden/>
          </w:rPr>
          <w:tab/>
        </w:r>
        <w:r w:rsidR="00F262EF">
          <w:rPr>
            <w:webHidden/>
          </w:rPr>
          <w:fldChar w:fldCharType="begin"/>
        </w:r>
        <w:r w:rsidR="00F262EF">
          <w:rPr>
            <w:webHidden/>
          </w:rPr>
          <w:instrText xml:space="preserve"> PAGEREF _Toc134792756 \h </w:instrText>
        </w:r>
        <w:r w:rsidR="00F262EF">
          <w:rPr>
            <w:webHidden/>
          </w:rPr>
        </w:r>
        <w:r w:rsidR="00F262EF">
          <w:rPr>
            <w:webHidden/>
          </w:rPr>
          <w:fldChar w:fldCharType="separate"/>
        </w:r>
        <w:r w:rsidR="00F262EF">
          <w:rPr>
            <w:webHidden/>
          </w:rPr>
          <w:t>85</w:t>
        </w:r>
        <w:r w:rsidR="00F262EF">
          <w:rPr>
            <w:webHidden/>
          </w:rPr>
          <w:fldChar w:fldCharType="end"/>
        </w:r>
      </w:hyperlink>
    </w:p>
    <w:p w14:paraId="4EEBE4C8" w14:textId="3B28F896" w:rsidR="00F262EF" w:rsidRDefault="00000000">
      <w:pPr>
        <w:pStyle w:val="INNH2"/>
        <w:rPr>
          <w:rFonts w:eastAsiaTheme="minorEastAsia"/>
          <w:color w:val="auto"/>
          <w:kern w:val="2"/>
          <w:sz w:val="22"/>
          <w:szCs w:val="22"/>
          <w:lang w:eastAsia="nb-NO"/>
          <w14:ligatures w14:val="standardContextual"/>
        </w:rPr>
      </w:pPr>
      <w:hyperlink w:anchor="_Toc134792757" w:history="1">
        <w:r w:rsidR="00F262EF" w:rsidRPr="00F15E40">
          <w:rPr>
            <w:rStyle w:val="Hyperkobling"/>
          </w:rPr>
          <w:t>4.5</w:t>
        </w:r>
        <w:r w:rsidR="00F262EF">
          <w:rPr>
            <w:rFonts w:eastAsiaTheme="minorEastAsia"/>
            <w:color w:val="auto"/>
            <w:kern w:val="2"/>
            <w:sz w:val="22"/>
            <w:szCs w:val="22"/>
            <w:lang w:eastAsia="nb-NO"/>
            <w14:ligatures w14:val="standardContextual"/>
          </w:rPr>
          <w:tab/>
        </w:r>
        <w:r w:rsidR="00F262EF" w:rsidRPr="00F15E40">
          <w:rPr>
            <w:rStyle w:val="Hyperkobling"/>
          </w:rPr>
          <w:t>Forholdet mellom faglige og administrative stillinger</w:t>
        </w:r>
        <w:r w:rsidR="00F262EF">
          <w:rPr>
            <w:webHidden/>
          </w:rPr>
          <w:tab/>
        </w:r>
        <w:r w:rsidR="00F262EF">
          <w:rPr>
            <w:webHidden/>
          </w:rPr>
          <w:fldChar w:fldCharType="begin"/>
        </w:r>
        <w:r w:rsidR="00F262EF">
          <w:rPr>
            <w:webHidden/>
          </w:rPr>
          <w:instrText xml:space="preserve"> PAGEREF _Toc134792757 \h </w:instrText>
        </w:r>
        <w:r w:rsidR="00F262EF">
          <w:rPr>
            <w:webHidden/>
          </w:rPr>
        </w:r>
        <w:r w:rsidR="00F262EF">
          <w:rPr>
            <w:webHidden/>
          </w:rPr>
          <w:fldChar w:fldCharType="separate"/>
        </w:r>
        <w:r w:rsidR="00F262EF">
          <w:rPr>
            <w:webHidden/>
          </w:rPr>
          <w:t>88</w:t>
        </w:r>
        <w:r w:rsidR="00F262EF">
          <w:rPr>
            <w:webHidden/>
          </w:rPr>
          <w:fldChar w:fldCharType="end"/>
        </w:r>
      </w:hyperlink>
    </w:p>
    <w:p w14:paraId="4AB4B94D" w14:textId="6F7FF18C" w:rsidR="00F262EF" w:rsidRDefault="00000000">
      <w:pPr>
        <w:pStyle w:val="INNH2"/>
        <w:rPr>
          <w:rFonts w:eastAsiaTheme="minorEastAsia"/>
          <w:color w:val="auto"/>
          <w:kern w:val="2"/>
          <w:sz w:val="22"/>
          <w:szCs w:val="22"/>
          <w:lang w:eastAsia="nb-NO"/>
          <w14:ligatures w14:val="standardContextual"/>
        </w:rPr>
      </w:pPr>
      <w:hyperlink w:anchor="_Toc134792758" w:history="1">
        <w:r w:rsidR="00F262EF" w:rsidRPr="00F15E40">
          <w:rPr>
            <w:rStyle w:val="Hyperkobling"/>
          </w:rPr>
          <w:t>4.6</w:t>
        </w:r>
        <w:r w:rsidR="00F262EF">
          <w:rPr>
            <w:rFonts w:eastAsiaTheme="minorEastAsia"/>
            <w:color w:val="auto"/>
            <w:kern w:val="2"/>
            <w:sz w:val="22"/>
            <w:szCs w:val="22"/>
            <w:lang w:eastAsia="nb-NO"/>
            <w14:ligatures w14:val="standardContextual"/>
          </w:rPr>
          <w:tab/>
        </w:r>
        <w:r w:rsidR="00F262EF" w:rsidRPr="00F15E40">
          <w:rPr>
            <w:rStyle w:val="Hyperkobling"/>
          </w:rPr>
          <w:t>Andelen kvinner i faglige toppstillinger – nasjonal styringsparameter</w:t>
        </w:r>
        <w:r w:rsidR="00F262EF">
          <w:rPr>
            <w:webHidden/>
          </w:rPr>
          <w:tab/>
        </w:r>
        <w:r w:rsidR="00F262EF">
          <w:rPr>
            <w:webHidden/>
          </w:rPr>
          <w:fldChar w:fldCharType="begin"/>
        </w:r>
        <w:r w:rsidR="00F262EF">
          <w:rPr>
            <w:webHidden/>
          </w:rPr>
          <w:instrText xml:space="preserve"> PAGEREF _Toc134792758 \h </w:instrText>
        </w:r>
        <w:r w:rsidR="00F262EF">
          <w:rPr>
            <w:webHidden/>
          </w:rPr>
        </w:r>
        <w:r w:rsidR="00F262EF">
          <w:rPr>
            <w:webHidden/>
          </w:rPr>
          <w:fldChar w:fldCharType="separate"/>
        </w:r>
        <w:r w:rsidR="00F262EF">
          <w:rPr>
            <w:webHidden/>
          </w:rPr>
          <w:t>90</w:t>
        </w:r>
        <w:r w:rsidR="00F262EF">
          <w:rPr>
            <w:webHidden/>
          </w:rPr>
          <w:fldChar w:fldCharType="end"/>
        </w:r>
      </w:hyperlink>
    </w:p>
    <w:p w14:paraId="1235A75A" w14:textId="17BE46D7" w:rsidR="00F262EF" w:rsidRDefault="00000000">
      <w:pPr>
        <w:pStyle w:val="INNH2"/>
        <w:rPr>
          <w:rFonts w:eastAsiaTheme="minorEastAsia"/>
          <w:color w:val="auto"/>
          <w:kern w:val="2"/>
          <w:sz w:val="22"/>
          <w:szCs w:val="22"/>
          <w:lang w:eastAsia="nb-NO"/>
          <w14:ligatures w14:val="standardContextual"/>
        </w:rPr>
      </w:pPr>
      <w:hyperlink w:anchor="_Toc134792759" w:history="1">
        <w:r w:rsidR="00F262EF" w:rsidRPr="00F15E40">
          <w:rPr>
            <w:rStyle w:val="Hyperkobling"/>
          </w:rPr>
          <w:t>4.7</w:t>
        </w:r>
        <w:r w:rsidR="00F262EF">
          <w:rPr>
            <w:rFonts w:eastAsiaTheme="minorEastAsia"/>
            <w:color w:val="auto"/>
            <w:kern w:val="2"/>
            <w:sz w:val="22"/>
            <w:szCs w:val="22"/>
            <w:lang w:eastAsia="nb-NO"/>
            <w14:ligatures w14:val="standardContextual"/>
          </w:rPr>
          <w:tab/>
        </w:r>
        <w:r w:rsidR="00F262EF" w:rsidRPr="00F15E40">
          <w:rPr>
            <w:rStyle w:val="Hyperkobling"/>
          </w:rPr>
          <w:t>Andelen midlertidig ansatte i undervisnings- og forskningsstillinger – nasjonal styringsparameter</w:t>
        </w:r>
        <w:r w:rsidR="00F262EF">
          <w:rPr>
            <w:webHidden/>
          </w:rPr>
          <w:tab/>
        </w:r>
        <w:r w:rsidR="00F262EF">
          <w:rPr>
            <w:webHidden/>
          </w:rPr>
          <w:fldChar w:fldCharType="begin"/>
        </w:r>
        <w:r w:rsidR="00F262EF">
          <w:rPr>
            <w:webHidden/>
          </w:rPr>
          <w:instrText xml:space="preserve"> PAGEREF _Toc134792759 \h </w:instrText>
        </w:r>
        <w:r w:rsidR="00F262EF">
          <w:rPr>
            <w:webHidden/>
          </w:rPr>
        </w:r>
        <w:r w:rsidR="00F262EF">
          <w:rPr>
            <w:webHidden/>
          </w:rPr>
          <w:fldChar w:fldCharType="separate"/>
        </w:r>
        <w:r w:rsidR="00F262EF">
          <w:rPr>
            <w:webHidden/>
          </w:rPr>
          <w:t>92</w:t>
        </w:r>
        <w:r w:rsidR="00F262EF">
          <w:rPr>
            <w:webHidden/>
          </w:rPr>
          <w:fldChar w:fldCharType="end"/>
        </w:r>
      </w:hyperlink>
    </w:p>
    <w:p w14:paraId="2F61DC25" w14:textId="4268DAA5" w:rsidR="00F262EF" w:rsidRDefault="00000000">
      <w:pPr>
        <w:pStyle w:val="INNH1"/>
        <w:rPr>
          <w:rFonts w:eastAsiaTheme="minorEastAsia"/>
          <w:b w:val="0"/>
          <w:color w:val="auto"/>
          <w:kern w:val="2"/>
          <w:sz w:val="22"/>
          <w:szCs w:val="22"/>
          <w:lang w:eastAsia="nb-NO"/>
          <w14:ligatures w14:val="standardContextual"/>
        </w:rPr>
      </w:pPr>
      <w:hyperlink w:anchor="_Toc134792760" w:history="1">
        <w:r w:rsidR="00F262EF" w:rsidRPr="00F15E40">
          <w:rPr>
            <w:rStyle w:val="Hyperkobling"/>
          </w:rPr>
          <w:t>5</w:t>
        </w:r>
        <w:r w:rsidR="00F262EF">
          <w:rPr>
            <w:rFonts w:eastAsiaTheme="minorEastAsia"/>
            <w:b w:val="0"/>
            <w:color w:val="auto"/>
            <w:kern w:val="2"/>
            <w:sz w:val="22"/>
            <w:szCs w:val="22"/>
            <w:lang w:eastAsia="nb-NO"/>
            <w14:ligatures w14:val="standardContextual"/>
          </w:rPr>
          <w:tab/>
        </w:r>
        <w:r w:rsidR="00F262EF" w:rsidRPr="00F15E40">
          <w:rPr>
            <w:rStyle w:val="Hyperkobling"/>
          </w:rPr>
          <w:t>Litteraturliste</w:t>
        </w:r>
        <w:r w:rsidR="00F262EF">
          <w:rPr>
            <w:webHidden/>
          </w:rPr>
          <w:tab/>
        </w:r>
        <w:r w:rsidR="00F262EF">
          <w:rPr>
            <w:webHidden/>
          </w:rPr>
          <w:fldChar w:fldCharType="begin"/>
        </w:r>
        <w:r w:rsidR="00F262EF">
          <w:rPr>
            <w:webHidden/>
          </w:rPr>
          <w:instrText xml:space="preserve"> PAGEREF _Toc134792760 \h </w:instrText>
        </w:r>
        <w:r w:rsidR="00F262EF">
          <w:rPr>
            <w:webHidden/>
          </w:rPr>
        </w:r>
        <w:r w:rsidR="00F262EF">
          <w:rPr>
            <w:webHidden/>
          </w:rPr>
          <w:fldChar w:fldCharType="separate"/>
        </w:r>
        <w:r w:rsidR="00F262EF">
          <w:rPr>
            <w:webHidden/>
          </w:rPr>
          <w:t>95</w:t>
        </w:r>
        <w:r w:rsidR="00F262EF">
          <w:rPr>
            <w:webHidden/>
          </w:rPr>
          <w:fldChar w:fldCharType="end"/>
        </w:r>
      </w:hyperlink>
    </w:p>
    <w:p w14:paraId="584756F9" w14:textId="65075AB8" w:rsidR="00F262EF" w:rsidRDefault="00000000">
      <w:pPr>
        <w:pStyle w:val="INNH3"/>
        <w:tabs>
          <w:tab w:val="right" w:leader="dot" w:pos="8154"/>
        </w:tabs>
        <w:rPr>
          <w:rFonts w:eastAsiaTheme="minorEastAsia"/>
          <w:noProof/>
          <w:kern w:val="2"/>
          <w:sz w:val="22"/>
          <w:szCs w:val="22"/>
          <w:lang w:eastAsia="nb-NO"/>
          <w14:ligatures w14:val="standardContextual"/>
        </w:rPr>
      </w:pPr>
      <w:hyperlink w:anchor="_Toc134792761" w:history="1">
        <w:r w:rsidR="00F262EF" w:rsidRPr="00F15E40">
          <w:rPr>
            <w:rStyle w:val="Hyperkobling"/>
            <w:noProof/>
          </w:rPr>
          <w:t>Sluttnoter</w:t>
        </w:r>
        <w:r w:rsidR="00F262EF">
          <w:rPr>
            <w:noProof/>
            <w:webHidden/>
          </w:rPr>
          <w:tab/>
        </w:r>
        <w:r w:rsidR="00F262EF">
          <w:rPr>
            <w:noProof/>
            <w:webHidden/>
          </w:rPr>
          <w:fldChar w:fldCharType="begin"/>
        </w:r>
        <w:r w:rsidR="00F262EF">
          <w:rPr>
            <w:noProof/>
            <w:webHidden/>
          </w:rPr>
          <w:instrText xml:space="preserve"> PAGEREF _Toc134792761 \h </w:instrText>
        </w:r>
        <w:r w:rsidR="00F262EF">
          <w:rPr>
            <w:noProof/>
            <w:webHidden/>
          </w:rPr>
        </w:r>
        <w:r w:rsidR="00F262EF">
          <w:rPr>
            <w:noProof/>
            <w:webHidden/>
          </w:rPr>
          <w:fldChar w:fldCharType="separate"/>
        </w:r>
        <w:r w:rsidR="00F262EF">
          <w:rPr>
            <w:noProof/>
            <w:webHidden/>
          </w:rPr>
          <w:t>97</w:t>
        </w:r>
        <w:r w:rsidR="00F262EF">
          <w:rPr>
            <w:noProof/>
            <w:webHidden/>
          </w:rPr>
          <w:fldChar w:fldCharType="end"/>
        </w:r>
      </w:hyperlink>
    </w:p>
    <w:p w14:paraId="1B2439A0" w14:textId="43E07F00" w:rsidR="00C51FDB" w:rsidRPr="008229A2" w:rsidRDefault="00776864" w:rsidP="008229A2">
      <w:r>
        <w:rPr>
          <w:b/>
          <w:color w:val="23099F" w:themeColor="text2"/>
        </w:rPr>
        <w:fldChar w:fldCharType="end"/>
      </w:r>
    </w:p>
    <w:p w14:paraId="01A131F8" w14:textId="77777777" w:rsidR="00C51FDB" w:rsidRDefault="00C51FDB">
      <w:pPr>
        <w:rPr>
          <w:noProof/>
          <w:color w:val="23099F" w:themeColor="text2"/>
          <w:sz w:val="24"/>
        </w:rPr>
      </w:pPr>
      <w:r>
        <w:rPr>
          <w:b/>
          <w:noProof/>
          <w:color w:val="23099F" w:themeColor="text2"/>
        </w:rPr>
        <w:br w:type="page"/>
      </w:r>
    </w:p>
    <w:p w14:paraId="68A3375E" w14:textId="57C37D0D" w:rsidR="00393FD2" w:rsidRPr="004157A4" w:rsidRDefault="00695348" w:rsidP="004157A4">
      <w:pPr>
        <w:pStyle w:val="Unummerertoverskrift2"/>
      </w:pPr>
      <w:bookmarkStart w:id="3" w:name="_Toc134792708"/>
      <w:r w:rsidRPr="00695348">
        <w:lastRenderedPageBreak/>
        <w:t>Figuroversikt</w:t>
      </w:r>
      <w:bookmarkEnd w:id="3"/>
    </w:p>
    <w:p w14:paraId="674D5FD0" w14:textId="77777777" w:rsidR="00B05AC4" w:rsidRDefault="00B05AC4" w:rsidP="0025548E">
      <w:pPr>
        <w:pStyle w:val="Figurliste"/>
        <w:tabs>
          <w:tab w:val="right" w:leader="dot" w:pos="8154"/>
        </w:tabs>
        <w:rPr>
          <w:sz w:val="18"/>
        </w:rPr>
      </w:pPr>
    </w:p>
    <w:p w14:paraId="40E58EBC" w14:textId="3350568D" w:rsidR="00F262EF" w:rsidRDefault="00E45A79">
      <w:pPr>
        <w:pStyle w:val="Figurliste"/>
        <w:tabs>
          <w:tab w:val="right" w:leader="dot" w:pos="8154"/>
        </w:tabs>
        <w:rPr>
          <w:rFonts w:eastAsiaTheme="minorEastAsia"/>
          <w:noProof/>
          <w:kern w:val="2"/>
          <w:sz w:val="22"/>
          <w:szCs w:val="22"/>
          <w:lang w:eastAsia="nb-NO"/>
          <w14:ligatures w14:val="standardContextual"/>
        </w:rPr>
      </w:pPr>
      <w:r>
        <w:rPr>
          <w:b/>
          <w:sz w:val="18"/>
        </w:rPr>
        <w:fldChar w:fldCharType="begin"/>
      </w:r>
      <w:r>
        <w:rPr>
          <w:sz w:val="18"/>
        </w:rPr>
        <w:instrText xml:space="preserve"> TOC \h \z \c "Figur" </w:instrText>
      </w:r>
      <w:r>
        <w:rPr>
          <w:b/>
          <w:sz w:val="18"/>
        </w:rPr>
        <w:fldChar w:fldCharType="separate"/>
      </w:r>
      <w:hyperlink w:anchor="_Toc134792762" w:history="1">
        <w:r w:rsidR="00F262EF" w:rsidRPr="00EA6BC7">
          <w:rPr>
            <w:rStyle w:val="Hyperkobling"/>
            <w:noProof/>
          </w:rPr>
          <w:t>Figur 2.1 Totalt antall studenter 2013–22</w:t>
        </w:r>
        <w:r w:rsidR="00F262EF">
          <w:rPr>
            <w:noProof/>
            <w:webHidden/>
          </w:rPr>
          <w:tab/>
        </w:r>
        <w:r w:rsidR="00F262EF">
          <w:rPr>
            <w:noProof/>
            <w:webHidden/>
          </w:rPr>
          <w:fldChar w:fldCharType="begin"/>
        </w:r>
        <w:r w:rsidR="00F262EF">
          <w:rPr>
            <w:noProof/>
            <w:webHidden/>
          </w:rPr>
          <w:instrText xml:space="preserve"> PAGEREF _Toc134792762 \h </w:instrText>
        </w:r>
        <w:r w:rsidR="00F262EF">
          <w:rPr>
            <w:noProof/>
            <w:webHidden/>
          </w:rPr>
        </w:r>
        <w:r w:rsidR="00F262EF">
          <w:rPr>
            <w:noProof/>
            <w:webHidden/>
          </w:rPr>
          <w:fldChar w:fldCharType="separate"/>
        </w:r>
        <w:r w:rsidR="00F262EF">
          <w:rPr>
            <w:noProof/>
            <w:webHidden/>
          </w:rPr>
          <w:t>18</w:t>
        </w:r>
        <w:r w:rsidR="00F262EF">
          <w:rPr>
            <w:noProof/>
            <w:webHidden/>
          </w:rPr>
          <w:fldChar w:fldCharType="end"/>
        </w:r>
      </w:hyperlink>
    </w:p>
    <w:p w14:paraId="41A18715" w14:textId="671AE6F6"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3" w:history="1">
        <w:r w:rsidR="00F262EF" w:rsidRPr="00EA6BC7">
          <w:rPr>
            <w:rStyle w:val="Hyperkobling"/>
            <w:noProof/>
          </w:rPr>
          <w:t>Figur 2.2 Studenter etter kjønn og fagområde, 2022. Prosent</w:t>
        </w:r>
        <w:r w:rsidR="00F262EF">
          <w:rPr>
            <w:noProof/>
            <w:webHidden/>
          </w:rPr>
          <w:tab/>
        </w:r>
        <w:r w:rsidR="00F262EF">
          <w:rPr>
            <w:noProof/>
            <w:webHidden/>
          </w:rPr>
          <w:fldChar w:fldCharType="begin"/>
        </w:r>
        <w:r w:rsidR="00F262EF">
          <w:rPr>
            <w:noProof/>
            <w:webHidden/>
          </w:rPr>
          <w:instrText xml:space="preserve"> PAGEREF _Toc134792763 \h </w:instrText>
        </w:r>
        <w:r w:rsidR="00F262EF">
          <w:rPr>
            <w:noProof/>
            <w:webHidden/>
          </w:rPr>
        </w:r>
        <w:r w:rsidR="00F262EF">
          <w:rPr>
            <w:noProof/>
            <w:webHidden/>
          </w:rPr>
          <w:fldChar w:fldCharType="separate"/>
        </w:r>
        <w:r w:rsidR="00F262EF">
          <w:rPr>
            <w:noProof/>
            <w:webHidden/>
          </w:rPr>
          <w:t>20</w:t>
        </w:r>
        <w:r w:rsidR="00F262EF">
          <w:rPr>
            <w:noProof/>
            <w:webHidden/>
          </w:rPr>
          <w:fldChar w:fldCharType="end"/>
        </w:r>
      </w:hyperlink>
    </w:p>
    <w:p w14:paraId="6CC800BA" w14:textId="0CA1261E"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4" w:history="1">
        <w:r w:rsidR="00F262EF" w:rsidRPr="00EA6BC7">
          <w:rPr>
            <w:rStyle w:val="Hyperkobling"/>
            <w:noProof/>
          </w:rPr>
          <w:t>Figur 2.3 Studenter etter alderskategori 2022. Statlige institusjoner. Prosent</w:t>
        </w:r>
        <w:r w:rsidR="00F262EF">
          <w:rPr>
            <w:noProof/>
            <w:webHidden/>
          </w:rPr>
          <w:tab/>
        </w:r>
        <w:r w:rsidR="00F262EF">
          <w:rPr>
            <w:noProof/>
            <w:webHidden/>
          </w:rPr>
          <w:fldChar w:fldCharType="begin"/>
        </w:r>
        <w:r w:rsidR="00F262EF">
          <w:rPr>
            <w:noProof/>
            <w:webHidden/>
          </w:rPr>
          <w:instrText xml:space="preserve"> PAGEREF _Toc134792764 \h </w:instrText>
        </w:r>
        <w:r w:rsidR="00F262EF">
          <w:rPr>
            <w:noProof/>
            <w:webHidden/>
          </w:rPr>
        </w:r>
        <w:r w:rsidR="00F262EF">
          <w:rPr>
            <w:noProof/>
            <w:webHidden/>
          </w:rPr>
          <w:fldChar w:fldCharType="separate"/>
        </w:r>
        <w:r w:rsidR="00F262EF">
          <w:rPr>
            <w:noProof/>
            <w:webHidden/>
          </w:rPr>
          <w:t>21</w:t>
        </w:r>
        <w:r w:rsidR="00F262EF">
          <w:rPr>
            <w:noProof/>
            <w:webHidden/>
          </w:rPr>
          <w:fldChar w:fldCharType="end"/>
        </w:r>
      </w:hyperlink>
    </w:p>
    <w:p w14:paraId="4FD0C014" w14:textId="69CB2341"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5" w:history="1">
        <w:r w:rsidR="00F262EF" w:rsidRPr="00EA6BC7">
          <w:rPr>
            <w:rStyle w:val="Hyperkobling"/>
            <w:noProof/>
          </w:rPr>
          <w:t>Figur 2.4 Studiepoeng per faglig årsverk 2013–2022. Antall</w:t>
        </w:r>
        <w:r w:rsidR="00F262EF">
          <w:rPr>
            <w:noProof/>
            <w:webHidden/>
          </w:rPr>
          <w:tab/>
        </w:r>
        <w:r w:rsidR="00F262EF">
          <w:rPr>
            <w:noProof/>
            <w:webHidden/>
          </w:rPr>
          <w:fldChar w:fldCharType="begin"/>
        </w:r>
        <w:r w:rsidR="00F262EF">
          <w:rPr>
            <w:noProof/>
            <w:webHidden/>
          </w:rPr>
          <w:instrText xml:space="preserve"> PAGEREF _Toc134792765 \h </w:instrText>
        </w:r>
        <w:r w:rsidR="00F262EF">
          <w:rPr>
            <w:noProof/>
            <w:webHidden/>
          </w:rPr>
        </w:r>
        <w:r w:rsidR="00F262EF">
          <w:rPr>
            <w:noProof/>
            <w:webHidden/>
          </w:rPr>
          <w:fldChar w:fldCharType="separate"/>
        </w:r>
        <w:r w:rsidR="00F262EF">
          <w:rPr>
            <w:noProof/>
            <w:webHidden/>
          </w:rPr>
          <w:t>24</w:t>
        </w:r>
        <w:r w:rsidR="00F262EF">
          <w:rPr>
            <w:noProof/>
            <w:webHidden/>
          </w:rPr>
          <w:fldChar w:fldCharType="end"/>
        </w:r>
      </w:hyperlink>
    </w:p>
    <w:p w14:paraId="1665974F" w14:textId="5FD4FBEA"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6" w:history="1">
        <w:r w:rsidR="00F262EF" w:rsidRPr="00EA6BC7">
          <w:rPr>
            <w:rStyle w:val="Hyperkobling"/>
            <w:noProof/>
          </w:rPr>
          <w:t>Figur 2.5 Gjennomføring på normert tid for bachelor- og masterstudenter 2013–22. Prosent</w:t>
        </w:r>
        <w:r w:rsidR="00F262EF">
          <w:rPr>
            <w:noProof/>
            <w:webHidden/>
          </w:rPr>
          <w:tab/>
        </w:r>
        <w:r w:rsidR="00F262EF">
          <w:rPr>
            <w:noProof/>
            <w:webHidden/>
          </w:rPr>
          <w:fldChar w:fldCharType="begin"/>
        </w:r>
        <w:r w:rsidR="00F262EF">
          <w:rPr>
            <w:noProof/>
            <w:webHidden/>
          </w:rPr>
          <w:instrText xml:space="preserve"> PAGEREF _Toc134792766 \h </w:instrText>
        </w:r>
        <w:r w:rsidR="00F262EF">
          <w:rPr>
            <w:noProof/>
            <w:webHidden/>
          </w:rPr>
        </w:r>
        <w:r w:rsidR="00F262EF">
          <w:rPr>
            <w:noProof/>
            <w:webHidden/>
          </w:rPr>
          <w:fldChar w:fldCharType="separate"/>
        </w:r>
        <w:r w:rsidR="00F262EF">
          <w:rPr>
            <w:noProof/>
            <w:webHidden/>
          </w:rPr>
          <w:t>26</w:t>
        </w:r>
        <w:r w:rsidR="00F262EF">
          <w:rPr>
            <w:noProof/>
            <w:webHidden/>
          </w:rPr>
          <w:fldChar w:fldCharType="end"/>
        </w:r>
      </w:hyperlink>
    </w:p>
    <w:p w14:paraId="526A7595" w14:textId="37352DC4"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7" w:history="1">
        <w:r w:rsidR="00F262EF" w:rsidRPr="00EA6BC7">
          <w:rPr>
            <w:rStyle w:val="Hyperkobling"/>
            <w:noProof/>
          </w:rPr>
          <w:t>Figur 2.6 Utviklingen i uteksaminerte per fagområder 2013–2022. Antall</w:t>
        </w:r>
        <w:r w:rsidR="00F262EF">
          <w:rPr>
            <w:noProof/>
            <w:webHidden/>
          </w:rPr>
          <w:tab/>
        </w:r>
        <w:r w:rsidR="00F262EF">
          <w:rPr>
            <w:noProof/>
            <w:webHidden/>
          </w:rPr>
          <w:fldChar w:fldCharType="begin"/>
        </w:r>
        <w:r w:rsidR="00F262EF">
          <w:rPr>
            <w:noProof/>
            <w:webHidden/>
          </w:rPr>
          <w:instrText xml:space="preserve"> PAGEREF _Toc134792767 \h </w:instrText>
        </w:r>
        <w:r w:rsidR="00F262EF">
          <w:rPr>
            <w:noProof/>
            <w:webHidden/>
          </w:rPr>
        </w:r>
        <w:r w:rsidR="00F262EF">
          <w:rPr>
            <w:noProof/>
            <w:webHidden/>
          </w:rPr>
          <w:fldChar w:fldCharType="separate"/>
        </w:r>
        <w:r w:rsidR="00F262EF">
          <w:rPr>
            <w:noProof/>
            <w:webHidden/>
          </w:rPr>
          <w:t>27</w:t>
        </w:r>
        <w:r w:rsidR="00F262EF">
          <w:rPr>
            <w:noProof/>
            <w:webHidden/>
          </w:rPr>
          <w:fldChar w:fldCharType="end"/>
        </w:r>
      </w:hyperlink>
    </w:p>
    <w:p w14:paraId="592DC4B2" w14:textId="337583F5"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8" w:history="1">
        <w:r w:rsidR="00F262EF" w:rsidRPr="00EA6BC7">
          <w:rPr>
            <w:rStyle w:val="Hyperkobling"/>
            <w:noProof/>
          </w:rPr>
          <w:t>Figur 2.7 Karakterfordeling sykepleie (anatomi, fysiologi og biokjemi), høst 2022. Prosent</w:t>
        </w:r>
        <w:r w:rsidR="00F262EF">
          <w:rPr>
            <w:noProof/>
            <w:webHidden/>
          </w:rPr>
          <w:tab/>
        </w:r>
        <w:r w:rsidR="00F262EF">
          <w:rPr>
            <w:noProof/>
            <w:webHidden/>
          </w:rPr>
          <w:fldChar w:fldCharType="begin"/>
        </w:r>
        <w:r w:rsidR="00F262EF">
          <w:rPr>
            <w:noProof/>
            <w:webHidden/>
          </w:rPr>
          <w:instrText xml:space="preserve"> PAGEREF _Toc134792768 \h </w:instrText>
        </w:r>
        <w:r w:rsidR="00F262EF">
          <w:rPr>
            <w:noProof/>
            <w:webHidden/>
          </w:rPr>
        </w:r>
        <w:r w:rsidR="00F262EF">
          <w:rPr>
            <w:noProof/>
            <w:webHidden/>
          </w:rPr>
          <w:fldChar w:fldCharType="separate"/>
        </w:r>
        <w:r w:rsidR="00F262EF">
          <w:rPr>
            <w:noProof/>
            <w:webHidden/>
          </w:rPr>
          <w:t>29</w:t>
        </w:r>
        <w:r w:rsidR="00F262EF">
          <w:rPr>
            <w:noProof/>
            <w:webHidden/>
          </w:rPr>
          <w:fldChar w:fldCharType="end"/>
        </w:r>
      </w:hyperlink>
    </w:p>
    <w:p w14:paraId="4BDFCC43" w14:textId="134EA3A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69" w:history="1">
        <w:r w:rsidR="00F262EF" w:rsidRPr="00EA6BC7">
          <w:rPr>
            <w:rStyle w:val="Hyperkobling"/>
            <w:noProof/>
          </w:rPr>
          <w:t>Figur 2.8 Karakterfordeling matematikk i grunnskolelærerutdanningene, våren 2022. Prosent</w:t>
        </w:r>
        <w:r w:rsidR="00F262EF">
          <w:rPr>
            <w:noProof/>
            <w:webHidden/>
          </w:rPr>
          <w:tab/>
        </w:r>
        <w:r w:rsidR="00F262EF">
          <w:rPr>
            <w:noProof/>
            <w:webHidden/>
          </w:rPr>
          <w:fldChar w:fldCharType="begin"/>
        </w:r>
        <w:r w:rsidR="00F262EF">
          <w:rPr>
            <w:noProof/>
            <w:webHidden/>
          </w:rPr>
          <w:instrText xml:space="preserve"> PAGEREF _Toc134792769 \h </w:instrText>
        </w:r>
        <w:r w:rsidR="00F262EF">
          <w:rPr>
            <w:noProof/>
            <w:webHidden/>
          </w:rPr>
        </w:r>
        <w:r w:rsidR="00F262EF">
          <w:rPr>
            <w:noProof/>
            <w:webHidden/>
          </w:rPr>
          <w:fldChar w:fldCharType="separate"/>
        </w:r>
        <w:r w:rsidR="00F262EF">
          <w:rPr>
            <w:noProof/>
            <w:webHidden/>
          </w:rPr>
          <w:t>30</w:t>
        </w:r>
        <w:r w:rsidR="00F262EF">
          <w:rPr>
            <w:noProof/>
            <w:webHidden/>
          </w:rPr>
          <w:fldChar w:fldCharType="end"/>
        </w:r>
      </w:hyperlink>
    </w:p>
    <w:p w14:paraId="63ABF9E2" w14:textId="21269617"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0" w:history="1">
        <w:r w:rsidR="00F262EF" w:rsidRPr="00EA6BC7">
          <w:rPr>
            <w:rStyle w:val="Hyperkobling"/>
            <w:noProof/>
          </w:rPr>
          <w:t>Figur 2.9 Oppfyllelse av måltall på helsefagutdanninger i 2022. Prosent</w:t>
        </w:r>
        <w:r w:rsidR="00F262EF">
          <w:rPr>
            <w:noProof/>
            <w:webHidden/>
          </w:rPr>
          <w:tab/>
        </w:r>
        <w:r w:rsidR="00F262EF">
          <w:rPr>
            <w:noProof/>
            <w:webHidden/>
          </w:rPr>
          <w:fldChar w:fldCharType="begin"/>
        </w:r>
        <w:r w:rsidR="00F262EF">
          <w:rPr>
            <w:noProof/>
            <w:webHidden/>
          </w:rPr>
          <w:instrText xml:space="preserve"> PAGEREF _Toc134792770 \h </w:instrText>
        </w:r>
        <w:r w:rsidR="00F262EF">
          <w:rPr>
            <w:noProof/>
            <w:webHidden/>
          </w:rPr>
        </w:r>
        <w:r w:rsidR="00F262EF">
          <w:rPr>
            <w:noProof/>
            <w:webHidden/>
          </w:rPr>
          <w:fldChar w:fldCharType="separate"/>
        </w:r>
        <w:r w:rsidR="00F262EF">
          <w:rPr>
            <w:noProof/>
            <w:webHidden/>
          </w:rPr>
          <w:t>32</w:t>
        </w:r>
        <w:r w:rsidR="00F262EF">
          <w:rPr>
            <w:noProof/>
            <w:webHidden/>
          </w:rPr>
          <w:fldChar w:fldCharType="end"/>
        </w:r>
      </w:hyperlink>
    </w:p>
    <w:p w14:paraId="579E413F" w14:textId="689B954E"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1" w:history="1">
        <w:r w:rsidR="00F262EF" w:rsidRPr="00EA6BC7">
          <w:rPr>
            <w:rStyle w:val="Hyperkobling"/>
            <w:noProof/>
          </w:rPr>
          <w:t>Figur 2.10 Oppfyllelse av måltall på lærerutdanninger i 2022. Prosent</w:t>
        </w:r>
        <w:r w:rsidR="00F262EF">
          <w:rPr>
            <w:noProof/>
            <w:webHidden/>
          </w:rPr>
          <w:tab/>
        </w:r>
        <w:r w:rsidR="00F262EF">
          <w:rPr>
            <w:noProof/>
            <w:webHidden/>
          </w:rPr>
          <w:fldChar w:fldCharType="begin"/>
        </w:r>
        <w:r w:rsidR="00F262EF">
          <w:rPr>
            <w:noProof/>
            <w:webHidden/>
          </w:rPr>
          <w:instrText xml:space="preserve"> PAGEREF _Toc134792771 \h </w:instrText>
        </w:r>
        <w:r w:rsidR="00F262EF">
          <w:rPr>
            <w:noProof/>
            <w:webHidden/>
          </w:rPr>
        </w:r>
        <w:r w:rsidR="00F262EF">
          <w:rPr>
            <w:noProof/>
            <w:webHidden/>
          </w:rPr>
          <w:fldChar w:fldCharType="separate"/>
        </w:r>
        <w:r w:rsidR="00F262EF">
          <w:rPr>
            <w:noProof/>
            <w:webHidden/>
          </w:rPr>
          <w:t>33</w:t>
        </w:r>
        <w:r w:rsidR="00F262EF">
          <w:rPr>
            <w:noProof/>
            <w:webHidden/>
          </w:rPr>
          <w:fldChar w:fldCharType="end"/>
        </w:r>
      </w:hyperlink>
    </w:p>
    <w:p w14:paraId="6D39E82C" w14:textId="3C37011B"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2" w:history="1">
        <w:r w:rsidR="00F262EF" w:rsidRPr="00EA6BC7">
          <w:rPr>
            <w:rStyle w:val="Hyperkobling"/>
            <w:noProof/>
          </w:rPr>
          <w:t>Figur 2.11 Faglig tidsbruk i timer per uke, heltidsprogrammer, per institusjon, gj.snitt 2022</w:t>
        </w:r>
        <w:r w:rsidR="00F262EF">
          <w:rPr>
            <w:noProof/>
            <w:webHidden/>
          </w:rPr>
          <w:tab/>
        </w:r>
        <w:r w:rsidR="00F262EF">
          <w:rPr>
            <w:noProof/>
            <w:webHidden/>
          </w:rPr>
          <w:fldChar w:fldCharType="begin"/>
        </w:r>
        <w:r w:rsidR="00F262EF">
          <w:rPr>
            <w:noProof/>
            <w:webHidden/>
          </w:rPr>
          <w:instrText xml:space="preserve"> PAGEREF _Toc134792772 \h </w:instrText>
        </w:r>
        <w:r w:rsidR="00F262EF">
          <w:rPr>
            <w:noProof/>
            <w:webHidden/>
          </w:rPr>
        </w:r>
        <w:r w:rsidR="00F262EF">
          <w:rPr>
            <w:noProof/>
            <w:webHidden/>
          </w:rPr>
          <w:fldChar w:fldCharType="separate"/>
        </w:r>
        <w:r w:rsidR="00F262EF">
          <w:rPr>
            <w:noProof/>
            <w:webHidden/>
          </w:rPr>
          <w:t>36</w:t>
        </w:r>
        <w:r w:rsidR="00F262EF">
          <w:rPr>
            <w:noProof/>
            <w:webHidden/>
          </w:rPr>
          <w:fldChar w:fldCharType="end"/>
        </w:r>
      </w:hyperlink>
    </w:p>
    <w:p w14:paraId="618CDB77" w14:textId="6E7CEA9B"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3" w:history="1">
        <w:r w:rsidR="00F262EF" w:rsidRPr="00EA6BC7">
          <w:rPr>
            <w:rStyle w:val="Hyperkobling"/>
            <w:noProof/>
          </w:rPr>
          <w:t>Figur 2.12 Studentenes tilfredshet med studiekvaliteten, per institusjon. Gj.snitt 2022</w:t>
        </w:r>
        <w:r w:rsidR="00F262EF">
          <w:rPr>
            <w:noProof/>
            <w:webHidden/>
          </w:rPr>
          <w:tab/>
        </w:r>
        <w:r w:rsidR="00F262EF">
          <w:rPr>
            <w:noProof/>
            <w:webHidden/>
          </w:rPr>
          <w:fldChar w:fldCharType="begin"/>
        </w:r>
        <w:r w:rsidR="00F262EF">
          <w:rPr>
            <w:noProof/>
            <w:webHidden/>
          </w:rPr>
          <w:instrText xml:space="preserve"> PAGEREF _Toc134792773 \h </w:instrText>
        </w:r>
        <w:r w:rsidR="00F262EF">
          <w:rPr>
            <w:noProof/>
            <w:webHidden/>
          </w:rPr>
        </w:r>
        <w:r w:rsidR="00F262EF">
          <w:rPr>
            <w:noProof/>
            <w:webHidden/>
          </w:rPr>
          <w:fldChar w:fldCharType="separate"/>
        </w:r>
        <w:r w:rsidR="00F262EF">
          <w:rPr>
            <w:noProof/>
            <w:webHidden/>
          </w:rPr>
          <w:t>38</w:t>
        </w:r>
        <w:r w:rsidR="00F262EF">
          <w:rPr>
            <w:noProof/>
            <w:webHidden/>
          </w:rPr>
          <w:fldChar w:fldCharType="end"/>
        </w:r>
      </w:hyperlink>
    </w:p>
    <w:p w14:paraId="73CC4B41" w14:textId="23336273"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4" w:history="1">
        <w:r w:rsidR="00F262EF" w:rsidRPr="00EA6BC7">
          <w:rPr>
            <w:rStyle w:val="Hyperkobling"/>
            <w:noProof/>
          </w:rPr>
          <w:t>Figur 2.13 Studenter på fleksible studietilbud 2013–22. Antall</w:t>
        </w:r>
        <w:r w:rsidR="00F262EF">
          <w:rPr>
            <w:noProof/>
            <w:webHidden/>
          </w:rPr>
          <w:tab/>
        </w:r>
        <w:r w:rsidR="00F262EF">
          <w:rPr>
            <w:noProof/>
            <w:webHidden/>
          </w:rPr>
          <w:fldChar w:fldCharType="begin"/>
        </w:r>
        <w:r w:rsidR="00F262EF">
          <w:rPr>
            <w:noProof/>
            <w:webHidden/>
          </w:rPr>
          <w:instrText xml:space="preserve"> PAGEREF _Toc134792774 \h </w:instrText>
        </w:r>
        <w:r w:rsidR="00F262EF">
          <w:rPr>
            <w:noProof/>
            <w:webHidden/>
          </w:rPr>
        </w:r>
        <w:r w:rsidR="00F262EF">
          <w:rPr>
            <w:noProof/>
            <w:webHidden/>
          </w:rPr>
          <w:fldChar w:fldCharType="separate"/>
        </w:r>
        <w:r w:rsidR="00F262EF">
          <w:rPr>
            <w:noProof/>
            <w:webHidden/>
          </w:rPr>
          <w:t>40</w:t>
        </w:r>
        <w:r w:rsidR="00F262EF">
          <w:rPr>
            <w:noProof/>
            <w:webHidden/>
          </w:rPr>
          <w:fldChar w:fldCharType="end"/>
        </w:r>
      </w:hyperlink>
    </w:p>
    <w:p w14:paraId="7F6FF372" w14:textId="303254D4"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5" w:history="1">
        <w:r w:rsidR="00F262EF" w:rsidRPr="00EA6BC7">
          <w:rPr>
            <w:rStyle w:val="Hyperkobling"/>
            <w:noProof/>
          </w:rPr>
          <w:t>Figur 2.14 Andel studenter som oppgir å ha brukt utvalgte digitale verktøy i undervisningen</w:t>
        </w:r>
        <w:r w:rsidR="00F262EF">
          <w:rPr>
            <w:noProof/>
            <w:webHidden/>
          </w:rPr>
          <w:tab/>
        </w:r>
        <w:r w:rsidR="00F262EF">
          <w:rPr>
            <w:noProof/>
            <w:webHidden/>
          </w:rPr>
          <w:fldChar w:fldCharType="begin"/>
        </w:r>
        <w:r w:rsidR="00F262EF">
          <w:rPr>
            <w:noProof/>
            <w:webHidden/>
          </w:rPr>
          <w:instrText xml:space="preserve"> PAGEREF _Toc134792775 \h </w:instrText>
        </w:r>
        <w:r w:rsidR="00F262EF">
          <w:rPr>
            <w:noProof/>
            <w:webHidden/>
          </w:rPr>
        </w:r>
        <w:r w:rsidR="00F262EF">
          <w:rPr>
            <w:noProof/>
            <w:webHidden/>
          </w:rPr>
          <w:fldChar w:fldCharType="separate"/>
        </w:r>
        <w:r w:rsidR="00F262EF">
          <w:rPr>
            <w:noProof/>
            <w:webHidden/>
          </w:rPr>
          <w:t>42</w:t>
        </w:r>
        <w:r w:rsidR="00F262EF">
          <w:rPr>
            <w:noProof/>
            <w:webHidden/>
          </w:rPr>
          <w:fldChar w:fldCharType="end"/>
        </w:r>
      </w:hyperlink>
    </w:p>
    <w:p w14:paraId="04DB5FEB" w14:textId="66DA474B"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6" w:history="1">
        <w:r w:rsidR="00F262EF" w:rsidRPr="00EA6BC7">
          <w:rPr>
            <w:rStyle w:val="Hyperkobling"/>
            <w:noProof/>
          </w:rPr>
          <w:t>Figur 2.15 Eksamener ved universiteter og høyskoler 2018–2022 etter eksamensform</w:t>
        </w:r>
        <w:r w:rsidR="00F262EF">
          <w:rPr>
            <w:noProof/>
            <w:webHidden/>
          </w:rPr>
          <w:tab/>
        </w:r>
        <w:r w:rsidR="00F262EF">
          <w:rPr>
            <w:noProof/>
            <w:webHidden/>
          </w:rPr>
          <w:fldChar w:fldCharType="begin"/>
        </w:r>
        <w:r w:rsidR="00F262EF">
          <w:rPr>
            <w:noProof/>
            <w:webHidden/>
          </w:rPr>
          <w:instrText xml:space="preserve"> PAGEREF _Toc134792776 \h </w:instrText>
        </w:r>
        <w:r w:rsidR="00F262EF">
          <w:rPr>
            <w:noProof/>
            <w:webHidden/>
          </w:rPr>
        </w:r>
        <w:r w:rsidR="00F262EF">
          <w:rPr>
            <w:noProof/>
            <w:webHidden/>
          </w:rPr>
          <w:fldChar w:fldCharType="separate"/>
        </w:r>
        <w:r w:rsidR="00F262EF">
          <w:rPr>
            <w:noProof/>
            <w:webHidden/>
          </w:rPr>
          <w:t>43</w:t>
        </w:r>
        <w:r w:rsidR="00F262EF">
          <w:rPr>
            <w:noProof/>
            <w:webHidden/>
          </w:rPr>
          <w:fldChar w:fldCharType="end"/>
        </w:r>
      </w:hyperlink>
    </w:p>
    <w:p w14:paraId="6EFB6574" w14:textId="0323B488"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7" w:history="1">
        <w:r w:rsidR="00F262EF" w:rsidRPr="00EA6BC7">
          <w:rPr>
            <w:rStyle w:val="Hyperkobling"/>
            <w:noProof/>
          </w:rPr>
          <w:t>Figur 2.16 Uteksaminerte med mastergrad i relevant arbeid et halvt år etter utdanning</w:t>
        </w:r>
        <w:r w:rsidR="00F262EF">
          <w:rPr>
            <w:noProof/>
            <w:webHidden/>
          </w:rPr>
          <w:tab/>
        </w:r>
        <w:r w:rsidR="00F262EF">
          <w:rPr>
            <w:noProof/>
            <w:webHidden/>
          </w:rPr>
          <w:fldChar w:fldCharType="begin"/>
        </w:r>
        <w:r w:rsidR="00F262EF">
          <w:rPr>
            <w:noProof/>
            <w:webHidden/>
          </w:rPr>
          <w:instrText xml:space="preserve"> PAGEREF _Toc134792777 \h </w:instrText>
        </w:r>
        <w:r w:rsidR="00F262EF">
          <w:rPr>
            <w:noProof/>
            <w:webHidden/>
          </w:rPr>
        </w:r>
        <w:r w:rsidR="00F262EF">
          <w:rPr>
            <w:noProof/>
            <w:webHidden/>
          </w:rPr>
          <w:fldChar w:fldCharType="separate"/>
        </w:r>
        <w:r w:rsidR="00F262EF">
          <w:rPr>
            <w:noProof/>
            <w:webHidden/>
          </w:rPr>
          <w:t>44</w:t>
        </w:r>
        <w:r w:rsidR="00F262EF">
          <w:rPr>
            <w:noProof/>
            <w:webHidden/>
          </w:rPr>
          <w:fldChar w:fldCharType="end"/>
        </w:r>
      </w:hyperlink>
    </w:p>
    <w:p w14:paraId="3D6FFDFD" w14:textId="15B98223"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8" w:history="1">
        <w:r w:rsidR="00F262EF" w:rsidRPr="00EA6BC7">
          <w:rPr>
            <w:rStyle w:val="Hyperkobling"/>
            <w:noProof/>
          </w:rPr>
          <w:t>Figur 2.17 Studenter med innvandrerbakgrunn 2013–22. Prosent</w:t>
        </w:r>
        <w:r w:rsidR="00F262EF">
          <w:rPr>
            <w:noProof/>
            <w:webHidden/>
          </w:rPr>
          <w:tab/>
        </w:r>
        <w:r w:rsidR="00F262EF">
          <w:rPr>
            <w:noProof/>
            <w:webHidden/>
          </w:rPr>
          <w:fldChar w:fldCharType="begin"/>
        </w:r>
        <w:r w:rsidR="00F262EF">
          <w:rPr>
            <w:noProof/>
            <w:webHidden/>
          </w:rPr>
          <w:instrText xml:space="preserve"> PAGEREF _Toc134792778 \h </w:instrText>
        </w:r>
        <w:r w:rsidR="00F262EF">
          <w:rPr>
            <w:noProof/>
            <w:webHidden/>
          </w:rPr>
        </w:r>
        <w:r w:rsidR="00F262EF">
          <w:rPr>
            <w:noProof/>
            <w:webHidden/>
          </w:rPr>
          <w:fldChar w:fldCharType="separate"/>
        </w:r>
        <w:r w:rsidR="00F262EF">
          <w:rPr>
            <w:noProof/>
            <w:webHidden/>
          </w:rPr>
          <w:t>45</w:t>
        </w:r>
        <w:r w:rsidR="00F262EF">
          <w:rPr>
            <w:noProof/>
            <w:webHidden/>
          </w:rPr>
          <w:fldChar w:fldCharType="end"/>
        </w:r>
      </w:hyperlink>
    </w:p>
    <w:p w14:paraId="0C6FADA7" w14:textId="650428D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79" w:history="1">
        <w:r w:rsidR="00F262EF" w:rsidRPr="00EA6BC7">
          <w:rPr>
            <w:rStyle w:val="Hyperkobling"/>
            <w:noProof/>
          </w:rPr>
          <w:t>Figur 2.18 Internasjonale studenter i Norge 2013–22, land med flest studenter</w:t>
        </w:r>
        <w:r w:rsidR="00F262EF">
          <w:rPr>
            <w:noProof/>
            <w:webHidden/>
          </w:rPr>
          <w:tab/>
        </w:r>
        <w:r w:rsidR="00F262EF">
          <w:rPr>
            <w:noProof/>
            <w:webHidden/>
          </w:rPr>
          <w:fldChar w:fldCharType="begin"/>
        </w:r>
        <w:r w:rsidR="00F262EF">
          <w:rPr>
            <w:noProof/>
            <w:webHidden/>
          </w:rPr>
          <w:instrText xml:space="preserve"> PAGEREF _Toc134792779 \h </w:instrText>
        </w:r>
        <w:r w:rsidR="00F262EF">
          <w:rPr>
            <w:noProof/>
            <w:webHidden/>
          </w:rPr>
        </w:r>
        <w:r w:rsidR="00F262EF">
          <w:rPr>
            <w:noProof/>
            <w:webHidden/>
          </w:rPr>
          <w:fldChar w:fldCharType="separate"/>
        </w:r>
        <w:r w:rsidR="00F262EF">
          <w:rPr>
            <w:noProof/>
            <w:webHidden/>
          </w:rPr>
          <w:t>50</w:t>
        </w:r>
        <w:r w:rsidR="00F262EF">
          <w:rPr>
            <w:noProof/>
            <w:webHidden/>
          </w:rPr>
          <w:fldChar w:fldCharType="end"/>
        </w:r>
      </w:hyperlink>
    </w:p>
    <w:p w14:paraId="336591DF" w14:textId="7CB877B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0" w:history="1">
        <w:r w:rsidR="00F262EF" w:rsidRPr="00EA6BC7">
          <w:rPr>
            <w:rStyle w:val="Hyperkobling"/>
            <w:noProof/>
          </w:rPr>
          <w:t>Figur 2.19 Utvekslingsstudenter til og fra Norge 2013–22. Antall</w:t>
        </w:r>
        <w:r w:rsidR="00F262EF">
          <w:rPr>
            <w:noProof/>
            <w:webHidden/>
          </w:rPr>
          <w:tab/>
        </w:r>
        <w:r w:rsidR="00F262EF">
          <w:rPr>
            <w:noProof/>
            <w:webHidden/>
          </w:rPr>
          <w:fldChar w:fldCharType="begin"/>
        </w:r>
        <w:r w:rsidR="00F262EF">
          <w:rPr>
            <w:noProof/>
            <w:webHidden/>
          </w:rPr>
          <w:instrText xml:space="preserve"> PAGEREF _Toc134792780 \h </w:instrText>
        </w:r>
        <w:r w:rsidR="00F262EF">
          <w:rPr>
            <w:noProof/>
            <w:webHidden/>
          </w:rPr>
        </w:r>
        <w:r w:rsidR="00F262EF">
          <w:rPr>
            <w:noProof/>
            <w:webHidden/>
          </w:rPr>
          <w:fldChar w:fldCharType="separate"/>
        </w:r>
        <w:r w:rsidR="00F262EF">
          <w:rPr>
            <w:noProof/>
            <w:webHidden/>
          </w:rPr>
          <w:t>51</w:t>
        </w:r>
        <w:r w:rsidR="00F262EF">
          <w:rPr>
            <w:noProof/>
            <w:webHidden/>
          </w:rPr>
          <w:fldChar w:fldCharType="end"/>
        </w:r>
      </w:hyperlink>
    </w:p>
    <w:p w14:paraId="5A99E64F" w14:textId="28793337"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1" w:history="1">
        <w:r w:rsidR="00F262EF" w:rsidRPr="00EA6BC7">
          <w:rPr>
            <w:rStyle w:val="Hyperkobling"/>
            <w:noProof/>
          </w:rPr>
          <w:t>Figur 2.20 Utreisende utvekslingsstudenter 2013–22, fem land med flest studenter. Antall</w:t>
        </w:r>
        <w:r w:rsidR="00F262EF">
          <w:rPr>
            <w:noProof/>
            <w:webHidden/>
          </w:rPr>
          <w:tab/>
        </w:r>
        <w:r w:rsidR="00F262EF">
          <w:rPr>
            <w:noProof/>
            <w:webHidden/>
          </w:rPr>
          <w:fldChar w:fldCharType="begin"/>
        </w:r>
        <w:r w:rsidR="00F262EF">
          <w:rPr>
            <w:noProof/>
            <w:webHidden/>
          </w:rPr>
          <w:instrText xml:space="preserve"> PAGEREF _Toc134792781 \h </w:instrText>
        </w:r>
        <w:r w:rsidR="00F262EF">
          <w:rPr>
            <w:noProof/>
            <w:webHidden/>
          </w:rPr>
        </w:r>
        <w:r w:rsidR="00F262EF">
          <w:rPr>
            <w:noProof/>
            <w:webHidden/>
          </w:rPr>
          <w:fldChar w:fldCharType="separate"/>
        </w:r>
        <w:r w:rsidR="00F262EF">
          <w:rPr>
            <w:noProof/>
            <w:webHidden/>
          </w:rPr>
          <w:t>53</w:t>
        </w:r>
        <w:r w:rsidR="00F262EF">
          <w:rPr>
            <w:noProof/>
            <w:webHidden/>
          </w:rPr>
          <w:fldChar w:fldCharType="end"/>
        </w:r>
      </w:hyperlink>
    </w:p>
    <w:p w14:paraId="5D255DC8" w14:textId="5641169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2" w:history="1">
        <w:r w:rsidR="00F262EF" w:rsidRPr="00EA6BC7">
          <w:rPr>
            <w:rStyle w:val="Hyperkobling"/>
            <w:noProof/>
          </w:rPr>
          <w:t>Figur 2.21 Utreisende utvekslingsstudenter på Erasmus+ 2014–21 av totalt antall studenter. Prosent</w:t>
        </w:r>
        <w:r w:rsidR="00F262EF">
          <w:rPr>
            <w:noProof/>
            <w:webHidden/>
          </w:rPr>
          <w:tab/>
        </w:r>
        <w:r w:rsidR="00F262EF">
          <w:rPr>
            <w:noProof/>
            <w:webHidden/>
          </w:rPr>
          <w:fldChar w:fldCharType="begin"/>
        </w:r>
        <w:r w:rsidR="00F262EF">
          <w:rPr>
            <w:noProof/>
            <w:webHidden/>
          </w:rPr>
          <w:instrText xml:space="preserve"> PAGEREF _Toc134792782 \h </w:instrText>
        </w:r>
        <w:r w:rsidR="00F262EF">
          <w:rPr>
            <w:noProof/>
            <w:webHidden/>
          </w:rPr>
        </w:r>
        <w:r w:rsidR="00F262EF">
          <w:rPr>
            <w:noProof/>
            <w:webHidden/>
          </w:rPr>
          <w:fldChar w:fldCharType="separate"/>
        </w:r>
        <w:r w:rsidR="00F262EF">
          <w:rPr>
            <w:noProof/>
            <w:webHidden/>
          </w:rPr>
          <w:t>54</w:t>
        </w:r>
        <w:r w:rsidR="00F262EF">
          <w:rPr>
            <w:noProof/>
            <w:webHidden/>
          </w:rPr>
          <w:fldChar w:fldCharType="end"/>
        </w:r>
      </w:hyperlink>
    </w:p>
    <w:p w14:paraId="7D8BAFDF" w14:textId="32EE361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3" w:history="1">
        <w:r w:rsidR="00F262EF" w:rsidRPr="00EA6BC7">
          <w:rPr>
            <w:rStyle w:val="Hyperkobling"/>
            <w:noProof/>
          </w:rPr>
          <w:t>Figur 3.1 Totalt antall avlagte doktorgrader 2013–22, fordelt på kjønn</w:t>
        </w:r>
        <w:r w:rsidR="00F262EF">
          <w:rPr>
            <w:noProof/>
            <w:webHidden/>
          </w:rPr>
          <w:tab/>
        </w:r>
        <w:r w:rsidR="00F262EF">
          <w:rPr>
            <w:noProof/>
            <w:webHidden/>
          </w:rPr>
          <w:fldChar w:fldCharType="begin"/>
        </w:r>
        <w:r w:rsidR="00F262EF">
          <w:rPr>
            <w:noProof/>
            <w:webHidden/>
          </w:rPr>
          <w:instrText xml:space="preserve"> PAGEREF _Toc134792783 \h </w:instrText>
        </w:r>
        <w:r w:rsidR="00F262EF">
          <w:rPr>
            <w:noProof/>
            <w:webHidden/>
          </w:rPr>
        </w:r>
        <w:r w:rsidR="00F262EF">
          <w:rPr>
            <w:noProof/>
            <w:webHidden/>
          </w:rPr>
          <w:fldChar w:fldCharType="separate"/>
        </w:r>
        <w:r w:rsidR="00F262EF">
          <w:rPr>
            <w:noProof/>
            <w:webHidden/>
          </w:rPr>
          <w:t>57</w:t>
        </w:r>
        <w:r w:rsidR="00F262EF">
          <w:rPr>
            <w:noProof/>
            <w:webHidden/>
          </w:rPr>
          <w:fldChar w:fldCharType="end"/>
        </w:r>
      </w:hyperlink>
    </w:p>
    <w:p w14:paraId="72E705A1" w14:textId="0312DBD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4" w:history="1">
        <w:r w:rsidR="00F262EF" w:rsidRPr="00EA6BC7">
          <w:rPr>
            <w:rStyle w:val="Hyperkobling"/>
            <w:noProof/>
          </w:rPr>
          <w:t>Figur 3.2 Avlagte doktorgrader etter fagområde, 2013–2022</w:t>
        </w:r>
        <w:r w:rsidR="00F262EF">
          <w:rPr>
            <w:noProof/>
            <w:webHidden/>
          </w:rPr>
          <w:tab/>
        </w:r>
        <w:r w:rsidR="00F262EF">
          <w:rPr>
            <w:noProof/>
            <w:webHidden/>
          </w:rPr>
          <w:fldChar w:fldCharType="begin"/>
        </w:r>
        <w:r w:rsidR="00F262EF">
          <w:rPr>
            <w:noProof/>
            <w:webHidden/>
          </w:rPr>
          <w:instrText xml:space="preserve"> PAGEREF _Toc134792784 \h </w:instrText>
        </w:r>
        <w:r w:rsidR="00F262EF">
          <w:rPr>
            <w:noProof/>
            <w:webHidden/>
          </w:rPr>
        </w:r>
        <w:r w:rsidR="00F262EF">
          <w:rPr>
            <w:noProof/>
            <w:webHidden/>
          </w:rPr>
          <w:fldChar w:fldCharType="separate"/>
        </w:r>
        <w:r w:rsidR="00F262EF">
          <w:rPr>
            <w:noProof/>
            <w:webHidden/>
          </w:rPr>
          <w:t>58</w:t>
        </w:r>
        <w:r w:rsidR="00F262EF">
          <w:rPr>
            <w:noProof/>
            <w:webHidden/>
          </w:rPr>
          <w:fldChar w:fldCharType="end"/>
        </w:r>
      </w:hyperlink>
    </w:p>
    <w:p w14:paraId="23CFE900" w14:textId="761A78E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5" w:history="1">
        <w:r w:rsidR="00F262EF" w:rsidRPr="00EA6BC7">
          <w:rPr>
            <w:rStyle w:val="Hyperkobling"/>
            <w:noProof/>
          </w:rPr>
          <w:t>Figur 3.3 Doktorander med ikke-norsk statsborgerskap 2013–22, etter verdensregion</w:t>
        </w:r>
        <w:r w:rsidR="00F262EF">
          <w:rPr>
            <w:noProof/>
            <w:webHidden/>
          </w:rPr>
          <w:tab/>
        </w:r>
        <w:r w:rsidR="00F262EF">
          <w:rPr>
            <w:noProof/>
            <w:webHidden/>
          </w:rPr>
          <w:fldChar w:fldCharType="begin"/>
        </w:r>
        <w:r w:rsidR="00F262EF">
          <w:rPr>
            <w:noProof/>
            <w:webHidden/>
          </w:rPr>
          <w:instrText xml:space="preserve"> PAGEREF _Toc134792785 \h </w:instrText>
        </w:r>
        <w:r w:rsidR="00F262EF">
          <w:rPr>
            <w:noProof/>
            <w:webHidden/>
          </w:rPr>
        </w:r>
        <w:r w:rsidR="00F262EF">
          <w:rPr>
            <w:noProof/>
            <w:webHidden/>
          </w:rPr>
          <w:fldChar w:fldCharType="separate"/>
        </w:r>
        <w:r w:rsidR="00F262EF">
          <w:rPr>
            <w:noProof/>
            <w:webHidden/>
          </w:rPr>
          <w:t>59</w:t>
        </w:r>
        <w:r w:rsidR="00F262EF">
          <w:rPr>
            <w:noProof/>
            <w:webHidden/>
          </w:rPr>
          <w:fldChar w:fldCharType="end"/>
        </w:r>
      </w:hyperlink>
    </w:p>
    <w:p w14:paraId="7A2A740C" w14:textId="6C3ED04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6" w:history="1">
        <w:r w:rsidR="00F262EF" w:rsidRPr="00EA6BC7">
          <w:rPr>
            <w:rStyle w:val="Hyperkobling"/>
            <w:noProof/>
          </w:rPr>
          <w:t>Figur 3.4 Arbeidssted i 2021 for personer som har avlagt doktorgrad mellom 2013 og 2021. Prosentvis fordeling. Norske statsborgere</w:t>
        </w:r>
        <w:r w:rsidR="00F262EF">
          <w:rPr>
            <w:noProof/>
            <w:webHidden/>
          </w:rPr>
          <w:tab/>
        </w:r>
        <w:r w:rsidR="00F262EF">
          <w:rPr>
            <w:noProof/>
            <w:webHidden/>
          </w:rPr>
          <w:fldChar w:fldCharType="begin"/>
        </w:r>
        <w:r w:rsidR="00F262EF">
          <w:rPr>
            <w:noProof/>
            <w:webHidden/>
          </w:rPr>
          <w:instrText xml:space="preserve"> PAGEREF _Toc134792786 \h </w:instrText>
        </w:r>
        <w:r w:rsidR="00F262EF">
          <w:rPr>
            <w:noProof/>
            <w:webHidden/>
          </w:rPr>
        </w:r>
        <w:r w:rsidR="00F262EF">
          <w:rPr>
            <w:noProof/>
            <w:webHidden/>
          </w:rPr>
          <w:fldChar w:fldCharType="separate"/>
        </w:r>
        <w:r w:rsidR="00F262EF">
          <w:rPr>
            <w:noProof/>
            <w:webHidden/>
          </w:rPr>
          <w:t>62</w:t>
        </w:r>
        <w:r w:rsidR="00F262EF">
          <w:rPr>
            <w:noProof/>
            <w:webHidden/>
          </w:rPr>
          <w:fldChar w:fldCharType="end"/>
        </w:r>
      </w:hyperlink>
    </w:p>
    <w:p w14:paraId="49B2E266" w14:textId="6E600C46"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7" w:history="1">
        <w:r w:rsidR="00F262EF" w:rsidRPr="00EA6BC7">
          <w:rPr>
            <w:rStyle w:val="Hyperkobling"/>
            <w:noProof/>
          </w:rPr>
          <w:t>Figur 3.5 Arbeidssted i 2021 for personer som har avlagt doktorgrad mellom 2013 og 2021. Prosentvis fordeling. Utenlandske statsborgere.</w:t>
        </w:r>
        <w:r w:rsidR="00F262EF">
          <w:rPr>
            <w:noProof/>
            <w:webHidden/>
          </w:rPr>
          <w:tab/>
        </w:r>
        <w:r w:rsidR="00F262EF">
          <w:rPr>
            <w:noProof/>
            <w:webHidden/>
          </w:rPr>
          <w:fldChar w:fldCharType="begin"/>
        </w:r>
        <w:r w:rsidR="00F262EF">
          <w:rPr>
            <w:noProof/>
            <w:webHidden/>
          </w:rPr>
          <w:instrText xml:space="preserve"> PAGEREF _Toc134792787 \h </w:instrText>
        </w:r>
        <w:r w:rsidR="00F262EF">
          <w:rPr>
            <w:noProof/>
            <w:webHidden/>
          </w:rPr>
        </w:r>
        <w:r w:rsidR="00F262EF">
          <w:rPr>
            <w:noProof/>
            <w:webHidden/>
          </w:rPr>
          <w:fldChar w:fldCharType="separate"/>
        </w:r>
        <w:r w:rsidR="00F262EF">
          <w:rPr>
            <w:noProof/>
            <w:webHidden/>
          </w:rPr>
          <w:t>63</w:t>
        </w:r>
        <w:r w:rsidR="00F262EF">
          <w:rPr>
            <w:noProof/>
            <w:webHidden/>
          </w:rPr>
          <w:fldChar w:fldCharType="end"/>
        </w:r>
      </w:hyperlink>
    </w:p>
    <w:p w14:paraId="6EA44E93" w14:textId="4EFEF75A"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8" w:history="1">
        <w:r w:rsidR="00F262EF" w:rsidRPr="00EA6BC7">
          <w:rPr>
            <w:rStyle w:val="Hyperkobling"/>
            <w:noProof/>
          </w:rPr>
          <w:t>Figur 3.6 Publiseringspoeng per faglig årsverk 2013–22. Antall</w:t>
        </w:r>
        <w:r w:rsidR="00F262EF">
          <w:rPr>
            <w:noProof/>
            <w:webHidden/>
          </w:rPr>
          <w:tab/>
        </w:r>
        <w:r w:rsidR="00F262EF">
          <w:rPr>
            <w:noProof/>
            <w:webHidden/>
          </w:rPr>
          <w:fldChar w:fldCharType="begin"/>
        </w:r>
        <w:r w:rsidR="00F262EF">
          <w:rPr>
            <w:noProof/>
            <w:webHidden/>
          </w:rPr>
          <w:instrText xml:space="preserve"> PAGEREF _Toc134792788 \h </w:instrText>
        </w:r>
        <w:r w:rsidR="00F262EF">
          <w:rPr>
            <w:noProof/>
            <w:webHidden/>
          </w:rPr>
        </w:r>
        <w:r w:rsidR="00F262EF">
          <w:rPr>
            <w:noProof/>
            <w:webHidden/>
          </w:rPr>
          <w:fldChar w:fldCharType="separate"/>
        </w:r>
        <w:r w:rsidR="00F262EF">
          <w:rPr>
            <w:noProof/>
            <w:webHidden/>
          </w:rPr>
          <w:t>64</w:t>
        </w:r>
        <w:r w:rsidR="00F262EF">
          <w:rPr>
            <w:noProof/>
            <w:webHidden/>
          </w:rPr>
          <w:fldChar w:fldCharType="end"/>
        </w:r>
      </w:hyperlink>
    </w:p>
    <w:p w14:paraId="30675058" w14:textId="23825CD9"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89" w:history="1">
        <w:r w:rsidR="00F262EF" w:rsidRPr="00EA6BC7">
          <w:rPr>
            <w:rStyle w:val="Hyperkobling"/>
            <w:noProof/>
          </w:rPr>
          <w:t>Figur 3.7 Publikasjoner på nivå 2, 2013–22. Prosent</w:t>
        </w:r>
        <w:r w:rsidR="00F262EF">
          <w:rPr>
            <w:noProof/>
            <w:webHidden/>
          </w:rPr>
          <w:tab/>
        </w:r>
        <w:r w:rsidR="00F262EF">
          <w:rPr>
            <w:noProof/>
            <w:webHidden/>
          </w:rPr>
          <w:fldChar w:fldCharType="begin"/>
        </w:r>
        <w:r w:rsidR="00F262EF">
          <w:rPr>
            <w:noProof/>
            <w:webHidden/>
          </w:rPr>
          <w:instrText xml:space="preserve"> PAGEREF _Toc134792789 \h </w:instrText>
        </w:r>
        <w:r w:rsidR="00F262EF">
          <w:rPr>
            <w:noProof/>
            <w:webHidden/>
          </w:rPr>
        </w:r>
        <w:r w:rsidR="00F262EF">
          <w:rPr>
            <w:noProof/>
            <w:webHidden/>
          </w:rPr>
          <w:fldChar w:fldCharType="separate"/>
        </w:r>
        <w:r w:rsidR="00F262EF">
          <w:rPr>
            <w:noProof/>
            <w:webHidden/>
          </w:rPr>
          <w:t>66</w:t>
        </w:r>
        <w:r w:rsidR="00F262EF">
          <w:rPr>
            <w:noProof/>
            <w:webHidden/>
          </w:rPr>
          <w:fldChar w:fldCharType="end"/>
        </w:r>
      </w:hyperlink>
    </w:p>
    <w:p w14:paraId="06820C06" w14:textId="60350CE5"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0" w:history="1">
        <w:r w:rsidR="00F262EF" w:rsidRPr="00EA6BC7">
          <w:rPr>
            <w:rStyle w:val="Hyperkobling"/>
            <w:noProof/>
          </w:rPr>
          <w:t>Figur 3.8 Åpen tilgang i UH-sektoren 2013–2022. Andel og antall</w:t>
        </w:r>
        <w:r w:rsidR="00F262EF">
          <w:rPr>
            <w:noProof/>
            <w:webHidden/>
          </w:rPr>
          <w:tab/>
        </w:r>
        <w:r w:rsidR="00F262EF">
          <w:rPr>
            <w:noProof/>
            <w:webHidden/>
          </w:rPr>
          <w:fldChar w:fldCharType="begin"/>
        </w:r>
        <w:r w:rsidR="00F262EF">
          <w:rPr>
            <w:noProof/>
            <w:webHidden/>
          </w:rPr>
          <w:instrText xml:space="preserve"> PAGEREF _Toc134792790 \h </w:instrText>
        </w:r>
        <w:r w:rsidR="00F262EF">
          <w:rPr>
            <w:noProof/>
            <w:webHidden/>
          </w:rPr>
        </w:r>
        <w:r w:rsidR="00F262EF">
          <w:rPr>
            <w:noProof/>
            <w:webHidden/>
          </w:rPr>
          <w:fldChar w:fldCharType="separate"/>
        </w:r>
        <w:r w:rsidR="00F262EF">
          <w:rPr>
            <w:noProof/>
            <w:webHidden/>
          </w:rPr>
          <w:t>67</w:t>
        </w:r>
        <w:r w:rsidR="00F262EF">
          <w:rPr>
            <w:noProof/>
            <w:webHidden/>
          </w:rPr>
          <w:fldChar w:fldCharType="end"/>
        </w:r>
      </w:hyperlink>
    </w:p>
    <w:p w14:paraId="461403AB" w14:textId="196AA42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1" w:history="1">
        <w:r w:rsidR="00F262EF" w:rsidRPr="00EA6BC7">
          <w:rPr>
            <w:rStyle w:val="Hyperkobling"/>
            <w:noProof/>
          </w:rPr>
          <w:t>Figur 3.9 Åpen tilgang i UH-sektoren 2022. De ti største institusjonene. Andel og antall</w:t>
        </w:r>
        <w:r w:rsidR="00F262EF">
          <w:rPr>
            <w:noProof/>
            <w:webHidden/>
          </w:rPr>
          <w:tab/>
        </w:r>
        <w:r w:rsidR="00F262EF">
          <w:rPr>
            <w:noProof/>
            <w:webHidden/>
          </w:rPr>
          <w:fldChar w:fldCharType="begin"/>
        </w:r>
        <w:r w:rsidR="00F262EF">
          <w:rPr>
            <w:noProof/>
            <w:webHidden/>
          </w:rPr>
          <w:instrText xml:space="preserve"> PAGEREF _Toc134792791 \h </w:instrText>
        </w:r>
        <w:r w:rsidR="00F262EF">
          <w:rPr>
            <w:noProof/>
            <w:webHidden/>
          </w:rPr>
        </w:r>
        <w:r w:rsidR="00F262EF">
          <w:rPr>
            <w:noProof/>
            <w:webHidden/>
          </w:rPr>
          <w:fldChar w:fldCharType="separate"/>
        </w:r>
        <w:r w:rsidR="00F262EF">
          <w:rPr>
            <w:noProof/>
            <w:webHidden/>
          </w:rPr>
          <w:t>68</w:t>
        </w:r>
        <w:r w:rsidR="00F262EF">
          <w:rPr>
            <w:noProof/>
            <w:webHidden/>
          </w:rPr>
          <w:fldChar w:fldCharType="end"/>
        </w:r>
      </w:hyperlink>
    </w:p>
    <w:p w14:paraId="08DD8786" w14:textId="0AF61A95"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2" w:history="1">
        <w:r w:rsidR="00F262EF" w:rsidRPr="00EA6BC7">
          <w:rPr>
            <w:rStyle w:val="Hyperkobling"/>
            <w:noProof/>
          </w:rPr>
          <w:t>Figur 3.10 Fordeling av driftsutgifter på fagområde i universitets- og høyskolesektoren, 2021. Andel</w:t>
        </w:r>
        <w:r w:rsidR="00F262EF">
          <w:rPr>
            <w:noProof/>
            <w:webHidden/>
          </w:rPr>
          <w:tab/>
        </w:r>
        <w:r w:rsidR="00F262EF">
          <w:rPr>
            <w:noProof/>
            <w:webHidden/>
          </w:rPr>
          <w:fldChar w:fldCharType="begin"/>
        </w:r>
        <w:r w:rsidR="00F262EF">
          <w:rPr>
            <w:noProof/>
            <w:webHidden/>
          </w:rPr>
          <w:instrText xml:space="preserve"> PAGEREF _Toc134792792 \h </w:instrText>
        </w:r>
        <w:r w:rsidR="00F262EF">
          <w:rPr>
            <w:noProof/>
            <w:webHidden/>
          </w:rPr>
        </w:r>
        <w:r w:rsidR="00F262EF">
          <w:rPr>
            <w:noProof/>
            <w:webHidden/>
          </w:rPr>
          <w:fldChar w:fldCharType="separate"/>
        </w:r>
        <w:r w:rsidR="00F262EF">
          <w:rPr>
            <w:noProof/>
            <w:webHidden/>
          </w:rPr>
          <w:t>70</w:t>
        </w:r>
        <w:r w:rsidR="00F262EF">
          <w:rPr>
            <w:noProof/>
            <w:webHidden/>
          </w:rPr>
          <w:fldChar w:fldCharType="end"/>
        </w:r>
      </w:hyperlink>
    </w:p>
    <w:p w14:paraId="35A4CF56" w14:textId="084E3572"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3" w:history="1">
        <w:r w:rsidR="00F262EF" w:rsidRPr="00EA6BC7">
          <w:rPr>
            <w:rStyle w:val="Hyperkobling"/>
            <w:noProof/>
          </w:rPr>
          <w:t>Figur 3.11 Relativ utvikling i driftsutgifter i UH-sektoren til FoU per fagområde 2001–2021</w:t>
        </w:r>
        <w:r w:rsidR="00F262EF">
          <w:rPr>
            <w:noProof/>
            <w:webHidden/>
          </w:rPr>
          <w:tab/>
        </w:r>
        <w:r w:rsidR="00F262EF">
          <w:rPr>
            <w:noProof/>
            <w:webHidden/>
          </w:rPr>
          <w:fldChar w:fldCharType="begin"/>
        </w:r>
        <w:r w:rsidR="00F262EF">
          <w:rPr>
            <w:noProof/>
            <w:webHidden/>
          </w:rPr>
          <w:instrText xml:space="preserve"> PAGEREF _Toc134792793 \h </w:instrText>
        </w:r>
        <w:r w:rsidR="00F262EF">
          <w:rPr>
            <w:noProof/>
            <w:webHidden/>
          </w:rPr>
        </w:r>
        <w:r w:rsidR="00F262EF">
          <w:rPr>
            <w:noProof/>
            <w:webHidden/>
          </w:rPr>
          <w:fldChar w:fldCharType="separate"/>
        </w:r>
        <w:r w:rsidR="00F262EF">
          <w:rPr>
            <w:noProof/>
            <w:webHidden/>
          </w:rPr>
          <w:t>71</w:t>
        </w:r>
        <w:r w:rsidR="00F262EF">
          <w:rPr>
            <w:noProof/>
            <w:webHidden/>
          </w:rPr>
          <w:fldChar w:fldCharType="end"/>
        </w:r>
      </w:hyperlink>
    </w:p>
    <w:p w14:paraId="0EB2DDCD" w14:textId="4F8ED239"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4" w:history="1">
        <w:r w:rsidR="00F262EF" w:rsidRPr="00EA6BC7">
          <w:rPr>
            <w:rStyle w:val="Hyperkobling"/>
            <w:noProof/>
          </w:rPr>
          <w:t>Figur 3.12 Tildeling fra Forskningsrådet per faglig årsverk 2022. 1000 kr</w:t>
        </w:r>
        <w:r w:rsidR="00F262EF">
          <w:rPr>
            <w:noProof/>
            <w:webHidden/>
          </w:rPr>
          <w:tab/>
        </w:r>
        <w:r w:rsidR="00F262EF">
          <w:rPr>
            <w:noProof/>
            <w:webHidden/>
          </w:rPr>
          <w:fldChar w:fldCharType="begin"/>
        </w:r>
        <w:r w:rsidR="00F262EF">
          <w:rPr>
            <w:noProof/>
            <w:webHidden/>
          </w:rPr>
          <w:instrText xml:space="preserve"> PAGEREF _Toc134792794 \h </w:instrText>
        </w:r>
        <w:r w:rsidR="00F262EF">
          <w:rPr>
            <w:noProof/>
            <w:webHidden/>
          </w:rPr>
        </w:r>
        <w:r w:rsidR="00F262EF">
          <w:rPr>
            <w:noProof/>
            <w:webHidden/>
          </w:rPr>
          <w:fldChar w:fldCharType="separate"/>
        </w:r>
        <w:r w:rsidR="00F262EF">
          <w:rPr>
            <w:noProof/>
            <w:webHidden/>
          </w:rPr>
          <w:t>72</w:t>
        </w:r>
        <w:r w:rsidR="00F262EF">
          <w:rPr>
            <w:noProof/>
            <w:webHidden/>
          </w:rPr>
          <w:fldChar w:fldCharType="end"/>
        </w:r>
      </w:hyperlink>
    </w:p>
    <w:p w14:paraId="7EF3C6DA" w14:textId="1DA0F267"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5" w:history="1">
        <w:r w:rsidR="00F262EF" w:rsidRPr="00EA6BC7">
          <w:rPr>
            <w:rStyle w:val="Hyperkobling"/>
            <w:noProof/>
          </w:rPr>
          <w:t>Figur 3.13 Andelen driftsutgifter til FoU finansiert av Forskningsrådet 2007–2021, per institusjon</w:t>
        </w:r>
        <w:r w:rsidR="00F262EF">
          <w:rPr>
            <w:noProof/>
            <w:webHidden/>
          </w:rPr>
          <w:tab/>
        </w:r>
        <w:r w:rsidR="00F262EF">
          <w:rPr>
            <w:noProof/>
            <w:webHidden/>
          </w:rPr>
          <w:fldChar w:fldCharType="begin"/>
        </w:r>
        <w:r w:rsidR="00F262EF">
          <w:rPr>
            <w:noProof/>
            <w:webHidden/>
          </w:rPr>
          <w:instrText xml:space="preserve"> PAGEREF _Toc134792795 \h </w:instrText>
        </w:r>
        <w:r w:rsidR="00F262EF">
          <w:rPr>
            <w:noProof/>
            <w:webHidden/>
          </w:rPr>
        </w:r>
        <w:r w:rsidR="00F262EF">
          <w:rPr>
            <w:noProof/>
            <w:webHidden/>
          </w:rPr>
          <w:fldChar w:fldCharType="separate"/>
        </w:r>
        <w:r w:rsidR="00F262EF">
          <w:rPr>
            <w:noProof/>
            <w:webHidden/>
          </w:rPr>
          <w:t>73</w:t>
        </w:r>
        <w:r w:rsidR="00F262EF">
          <w:rPr>
            <w:noProof/>
            <w:webHidden/>
          </w:rPr>
          <w:fldChar w:fldCharType="end"/>
        </w:r>
      </w:hyperlink>
    </w:p>
    <w:p w14:paraId="6920A10A" w14:textId="11C8049C"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6" w:history="1">
        <w:r w:rsidR="00F262EF" w:rsidRPr="00EA6BC7">
          <w:rPr>
            <w:rStyle w:val="Hyperkobling"/>
            <w:noProof/>
          </w:rPr>
          <w:t>Figur 3.14 Midler fra EU 2013–22. 1000 kr</w:t>
        </w:r>
        <w:r w:rsidR="00F262EF">
          <w:rPr>
            <w:noProof/>
            <w:webHidden/>
          </w:rPr>
          <w:tab/>
        </w:r>
        <w:r w:rsidR="00F262EF">
          <w:rPr>
            <w:noProof/>
            <w:webHidden/>
          </w:rPr>
          <w:fldChar w:fldCharType="begin"/>
        </w:r>
        <w:r w:rsidR="00F262EF">
          <w:rPr>
            <w:noProof/>
            <w:webHidden/>
          </w:rPr>
          <w:instrText xml:space="preserve"> PAGEREF _Toc134792796 \h </w:instrText>
        </w:r>
        <w:r w:rsidR="00F262EF">
          <w:rPr>
            <w:noProof/>
            <w:webHidden/>
          </w:rPr>
        </w:r>
        <w:r w:rsidR="00F262EF">
          <w:rPr>
            <w:noProof/>
            <w:webHidden/>
          </w:rPr>
          <w:fldChar w:fldCharType="separate"/>
        </w:r>
        <w:r w:rsidR="00F262EF">
          <w:rPr>
            <w:noProof/>
            <w:webHidden/>
          </w:rPr>
          <w:t>74</w:t>
        </w:r>
        <w:r w:rsidR="00F262EF">
          <w:rPr>
            <w:noProof/>
            <w:webHidden/>
          </w:rPr>
          <w:fldChar w:fldCharType="end"/>
        </w:r>
      </w:hyperlink>
    </w:p>
    <w:p w14:paraId="23CEE29D" w14:textId="0C4F3645"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7" w:history="1">
        <w:r w:rsidR="00F262EF" w:rsidRPr="00EA6BC7">
          <w:rPr>
            <w:rStyle w:val="Hyperkobling"/>
            <w:noProof/>
          </w:rPr>
          <w:t>Figur 3.15 Verdien av kontrakter fra EUs rammeprogram for forskning og innovasjon per FoU-årsverk 2019–2022. Euro</w:t>
        </w:r>
        <w:r w:rsidR="00F262EF">
          <w:rPr>
            <w:noProof/>
            <w:webHidden/>
          </w:rPr>
          <w:tab/>
        </w:r>
        <w:r w:rsidR="00F262EF">
          <w:rPr>
            <w:noProof/>
            <w:webHidden/>
          </w:rPr>
          <w:fldChar w:fldCharType="begin"/>
        </w:r>
        <w:r w:rsidR="00F262EF">
          <w:rPr>
            <w:noProof/>
            <w:webHidden/>
          </w:rPr>
          <w:instrText xml:space="preserve"> PAGEREF _Toc134792797 \h </w:instrText>
        </w:r>
        <w:r w:rsidR="00F262EF">
          <w:rPr>
            <w:noProof/>
            <w:webHidden/>
          </w:rPr>
        </w:r>
        <w:r w:rsidR="00F262EF">
          <w:rPr>
            <w:noProof/>
            <w:webHidden/>
          </w:rPr>
          <w:fldChar w:fldCharType="separate"/>
        </w:r>
        <w:r w:rsidR="00F262EF">
          <w:rPr>
            <w:noProof/>
            <w:webHidden/>
          </w:rPr>
          <w:t>75</w:t>
        </w:r>
        <w:r w:rsidR="00F262EF">
          <w:rPr>
            <w:noProof/>
            <w:webHidden/>
          </w:rPr>
          <w:fldChar w:fldCharType="end"/>
        </w:r>
      </w:hyperlink>
    </w:p>
    <w:p w14:paraId="52D85CAD" w14:textId="04E8E9AE"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8" w:history="1">
        <w:r w:rsidR="00F262EF" w:rsidRPr="00EA6BC7">
          <w:rPr>
            <w:rStyle w:val="Hyperkobling"/>
            <w:noProof/>
          </w:rPr>
          <w:t>Figur 3.16 Horisont Europa, programstruktur med budsjett per område</w:t>
        </w:r>
        <w:r w:rsidR="00F262EF">
          <w:rPr>
            <w:noProof/>
            <w:webHidden/>
          </w:rPr>
          <w:tab/>
        </w:r>
        <w:r w:rsidR="00F262EF">
          <w:rPr>
            <w:noProof/>
            <w:webHidden/>
          </w:rPr>
          <w:fldChar w:fldCharType="begin"/>
        </w:r>
        <w:r w:rsidR="00F262EF">
          <w:rPr>
            <w:noProof/>
            <w:webHidden/>
          </w:rPr>
          <w:instrText xml:space="preserve"> PAGEREF _Toc134792798 \h </w:instrText>
        </w:r>
        <w:r w:rsidR="00F262EF">
          <w:rPr>
            <w:noProof/>
            <w:webHidden/>
          </w:rPr>
        </w:r>
        <w:r w:rsidR="00F262EF">
          <w:rPr>
            <w:noProof/>
            <w:webHidden/>
          </w:rPr>
          <w:fldChar w:fldCharType="separate"/>
        </w:r>
        <w:r w:rsidR="00F262EF">
          <w:rPr>
            <w:noProof/>
            <w:webHidden/>
          </w:rPr>
          <w:t>76</w:t>
        </w:r>
        <w:r w:rsidR="00F262EF">
          <w:rPr>
            <w:noProof/>
            <w:webHidden/>
          </w:rPr>
          <w:fldChar w:fldCharType="end"/>
        </w:r>
      </w:hyperlink>
    </w:p>
    <w:p w14:paraId="5168492A" w14:textId="24626860"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799" w:history="1">
        <w:r w:rsidR="00F262EF" w:rsidRPr="00EA6BC7">
          <w:rPr>
            <w:rStyle w:val="Hyperkobling"/>
            <w:noProof/>
          </w:rPr>
          <w:t>Figur 3.17 EU-midler til UH-sektor per program i innstilte prosjekter i Horisont Europa. Millioner euro</w:t>
        </w:r>
        <w:r w:rsidR="00F262EF">
          <w:rPr>
            <w:noProof/>
            <w:webHidden/>
          </w:rPr>
          <w:tab/>
        </w:r>
        <w:r w:rsidR="00F262EF">
          <w:rPr>
            <w:noProof/>
            <w:webHidden/>
          </w:rPr>
          <w:fldChar w:fldCharType="begin"/>
        </w:r>
        <w:r w:rsidR="00F262EF">
          <w:rPr>
            <w:noProof/>
            <w:webHidden/>
          </w:rPr>
          <w:instrText xml:space="preserve"> PAGEREF _Toc134792799 \h </w:instrText>
        </w:r>
        <w:r w:rsidR="00F262EF">
          <w:rPr>
            <w:noProof/>
            <w:webHidden/>
          </w:rPr>
        </w:r>
        <w:r w:rsidR="00F262EF">
          <w:rPr>
            <w:noProof/>
            <w:webHidden/>
          </w:rPr>
          <w:fldChar w:fldCharType="separate"/>
        </w:r>
        <w:r w:rsidR="00F262EF">
          <w:rPr>
            <w:noProof/>
            <w:webHidden/>
          </w:rPr>
          <w:t>77</w:t>
        </w:r>
        <w:r w:rsidR="00F262EF">
          <w:rPr>
            <w:noProof/>
            <w:webHidden/>
          </w:rPr>
          <w:fldChar w:fldCharType="end"/>
        </w:r>
      </w:hyperlink>
    </w:p>
    <w:p w14:paraId="28CBB4D0" w14:textId="1282C595"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0" w:history="1">
        <w:r w:rsidR="00F262EF" w:rsidRPr="00EA6BC7">
          <w:rPr>
            <w:rStyle w:val="Hyperkobling"/>
            <w:noProof/>
          </w:rPr>
          <w:t>Figur 3.18 Andre bidrags- og oppdragsinntekter per faglig årsverk 2022, statlige institusjoner. 1000 kr</w:t>
        </w:r>
        <w:r w:rsidR="00F262EF">
          <w:rPr>
            <w:noProof/>
            <w:webHidden/>
          </w:rPr>
          <w:tab/>
        </w:r>
        <w:r w:rsidR="00F262EF">
          <w:rPr>
            <w:noProof/>
            <w:webHidden/>
          </w:rPr>
          <w:fldChar w:fldCharType="begin"/>
        </w:r>
        <w:r w:rsidR="00F262EF">
          <w:rPr>
            <w:noProof/>
            <w:webHidden/>
          </w:rPr>
          <w:instrText xml:space="preserve"> PAGEREF _Toc134792800 \h </w:instrText>
        </w:r>
        <w:r w:rsidR="00F262EF">
          <w:rPr>
            <w:noProof/>
            <w:webHidden/>
          </w:rPr>
        </w:r>
        <w:r w:rsidR="00F262EF">
          <w:rPr>
            <w:noProof/>
            <w:webHidden/>
          </w:rPr>
          <w:fldChar w:fldCharType="separate"/>
        </w:r>
        <w:r w:rsidR="00F262EF">
          <w:rPr>
            <w:noProof/>
            <w:webHidden/>
          </w:rPr>
          <w:t>79</w:t>
        </w:r>
        <w:r w:rsidR="00F262EF">
          <w:rPr>
            <w:noProof/>
            <w:webHidden/>
          </w:rPr>
          <w:fldChar w:fldCharType="end"/>
        </w:r>
      </w:hyperlink>
    </w:p>
    <w:p w14:paraId="29E46043" w14:textId="4F78CA1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1" w:history="1">
        <w:r w:rsidR="00F262EF" w:rsidRPr="00EA6BC7">
          <w:rPr>
            <w:rStyle w:val="Hyperkobling"/>
            <w:noProof/>
          </w:rPr>
          <w:t>Figur 4.1 Finansielle ressurser ved universiteter og høyskoler 2013–22. 1000 kr</w:t>
        </w:r>
        <w:r w:rsidR="00F262EF">
          <w:rPr>
            <w:noProof/>
            <w:webHidden/>
          </w:rPr>
          <w:tab/>
        </w:r>
        <w:r w:rsidR="00F262EF">
          <w:rPr>
            <w:noProof/>
            <w:webHidden/>
          </w:rPr>
          <w:fldChar w:fldCharType="begin"/>
        </w:r>
        <w:r w:rsidR="00F262EF">
          <w:rPr>
            <w:noProof/>
            <w:webHidden/>
          </w:rPr>
          <w:instrText xml:space="preserve"> PAGEREF _Toc134792801 \h </w:instrText>
        </w:r>
        <w:r w:rsidR="00F262EF">
          <w:rPr>
            <w:noProof/>
            <w:webHidden/>
          </w:rPr>
        </w:r>
        <w:r w:rsidR="00F262EF">
          <w:rPr>
            <w:noProof/>
            <w:webHidden/>
          </w:rPr>
          <w:fldChar w:fldCharType="separate"/>
        </w:r>
        <w:r w:rsidR="00F262EF">
          <w:rPr>
            <w:noProof/>
            <w:webHidden/>
          </w:rPr>
          <w:t>83</w:t>
        </w:r>
        <w:r w:rsidR="00F262EF">
          <w:rPr>
            <w:noProof/>
            <w:webHidden/>
          </w:rPr>
          <w:fldChar w:fldCharType="end"/>
        </w:r>
      </w:hyperlink>
    </w:p>
    <w:p w14:paraId="394DB5DE" w14:textId="076E4DF3"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2" w:history="1">
        <w:r w:rsidR="00F262EF" w:rsidRPr="00EA6BC7">
          <w:rPr>
            <w:rStyle w:val="Hyperkobling"/>
            <w:noProof/>
          </w:rPr>
          <w:t>Figur 4.2 Studie- og eksamensavgifter per registrerte student for private høyskoler 2022. 1000 kr</w:t>
        </w:r>
        <w:r w:rsidR="00F262EF">
          <w:rPr>
            <w:noProof/>
            <w:webHidden/>
          </w:rPr>
          <w:tab/>
        </w:r>
        <w:r w:rsidR="00F262EF">
          <w:rPr>
            <w:noProof/>
            <w:webHidden/>
          </w:rPr>
          <w:fldChar w:fldCharType="begin"/>
        </w:r>
        <w:r w:rsidR="00F262EF">
          <w:rPr>
            <w:noProof/>
            <w:webHidden/>
          </w:rPr>
          <w:instrText xml:space="preserve"> PAGEREF _Toc134792802 \h </w:instrText>
        </w:r>
        <w:r w:rsidR="00F262EF">
          <w:rPr>
            <w:noProof/>
            <w:webHidden/>
          </w:rPr>
        </w:r>
        <w:r w:rsidR="00F262EF">
          <w:rPr>
            <w:noProof/>
            <w:webHidden/>
          </w:rPr>
          <w:fldChar w:fldCharType="separate"/>
        </w:r>
        <w:r w:rsidR="00F262EF">
          <w:rPr>
            <w:noProof/>
            <w:webHidden/>
          </w:rPr>
          <w:t>84</w:t>
        </w:r>
        <w:r w:rsidR="00F262EF">
          <w:rPr>
            <w:noProof/>
            <w:webHidden/>
          </w:rPr>
          <w:fldChar w:fldCharType="end"/>
        </w:r>
      </w:hyperlink>
    </w:p>
    <w:p w14:paraId="7546E315" w14:textId="34EF22CB"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3" w:history="1">
        <w:r w:rsidR="00F262EF" w:rsidRPr="00EA6BC7">
          <w:rPr>
            <w:rStyle w:val="Hyperkobling"/>
            <w:noProof/>
          </w:rPr>
          <w:t>Figur 4.3 Faglig ansatte fordelt på stillinger 2013–2022. Antall</w:t>
        </w:r>
        <w:r w:rsidR="00F262EF">
          <w:rPr>
            <w:noProof/>
            <w:webHidden/>
          </w:rPr>
          <w:tab/>
        </w:r>
        <w:r w:rsidR="00F262EF">
          <w:rPr>
            <w:noProof/>
            <w:webHidden/>
          </w:rPr>
          <w:fldChar w:fldCharType="begin"/>
        </w:r>
        <w:r w:rsidR="00F262EF">
          <w:rPr>
            <w:noProof/>
            <w:webHidden/>
          </w:rPr>
          <w:instrText xml:space="preserve"> PAGEREF _Toc134792803 \h </w:instrText>
        </w:r>
        <w:r w:rsidR="00F262EF">
          <w:rPr>
            <w:noProof/>
            <w:webHidden/>
          </w:rPr>
        </w:r>
        <w:r w:rsidR="00F262EF">
          <w:rPr>
            <w:noProof/>
            <w:webHidden/>
          </w:rPr>
          <w:fldChar w:fldCharType="separate"/>
        </w:r>
        <w:r w:rsidR="00F262EF">
          <w:rPr>
            <w:noProof/>
            <w:webHidden/>
          </w:rPr>
          <w:t>85</w:t>
        </w:r>
        <w:r w:rsidR="00F262EF">
          <w:rPr>
            <w:noProof/>
            <w:webHidden/>
          </w:rPr>
          <w:fldChar w:fldCharType="end"/>
        </w:r>
      </w:hyperlink>
    </w:p>
    <w:p w14:paraId="3B8289E0" w14:textId="143B0757"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4" w:history="1">
        <w:r w:rsidR="00F262EF" w:rsidRPr="00EA6BC7">
          <w:rPr>
            <w:rStyle w:val="Hyperkobling"/>
            <w:noProof/>
          </w:rPr>
          <w:t>Figur 4.4 Andel i førstestillinger per institusjon 2022. Prosent</w:t>
        </w:r>
        <w:r w:rsidR="00F262EF">
          <w:rPr>
            <w:noProof/>
            <w:webHidden/>
          </w:rPr>
          <w:tab/>
        </w:r>
        <w:r w:rsidR="00F262EF">
          <w:rPr>
            <w:noProof/>
            <w:webHidden/>
          </w:rPr>
          <w:fldChar w:fldCharType="begin"/>
        </w:r>
        <w:r w:rsidR="00F262EF">
          <w:rPr>
            <w:noProof/>
            <w:webHidden/>
          </w:rPr>
          <w:instrText xml:space="preserve"> PAGEREF _Toc134792804 \h </w:instrText>
        </w:r>
        <w:r w:rsidR="00F262EF">
          <w:rPr>
            <w:noProof/>
            <w:webHidden/>
          </w:rPr>
        </w:r>
        <w:r w:rsidR="00F262EF">
          <w:rPr>
            <w:noProof/>
            <w:webHidden/>
          </w:rPr>
          <w:fldChar w:fldCharType="separate"/>
        </w:r>
        <w:r w:rsidR="00F262EF">
          <w:rPr>
            <w:noProof/>
            <w:webHidden/>
          </w:rPr>
          <w:t>87</w:t>
        </w:r>
        <w:r w:rsidR="00F262EF">
          <w:rPr>
            <w:noProof/>
            <w:webHidden/>
          </w:rPr>
          <w:fldChar w:fldCharType="end"/>
        </w:r>
      </w:hyperlink>
    </w:p>
    <w:p w14:paraId="19F029EC" w14:textId="4CCFB7C3"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5" w:history="1">
        <w:r w:rsidR="00F262EF" w:rsidRPr="00EA6BC7">
          <w:rPr>
            <w:rStyle w:val="Hyperkobling"/>
            <w:noProof/>
          </w:rPr>
          <w:t>Figur 4.5 Forholdstall mellom årsverk i faglige og i administrative stillinger per institusjon. 2022</w:t>
        </w:r>
        <w:r w:rsidR="00F262EF">
          <w:rPr>
            <w:noProof/>
            <w:webHidden/>
          </w:rPr>
          <w:tab/>
        </w:r>
        <w:r w:rsidR="00F262EF">
          <w:rPr>
            <w:noProof/>
            <w:webHidden/>
          </w:rPr>
          <w:fldChar w:fldCharType="begin"/>
        </w:r>
        <w:r w:rsidR="00F262EF">
          <w:rPr>
            <w:noProof/>
            <w:webHidden/>
          </w:rPr>
          <w:instrText xml:space="preserve"> PAGEREF _Toc134792805 \h </w:instrText>
        </w:r>
        <w:r w:rsidR="00F262EF">
          <w:rPr>
            <w:noProof/>
            <w:webHidden/>
          </w:rPr>
        </w:r>
        <w:r w:rsidR="00F262EF">
          <w:rPr>
            <w:noProof/>
            <w:webHidden/>
          </w:rPr>
          <w:fldChar w:fldCharType="separate"/>
        </w:r>
        <w:r w:rsidR="00F262EF">
          <w:rPr>
            <w:noProof/>
            <w:webHidden/>
          </w:rPr>
          <w:t>89</w:t>
        </w:r>
        <w:r w:rsidR="00F262EF">
          <w:rPr>
            <w:noProof/>
            <w:webHidden/>
          </w:rPr>
          <w:fldChar w:fldCharType="end"/>
        </w:r>
      </w:hyperlink>
    </w:p>
    <w:p w14:paraId="2D850A84" w14:textId="4532BE2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6" w:history="1">
        <w:r w:rsidR="00F262EF" w:rsidRPr="00EA6BC7">
          <w:rPr>
            <w:rStyle w:val="Hyperkobling"/>
            <w:noProof/>
          </w:rPr>
          <w:t>Figur 4.6 Kvinner i dosent- og professorstillinger 2013–22. Prosent</w:t>
        </w:r>
        <w:r w:rsidR="00F262EF">
          <w:rPr>
            <w:noProof/>
            <w:webHidden/>
          </w:rPr>
          <w:tab/>
        </w:r>
        <w:r w:rsidR="00F262EF">
          <w:rPr>
            <w:noProof/>
            <w:webHidden/>
          </w:rPr>
          <w:fldChar w:fldCharType="begin"/>
        </w:r>
        <w:r w:rsidR="00F262EF">
          <w:rPr>
            <w:noProof/>
            <w:webHidden/>
          </w:rPr>
          <w:instrText xml:space="preserve"> PAGEREF _Toc134792806 \h </w:instrText>
        </w:r>
        <w:r w:rsidR="00F262EF">
          <w:rPr>
            <w:noProof/>
            <w:webHidden/>
          </w:rPr>
        </w:r>
        <w:r w:rsidR="00F262EF">
          <w:rPr>
            <w:noProof/>
            <w:webHidden/>
          </w:rPr>
          <w:fldChar w:fldCharType="separate"/>
        </w:r>
        <w:r w:rsidR="00F262EF">
          <w:rPr>
            <w:noProof/>
            <w:webHidden/>
          </w:rPr>
          <w:t>90</w:t>
        </w:r>
        <w:r w:rsidR="00F262EF">
          <w:rPr>
            <w:noProof/>
            <w:webHidden/>
          </w:rPr>
          <w:fldChar w:fldCharType="end"/>
        </w:r>
      </w:hyperlink>
    </w:p>
    <w:p w14:paraId="63F1443D" w14:textId="6C7E4FF4"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7" w:history="1">
        <w:r w:rsidR="00F262EF" w:rsidRPr="00EA6BC7">
          <w:rPr>
            <w:rStyle w:val="Hyperkobling"/>
            <w:noProof/>
          </w:rPr>
          <w:t>Figur 4.7 Midlertidige årsverk i ulike stillingsgrupper, statlige institusjoner 2016–22. Prosent</w:t>
        </w:r>
        <w:r w:rsidR="00F262EF">
          <w:rPr>
            <w:noProof/>
            <w:webHidden/>
          </w:rPr>
          <w:tab/>
        </w:r>
        <w:r w:rsidR="00F262EF">
          <w:rPr>
            <w:noProof/>
            <w:webHidden/>
          </w:rPr>
          <w:fldChar w:fldCharType="begin"/>
        </w:r>
        <w:r w:rsidR="00F262EF">
          <w:rPr>
            <w:noProof/>
            <w:webHidden/>
          </w:rPr>
          <w:instrText xml:space="preserve"> PAGEREF _Toc134792807 \h </w:instrText>
        </w:r>
        <w:r w:rsidR="00F262EF">
          <w:rPr>
            <w:noProof/>
            <w:webHidden/>
          </w:rPr>
        </w:r>
        <w:r w:rsidR="00F262EF">
          <w:rPr>
            <w:noProof/>
            <w:webHidden/>
          </w:rPr>
          <w:fldChar w:fldCharType="separate"/>
        </w:r>
        <w:r w:rsidR="00F262EF">
          <w:rPr>
            <w:noProof/>
            <w:webHidden/>
          </w:rPr>
          <w:t>92</w:t>
        </w:r>
        <w:r w:rsidR="00F262EF">
          <w:rPr>
            <w:noProof/>
            <w:webHidden/>
          </w:rPr>
          <w:fldChar w:fldCharType="end"/>
        </w:r>
      </w:hyperlink>
    </w:p>
    <w:p w14:paraId="56C9C15A" w14:textId="39D3D3A5" w:rsidR="006B350B" w:rsidRPr="00734AD2" w:rsidRDefault="00E45A79" w:rsidP="00734AD2">
      <w:pPr>
        <w:pStyle w:val="Unummerertoverskrift2"/>
      </w:pPr>
      <w:r>
        <w:rPr>
          <w:rFonts w:asciiTheme="minorHAnsi" w:eastAsiaTheme="minorHAnsi" w:hAnsiTheme="minorHAnsi" w:cstheme="minorBidi"/>
          <w:b w:val="0"/>
          <w:color w:val="auto"/>
          <w:sz w:val="18"/>
          <w:szCs w:val="20"/>
        </w:rPr>
        <w:lastRenderedPageBreak/>
        <w:fldChar w:fldCharType="end"/>
      </w:r>
      <w:bookmarkStart w:id="4" w:name="_Toc134792709"/>
      <w:r w:rsidR="006B350B" w:rsidRPr="006B350B">
        <w:t>Tabelloversikt</w:t>
      </w:r>
      <w:bookmarkEnd w:id="4"/>
    </w:p>
    <w:p w14:paraId="1FDB1EE4" w14:textId="51B7436D" w:rsidR="00F262EF" w:rsidRDefault="00E45A79">
      <w:pPr>
        <w:pStyle w:val="Figurliste"/>
        <w:tabs>
          <w:tab w:val="right" w:leader="dot" w:pos="8154"/>
        </w:tabs>
        <w:rPr>
          <w:rFonts w:eastAsiaTheme="minorEastAsia"/>
          <w:noProof/>
          <w:kern w:val="2"/>
          <w:sz w:val="22"/>
          <w:szCs w:val="22"/>
          <w:lang w:eastAsia="nb-NO"/>
          <w14:ligatures w14:val="standardContextual"/>
        </w:rPr>
      </w:pPr>
      <w:r>
        <w:rPr>
          <w:b/>
        </w:rPr>
        <w:fldChar w:fldCharType="begin"/>
      </w:r>
      <w:r>
        <w:instrText xml:space="preserve"> TOC \h \z \c "Tabell" </w:instrText>
      </w:r>
      <w:r>
        <w:rPr>
          <w:b/>
        </w:rPr>
        <w:fldChar w:fldCharType="separate"/>
      </w:r>
      <w:hyperlink w:anchor="_Toc134792808" w:history="1">
        <w:r w:rsidR="00F262EF" w:rsidRPr="00F97441">
          <w:rPr>
            <w:rStyle w:val="Hyperkobling"/>
            <w:noProof/>
          </w:rPr>
          <w:t>Tabell 2.1 Kvalifiserte førstevalgssøkere per studieplass 2018–22</w:t>
        </w:r>
        <w:r w:rsidR="00F262EF">
          <w:rPr>
            <w:noProof/>
            <w:webHidden/>
          </w:rPr>
          <w:tab/>
        </w:r>
        <w:r w:rsidR="00F262EF">
          <w:rPr>
            <w:noProof/>
            <w:webHidden/>
          </w:rPr>
          <w:fldChar w:fldCharType="begin"/>
        </w:r>
        <w:r w:rsidR="00F262EF">
          <w:rPr>
            <w:noProof/>
            <w:webHidden/>
          </w:rPr>
          <w:instrText xml:space="preserve"> PAGEREF _Toc134792808 \h </w:instrText>
        </w:r>
        <w:r w:rsidR="00F262EF">
          <w:rPr>
            <w:noProof/>
            <w:webHidden/>
          </w:rPr>
        </w:r>
        <w:r w:rsidR="00F262EF">
          <w:rPr>
            <w:noProof/>
            <w:webHidden/>
          </w:rPr>
          <w:fldChar w:fldCharType="separate"/>
        </w:r>
        <w:r w:rsidR="00F262EF">
          <w:rPr>
            <w:noProof/>
            <w:webHidden/>
          </w:rPr>
          <w:t>16</w:t>
        </w:r>
        <w:r w:rsidR="00F262EF">
          <w:rPr>
            <w:noProof/>
            <w:webHidden/>
          </w:rPr>
          <w:fldChar w:fldCharType="end"/>
        </w:r>
      </w:hyperlink>
    </w:p>
    <w:p w14:paraId="343CD10B" w14:textId="0F06EEF8"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09" w:history="1">
        <w:r w:rsidR="00F262EF" w:rsidRPr="00F97441">
          <w:rPr>
            <w:rStyle w:val="Hyperkobling"/>
            <w:noProof/>
          </w:rPr>
          <w:t>Tabell 2.2 Antall studenter fordelt på fagområder 2013, 2017, 2022</w:t>
        </w:r>
        <w:r w:rsidR="00F262EF">
          <w:rPr>
            <w:noProof/>
            <w:webHidden/>
          </w:rPr>
          <w:tab/>
        </w:r>
        <w:r w:rsidR="00F262EF">
          <w:rPr>
            <w:noProof/>
            <w:webHidden/>
          </w:rPr>
          <w:fldChar w:fldCharType="begin"/>
        </w:r>
        <w:r w:rsidR="00F262EF">
          <w:rPr>
            <w:noProof/>
            <w:webHidden/>
          </w:rPr>
          <w:instrText xml:space="preserve"> PAGEREF _Toc134792809 \h </w:instrText>
        </w:r>
        <w:r w:rsidR="00F262EF">
          <w:rPr>
            <w:noProof/>
            <w:webHidden/>
          </w:rPr>
        </w:r>
        <w:r w:rsidR="00F262EF">
          <w:rPr>
            <w:noProof/>
            <w:webHidden/>
          </w:rPr>
          <w:fldChar w:fldCharType="separate"/>
        </w:r>
        <w:r w:rsidR="00F262EF">
          <w:rPr>
            <w:noProof/>
            <w:webHidden/>
          </w:rPr>
          <w:t>22</w:t>
        </w:r>
        <w:r w:rsidR="00F262EF">
          <w:rPr>
            <w:noProof/>
            <w:webHidden/>
          </w:rPr>
          <w:fldChar w:fldCharType="end"/>
        </w:r>
      </w:hyperlink>
    </w:p>
    <w:p w14:paraId="1C2C6006" w14:textId="686203AC"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0" w:history="1">
        <w:r w:rsidR="00F262EF" w:rsidRPr="00F97441">
          <w:rPr>
            <w:rStyle w:val="Hyperkobling"/>
            <w:noProof/>
          </w:rPr>
          <w:t>Tabell 2.3 Norske gradsstudenter i utlandet, fordelt på land. Antall</w:t>
        </w:r>
        <w:r w:rsidR="00F262EF">
          <w:rPr>
            <w:noProof/>
            <w:webHidden/>
          </w:rPr>
          <w:tab/>
        </w:r>
        <w:r w:rsidR="00F262EF">
          <w:rPr>
            <w:noProof/>
            <w:webHidden/>
          </w:rPr>
          <w:fldChar w:fldCharType="begin"/>
        </w:r>
        <w:r w:rsidR="00F262EF">
          <w:rPr>
            <w:noProof/>
            <w:webHidden/>
          </w:rPr>
          <w:instrText xml:space="preserve"> PAGEREF _Toc134792810 \h </w:instrText>
        </w:r>
        <w:r w:rsidR="00F262EF">
          <w:rPr>
            <w:noProof/>
            <w:webHidden/>
          </w:rPr>
        </w:r>
        <w:r w:rsidR="00F262EF">
          <w:rPr>
            <w:noProof/>
            <w:webHidden/>
          </w:rPr>
          <w:fldChar w:fldCharType="separate"/>
        </w:r>
        <w:r w:rsidR="00F262EF">
          <w:rPr>
            <w:noProof/>
            <w:webHidden/>
          </w:rPr>
          <w:t>47</w:t>
        </w:r>
        <w:r w:rsidR="00F262EF">
          <w:rPr>
            <w:noProof/>
            <w:webHidden/>
          </w:rPr>
          <w:fldChar w:fldCharType="end"/>
        </w:r>
      </w:hyperlink>
    </w:p>
    <w:p w14:paraId="6D6C9587" w14:textId="2CCF82DC"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1" w:history="1">
        <w:r w:rsidR="00F262EF" w:rsidRPr="00F97441">
          <w:rPr>
            <w:rStyle w:val="Hyperkobling"/>
            <w:noProof/>
          </w:rPr>
          <w:t>Tabell 2.4 Gradsstudenter i utlandet per fagområde, sortert etter antall studenter</w:t>
        </w:r>
        <w:r w:rsidR="00F262EF">
          <w:rPr>
            <w:noProof/>
            <w:webHidden/>
          </w:rPr>
          <w:tab/>
        </w:r>
        <w:r w:rsidR="00F262EF">
          <w:rPr>
            <w:noProof/>
            <w:webHidden/>
          </w:rPr>
          <w:fldChar w:fldCharType="begin"/>
        </w:r>
        <w:r w:rsidR="00F262EF">
          <w:rPr>
            <w:noProof/>
            <w:webHidden/>
          </w:rPr>
          <w:instrText xml:space="preserve"> PAGEREF _Toc134792811 \h </w:instrText>
        </w:r>
        <w:r w:rsidR="00F262EF">
          <w:rPr>
            <w:noProof/>
            <w:webHidden/>
          </w:rPr>
        </w:r>
        <w:r w:rsidR="00F262EF">
          <w:rPr>
            <w:noProof/>
            <w:webHidden/>
          </w:rPr>
          <w:fldChar w:fldCharType="separate"/>
        </w:r>
        <w:r w:rsidR="00F262EF">
          <w:rPr>
            <w:noProof/>
            <w:webHidden/>
          </w:rPr>
          <w:t>48</w:t>
        </w:r>
        <w:r w:rsidR="00F262EF">
          <w:rPr>
            <w:noProof/>
            <w:webHidden/>
          </w:rPr>
          <w:fldChar w:fldCharType="end"/>
        </w:r>
      </w:hyperlink>
    </w:p>
    <w:p w14:paraId="79B14397" w14:textId="0DD594F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2" w:history="1">
        <w:r w:rsidR="00F262EF" w:rsidRPr="00F97441">
          <w:rPr>
            <w:rStyle w:val="Hyperkobling"/>
            <w:noProof/>
          </w:rPr>
          <w:t>Tabell 3.1 Andel disputerte kandidater opptatt på doktorgradsprogram seks år tidligere, 2013–22, samt antall nye doktorgradsavtaler / kandidater tatt opp 2016</w:t>
        </w:r>
        <w:r w:rsidR="00F262EF">
          <w:rPr>
            <w:noProof/>
            <w:webHidden/>
          </w:rPr>
          <w:tab/>
        </w:r>
        <w:r w:rsidR="00F262EF">
          <w:rPr>
            <w:noProof/>
            <w:webHidden/>
          </w:rPr>
          <w:fldChar w:fldCharType="begin"/>
        </w:r>
        <w:r w:rsidR="00F262EF">
          <w:rPr>
            <w:noProof/>
            <w:webHidden/>
          </w:rPr>
          <w:instrText xml:space="preserve"> PAGEREF _Toc134792812 \h </w:instrText>
        </w:r>
        <w:r w:rsidR="00F262EF">
          <w:rPr>
            <w:noProof/>
            <w:webHidden/>
          </w:rPr>
        </w:r>
        <w:r w:rsidR="00F262EF">
          <w:rPr>
            <w:noProof/>
            <w:webHidden/>
          </w:rPr>
          <w:fldChar w:fldCharType="separate"/>
        </w:r>
        <w:r w:rsidR="00F262EF">
          <w:rPr>
            <w:noProof/>
            <w:webHidden/>
          </w:rPr>
          <w:t>61</w:t>
        </w:r>
        <w:r w:rsidR="00F262EF">
          <w:rPr>
            <w:noProof/>
            <w:webHidden/>
          </w:rPr>
          <w:fldChar w:fldCharType="end"/>
        </w:r>
      </w:hyperlink>
    </w:p>
    <w:p w14:paraId="207AF942" w14:textId="6B957EA4"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3" w:history="1">
        <w:r w:rsidR="00F262EF" w:rsidRPr="00F97441">
          <w:rPr>
            <w:rStyle w:val="Hyperkobling"/>
            <w:noProof/>
          </w:rPr>
          <w:t>Tabell 3.2 Graden av tilfredsstillende sikring og bevaring 2022, utvalgte kriterier. Prosent</w:t>
        </w:r>
        <w:r w:rsidR="00F262EF">
          <w:rPr>
            <w:noProof/>
            <w:webHidden/>
          </w:rPr>
          <w:tab/>
        </w:r>
        <w:r w:rsidR="00F262EF">
          <w:rPr>
            <w:noProof/>
            <w:webHidden/>
          </w:rPr>
          <w:fldChar w:fldCharType="begin"/>
        </w:r>
        <w:r w:rsidR="00F262EF">
          <w:rPr>
            <w:noProof/>
            <w:webHidden/>
          </w:rPr>
          <w:instrText xml:space="preserve"> PAGEREF _Toc134792813 \h </w:instrText>
        </w:r>
        <w:r w:rsidR="00F262EF">
          <w:rPr>
            <w:noProof/>
            <w:webHidden/>
          </w:rPr>
        </w:r>
        <w:r w:rsidR="00F262EF">
          <w:rPr>
            <w:noProof/>
            <w:webHidden/>
          </w:rPr>
          <w:fldChar w:fldCharType="separate"/>
        </w:r>
        <w:r w:rsidR="00F262EF">
          <w:rPr>
            <w:noProof/>
            <w:webHidden/>
          </w:rPr>
          <w:t>81</w:t>
        </w:r>
        <w:r w:rsidR="00F262EF">
          <w:rPr>
            <w:noProof/>
            <w:webHidden/>
          </w:rPr>
          <w:fldChar w:fldCharType="end"/>
        </w:r>
      </w:hyperlink>
    </w:p>
    <w:p w14:paraId="28B92721" w14:textId="51CD43C2"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4" w:history="1">
        <w:r w:rsidR="00F262EF" w:rsidRPr="00F97441">
          <w:rPr>
            <w:rStyle w:val="Hyperkobling"/>
            <w:noProof/>
          </w:rPr>
          <w:t>Tabell 4.1 Styringsform ved statlige høyere utdanningsinstitusjoner</w:t>
        </w:r>
        <w:r w:rsidR="00F262EF">
          <w:rPr>
            <w:noProof/>
            <w:webHidden/>
          </w:rPr>
          <w:tab/>
        </w:r>
        <w:r w:rsidR="00F262EF">
          <w:rPr>
            <w:noProof/>
            <w:webHidden/>
          </w:rPr>
          <w:fldChar w:fldCharType="begin"/>
        </w:r>
        <w:r w:rsidR="00F262EF">
          <w:rPr>
            <w:noProof/>
            <w:webHidden/>
          </w:rPr>
          <w:instrText xml:space="preserve"> PAGEREF _Toc134792814 \h </w:instrText>
        </w:r>
        <w:r w:rsidR="00F262EF">
          <w:rPr>
            <w:noProof/>
            <w:webHidden/>
          </w:rPr>
        </w:r>
        <w:r w:rsidR="00F262EF">
          <w:rPr>
            <w:noProof/>
            <w:webHidden/>
          </w:rPr>
          <w:fldChar w:fldCharType="separate"/>
        </w:r>
        <w:r w:rsidR="00F262EF">
          <w:rPr>
            <w:noProof/>
            <w:webHidden/>
          </w:rPr>
          <w:t>82</w:t>
        </w:r>
        <w:r w:rsidR="00F262EF">
          <w:rPr>
            <w:noProof/>
            <w:webHidden/>
          </w:rPr>
          <w:fldChar w:fldCharType="end"/>
        </w:r>
      </w:hyperlink>
    </w:p>
    <w:p w14:paraId="7365A8A3" w14:textId="621EE1C5" w:rsidR="006B350B" w:rsidRPr="00D9000F" w:rsidRDefault="00E45A79" w:rsidP="000260F6">
      <w:pPr>
        <w:pStyle w:val="Unummerertoverskrift2"/>
        <w:rPr>
          <w:b w:val="0"/>
          <w:color w:val="23099F" w:themeColor="text2"/>
          <w:sz w:val="34"/>
          <w:szCs w:val="32"/>
        </w:rPr>
      </w:pPr>
      <w:r>
        <w:rPr>
          <w:rFonts w:asciiTheme="minorHAnsi" w:eastAsiaTheme="minorHAnsi" w:hAnsiTheme="minorHAnsi" w:cstheme="minorBidi"/>
          <w:b w:val="0"/>
          <w:color w:val="auto"/>
          <w:sz w:val="17"/>
          <w:szCs w:val="20"/>
        </w:rPr>
        <w:fldChar w:fldCharType="end"/>
      </w:r>
      <w:bookmarkStart w:id="5" w:name="_Toc134792710"/>
      <w:r w:rsidR="00D9000F" w:rsidRPr="000260F6">
        <w:t>Tekstbokser</w:t>
      </w:r>
      <w:bookmarkEnd w:id="5"/>
    </w:p>
    <w:bookmarkStart w:id="6" w:name="_Toc5302196"/>
    <w:bookmarkStart w:id="7" w:name="_Toc6929042"/>
    <w:bookmarkStart w:id="8" w:name="_Toc7193457"/>
    <w:bookmarkStart w:id="9" w:name="_Toc39684005"/>
    <w:bookmarkStart w:id="10" w:name="_Toc48222375"/>
    <w:p w14:paraId="134AB6E1" w14:textId="2A214290" w:rsidR="00F262EF" w:rsidRDefault="00E45A79">
      <w:pPr>
        <w:pStyle w:val="Figurliste"/>
        <w:tabs>
          <w:tab w:val="right" w:leader="dot" w:pos="8154"/>
        </w:tabs>
        <w:rPr>
          <w:rFonts w:eastAsiaTheme="minorEastAsia"/>
          <w:noProof/>
          <w:kern w:val="2"/>
          <w:sz w:val="22"/>
          <w:szCs w:val="22"/>
          <w:lang w:eastAsia="nb-NO"/>
          <w14:ligatures w14:val="standardContextual"/>
        </w:rPr>
      </w:pPr>
      <w:r>
        <w:rPr>
          <w:b/>
          <w:sz w:val="20"/>
        </w:rPr>
        <w:fldChar w:fldCharType="begin"/>
      </w:r>
      <w:r>
        <w:instrText xml:space="preserve"> TOC \h \z \c "Tekstboks" </w:instrText>
      </w:r>
      <w:r>
        <w:rPr>
          <w:b/>
          <w:sz w:val="20"/>
        </w:rPr>
        <w:fldChar w:fldCharType="separate"/>
      </w:r>
      <w:hyperlink w:anchor="_Toc134792815" w:history="1">
        <w:r w:rsidR="00F262EF" w:rsidRPr="00415AB3">
          <w:rPr>
            <w:rStyle w:val="Hyperkobling"/>
            <w:noProof/>
          </w:rPr>
          <w:t>Tekstboks 2.1 Universell utforming i høyere utdanning – en statusbeskrivelse</w:t>
        </w:r>
        <w:r w:rsidR="00F262EF">
          <w:rPr>
            <w:noProof/>
            <w:webHidden/>
          </w:rPr>
          <w:tab/>
        </w:r>
        <w:r w:rsidR="00F262EF">
          <w:rPr>
            <w:noProof/>
            <w:webHidden/>
          </w:rPr>
          <w:fldChar w:fldCharType="begin"/>
        </w:r>
        <w:r w:rsidR="00F262EF">
          <w:rPr>
            <w:noProof/>
            <w:webHidden/>
          </w:rPr>
          <w:instrText xml:space="preserve"> PAGEREF _Toc134792815 \h </w:instrText>
        </w:r>
        <w:r w:rsidR="00F262EF">
          <w:rPr>
            <w:noProof/>
            <w:webHidden/>
          </w:rPr>
        </w:r>
        <w:r w:rsidR="00F262EF">
          <w:rPr>
            <w:noProof/>
            <w:webHidden/>
          </w:rPr>
          <w:fldChar w:fldCharType="separate"/>
        </w:r>
        <w:r w:rsidR="00F262EF">
          <w:rPr>
            <w:noProof/>
            <w:webHidden/>
          </w:rPr>
          <w:t>23</w:t>
        </w:r>
        <w:r w:rsidR="00F262EF">
          <w:rPr>
            <w:noProof/>
            <w:webHidden/>
          </w:rPr>
          <w:fldChar w:fldCharType="end"/>
        </w:r>
      </w:hyperlink>
    </w:p>
    <w:p w14:paraId="34568193" w14:textId="497CEFFD"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6" w:history="1">
        <w:r w:rsidR="00F262EF" w:rsidRPr="00415AB3">
          <w:rPr>
            <w:rStyle w:val="Hyperkobling"/>
            <w:noProof/>
          </w:rPr>
          <w:t>Tekstboks 2.2 Lærerstudenters resultater på nasjonal eksamen i matematikk - betydningen av forkunnskaper</w:t>
        </w:r>
        <w:r w:rsidR="00F262EF">
          <w:rPr>
            <w:noProof/>
            <w:webHidden/>
          </w:rPr>
          <w:tab/>
        </w:r>
        <w:r w:rsidR="00F262EF">
          <w:rPr>
            <w:noProof/>
            <w:webHidden/>
          </w:rPr>
          <w:fldChar w:fldCharType="begin"/>
        </w:r>
        <w:r w:rsidR="00F262EF">
          <w:rPr>
            <w:noProof/>
            <w:webHidden/>
          </w:rPr>
          <w:instrText xml:space="preserve"> PAGEREF _Toc134792816 \h </w:instrText>
        </w:r>
        <w:r w:rsidR="00F262EF">
          <w:rPr>
            <w:noProof/>
            <w:webHidden/>
          </w:rPr>
        </w:r>
        <w:r w:rsidR="00F262EF">
          <w:rPr>
            <w:noProof/>
            <w:webHidden/>
          </w:rPr>
          <w:fldChar w:fldCharType="separate"/>
        </w:r>
        <w:r w:rsidR="00F262EF">
          <w:rPr>
            <w:noProof/>
            <w:webHidden/>
          </w:rPr>
          <w:t>31</w:t>
        </w:r>
        <w:r w:rsidR="00F262EF">
          <w:rPr>
            <w:noProof/>
            <w:webHidden/>
          </w:rPr>
          <w:fldChar w:fldCharType="end"/>
        </w:r>
      </w:hyperlink>
    </w:p>
    <w:p w14:paraId="75B5A1D7" w14:textId="25DE9DF9"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7" w:history="1">
        <w:r w:rsidR="00F262EF" w:rsidRPr="00415AB3">
          <w:rPr>
            <w:rStyle w:val="Hyperkobling"/>
            <w:noProof/>
          </w:rPr>
          <w:t>Tekstboks 2.3 Evaluering av lektorutdanningene</w:t>
        </w:r>
        <w:r w:rsidR="00F262EF">
          <w:rPr>
            <w:noProof/>
            <w:webHidden/>
          </w:rPr>
          <w:tab/>
        </w:r>
        <w:r w:rsidR="00F262EF">
          <w:rPr>
            <w:noProof/>
            <w:webHidden/>
          </w:rPr>
          <w:fldChar w:fldCharType="begin"/>
        </w:r>
        <w:r w:rsidR="00F262EF">
          <w:rPr>
            <w:noProof/>
            <w:webHidden/>
          </w:rPr>
          <w:instrText xml:space="preserve"> PAGEREF _Toc134792817 \h </w:instrText>
        </w:r>
        <w:r w:rsidR="00F262EF">
          <w:rPr>
            <w:noProof/>
            <w:webHidden/>
          </w:rPr>
        </w:r>
        <w:r w:rsidR="00F262EF">
          <w:rPr>
            <w:noProof/>
            <w:webHidden/>
          </w:rPr>
          <w:fldChar w:fldCharType="separate"/>
        </w:r>
        <w:r w:rsidR="00F262EF">
          <w:rPr>
            <w:noProof/>
            <w:webHidden/>
          </w:rPr>
          <w:t>34</w:t>
        </w:r>
        <w:r w:rsidR="00F262EF">
          <w:rPr>
            <w:noProof/>
            <w:webHidden/>
          </w:rPr>
          <w:fldChar w:fldCharType="end"/>
        </w:r>
      </w:hyperlink>
    </w:p>
    <w:p w14:paraId="540EB335" w14:textId="45F5D035"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8" w:history="1">
        <w:r w:rsidR="00F262EF" w:rsidRPr="00415AB3">
          <w:rPr>
            <w:rStyle w:val="Hyperkobling"/>
            <w:noProof/>
            <w:lang w:val="nn-NO"/>
          </w:rPr>
          <w:t>Tekstboks 2.4 Norsk og engelsk som utdanningsspråk</w:t>
        </w:r>
        <w:r w:rsidR="00F262EF">
          <w:rPr>
            <w:noProof/>
            <w:webHidden/>
          </w:rPr>
          <w:tab/>
        </w:r>
        <w:r w:rsidR="00F262EF">
          <w:rPr>
            <w:noProof/>
            <w:webHidden/>
          </w:rPr>
          <w:fldChar w:fldCharType="begin"/>
        </w:r>
        <w:r w:rsidR="00F262EF">
          <w:rPr>
            <w:noProof/>
            <w:webHidden/>
          </w:rPr>
          <w:instrText xml:space="preserve"> PAGEREF _Toc134792818 \h </w:instrText>
        </w:r>
        <w:r w:rsidR="00F262EF">
          <w:rPr>
            <w:noProof/>
            <w:webHidden/>
          </w:rPr>
        </w:r>
        <w:r w:rsidR="00F262EF">
          <w:rPr>
            <w:noProof/>
            <w:webHidden/>
          </w:rPr>
          <w:fldChar w:fldCharType="separate"/>
        </w:r>
        <w:r w:rsidR="00F262EF">
          <w:rPr>
            <w:noProof/>
            <w:webHidden/>
          </w:rPr>
          <w:t>39</w:t>
        </w:r>
        <w:r w:rsidR="00F262EF">
          <w:rPr>
            <w:noProof/>
            <w:webHidden/>
          </w:rPr>
          <w:fldChar w:fldCharType="end"/>
        </w:r>
      </w:hyperlink>
    </w:p>
    <w:p w14:paraId="52FDED11" w14:textId="6A316906"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19" w:history="1">
        <w:r w:rsidR="00F262EF" w:rsidRPr="00415AB3">
          <w:rPr>
            <w:rStyle w:val="Hyperkobling"/>
            <w:noProof/>
          </w:rPr>
          <w:t>Tekstboks 3.1 Retningslinjer for ansvarlig internasjonalt kunnskapssamarbeid</w:t>
        </w:r>
        <w:r w:rsidR="00F262EF">
          <w:rPr>
            <w:noProof/>
            <w:webHidden/>
          </w:rPr>
          <w:tab/>
        </w:r>
        <w:r w:rsidR="00F262EF">
          <w:rPr>
            <w:noProof/>
            <w:webHidden/>
          </w:rPr>
          <w:fldChar w:fldCharType="begin"/>
        </w:r>
        <w:r w:rsidR="00F262EF">
          <w:rPr>
            <w:noProof/>
            <w:webHidden/>
          </w:rPr>
          <w:instrText xml:space="preserve"> PAGEREF _Toc134792819 \h </w:instrText>
        </w:r>
        <w:r w:rsidR="00F262EF">
          <w:rPr>
            <w:noProof/>
            <w:webHidden/>
          </w:rPr>
        </w:r>
        <w:r w:rsidR="00F262EF">
          <w:rPr>
            <w:noProof/>
            <w:webHidden/>
          </w:rPr>
          <w:fldChar w:fldCharType="separate"/>
        </w:r>
        <w:r w:rsidR="00F262EF">
          <w:rPr>
            <w:noProof/>
            <w:webHidden/>
          </w:rPr>
          <w:t>60</w:t>
        </w:r>
        <w:r w:rsidR="00F262EF">
          <w:rPr>
            <w:noProof/>
            <w:webHidden/>
          </w:rPr>
          <w:fldChar w:fldCharType="end"/>
        </w:r>
      </w:hyperlink>
    </w:p>
    <w:p w14:paraId="727C85D5" w14:textId="020695BF"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20" w:history="1">
        <w:r w:rsidR="00F262EF" w:rsidRPr="00415AB3">
          <w:rPr>
            <w:rStyle w:val="Hyperkobling"/>
            <w:noProof/>
          </w:rPr>
          <w:t>Tekstboks 3.2 Strategi for vitenskapelig publisering etter 2024</w:t>
        </w:r>
        <w:r w:rsidR="00F262EF">
          <w:rPr>
            <w:noProof/>
            <w:webHidden/>
          </w:rPr>
          <w:tab/>
        </w:r>
        <w:r w:rsidR="00F262EF">
          <w:rPr>
            <w:noProof/>
            <w:webHidden/>
          </w:rPr>
          <w:fldChar w:fldCharType="begin"/>
        </w:r>
        <w:r w:rsidR="00F262EF">
          <w:rPr>
            <w:noProof/>
            <w:webHidden/>
          </w:rPr>
          <w:instrText xml:space="preserve"> PAGEREF _Toc134792820 \h </w:instrText>
        </w:r>
        <w:r w:rsidR="00F262EF">
          <w:rPr>
            <w:noProof/>
            <w:webHidden/>
          </w:rPr>
        </w:r>
        <w:r w:rsidR="00F262EF">
          <w:rPr>
            <w:noProof/>
            <w:webHidden/>
          </w:rPr>
          <w:fldChar w:fldCharType="separate"/>
        </w:r>
        <w:r w:rsidR="00F262EF">
          <w:rPr>
            <w:noProof/>
            <w:webHidden/>
          </w:rPr>
          <w:t>69</w:t>
        </w:r>
        <w:r w:rsidR="00F262EF">
          <w:rPr>
            <w:noProof/>
            <w:webHidden/>
          </w:rPr>
          <w:fldChar w:fldCharType="end"/>
        </w:r>
      </w:hyperlink>
    </w:p>
    <w:p w14:paraId="2E27225C" w14:textId="79F4830A" w:rsidR="00F262EF" w:rsidRDefault="00000000">
      <w:pPr>
        <w:pStyle w:val="Figurliste"/>
        <w:tabs>
          <w:tab w:val="right" w:leader="dot" w:pos="8154"/>
        </w:tabs>
        <w:rPr>
          <w:rFonts w:eastAsiaTheme="minorEastAsia"/>
          <w:noProof/>
          <w:kern w:val="2"/>
          <w:sz w:val="22"/>
          <w:szCs w:val="22"/>
          <w:lang w:eastAsia="nb-NO"/>
          <w14:ligatures w14:val="standardContextual"/>
        </w:rPr>
      </w:pPr>
      <w:hyperlink w:anchor="_Toc134792821" w:history="1">
        <w:r w:rsidR="00F262EF" w:rsidRPr="00415AB3">
          <w:rPr>
            <w:rStyle w:val="Hyperkobling"/>
            <w:noProof/>
          </w:rPr>
          <w:t>Tekstboks 4.1 Ekstern finansiering og midlertidighet</w:t>
        </w:r>
        <w:r w:rsidR="00F262EF">
          <w:rPr>
            <w:noProof/>
            <w:webHidden/>
          </w:rPr>
          <w:tab/>
        </w:r>
        <w:r w:rsidR="00F262EF">
          <w:rPr>
            <w:noProof/>
            <w:webHidden/>
          </w:rPr>
          <w:fldChar w:fldCharType="begin"/>
        </w:r>
        <w:r w:rsidR="00F262EF">
          <w:rPr>
            <w:noProof/>
            <w:webHidden/>
          </w:rPr>
          <w:instrText xml:space="preserve"> PAGEREF _Toc134792821 \h </w:instrText>
        </w:r>
        <w:r w:rsidR="00F262EF">
          <w:rPr>
            <w:noProof/>
            <w:webHidden/>
          </w:rPr>
        </w:r>
        <w:r w:rsidR="00F262EF">
          <w:rPr>
            <w:noProof/>
            <w:webHidden/>
          </w:rPr>
          <w:fldChar w:fldCharType="separate"/>
        </w:r>
        <w:r w:rsidR="00F262EF">
          <w:rPr>
            <w:noProof/>
            <w:webHidden/>
          </w:rPr>
          <w:t>94</w:t>
        </w:r>
        <w:r w:rsidR="00F262EF">
          <w:rPr>
            <w:noProof/>
            <w:webHidden/>
          </w:rPr>
          <w:fldChar w:fldCharType="end"/>
        </w:r>
      </w:hyperlink>
    </w:p>
    <w:p w14:paraId="607D728A" w14:textId="2E5DDF24" w:rsidR="00D26FC8" w:rsidRDefault="00E45A79" w:rsidP="00E45A79">
      <w:pPr>
        <w:pStyle w:val="INNH1"/>
      </w:pPr>
      <w:r>
        <w:rPr>
          <w:noProof w:val="0"/>
        </w:rPr>
        <w:fldChar w:fldCharType="end"/>
      </w:r>
    </w:p>
    <w:p w14:paraId="3556CE3F" w14:textId="77777777" w:rsidR="008F6C3D" w:rsidRDefault="008F6C3D">
      <w:pPr>
        <w:rPr>
          <w:rFonts w:asciiTheme="majorHAnsi" w:eastAsia="Times New Roman" w:hAnsiTheme="majorHAnsi" w:cstheme="majorBidi"/>
          <w:b/>
          <w:color w:val="362683"/>
          <w:sz w:val="22"/>
          <w:szCs w:val="24"/>
        </w:rPr>
      </w:pPr>
      <w:r>
        <w:rPr>
          <w:rFonts w:asciiTheme="majorHAnsi" w:eastAsia="Times New Roman" w:hAnsiTheme="majorHAnsi" w:cstheme="majorBidi"/>
          <w:b/>
          <w:color w:val="362683"/>
          <w:sz w:val="22"/>
          <w:szCs w:val="24"/>
        </w:rPr>
        <w:br w:type="page"/>
      </w:r>
    </w:p>
    <w:p w14:paraId="1CE3E354" w14:textId="23D46A13" w:rsidR="00414F9A" w:rsidRPr="00670084" w:rsidRDefault="00414F9A" w:rsidP="00670084">
      <w:pPr>
        <w:spacing w:after="160" w:line="259" w:lineRule="auto"/>
        <w:rPr>
          <w:rFonts w:asciiTheme="majorHAnsi" w:eastAsia="Times New Roman" w:hAnsiTheme="majorHAnsi" w:cstheme="majorBidi"/>
          <w:b/>
          <w:color w:val="362683"/>
          <w:sz w:val="22"/>
          <w:szCs w:val="24"/>
        </w:rPr>
      </w:pPr>
      <w:r w:rsidRPr="00670084">
        <w:rPr>
          <w:rFonts w:asciiTheme="majorHAnsi" w:eastAsia="Times New Roman" w:hAnsiTheme="majorHAnsi" w:cstheme="majorBidi"/>
          <w:b/>
          <w:color w:val="362683"/>
          <w:sz w:val="22"/>
          <w:szCs w:val="24"/>
        </w:rPr>
        <w:lastRenderedPageBreak/>
        <w:t>Institusjonskategorier og institusjoner</w:t>
      </w:r>
      <w:bookmarkEnd w:id="6"/>
      <w:bookmarkEnd w:id="7"/>
      <w:bookmarkEnd w:id="8"/>
      <w:bookmarkEnd w:id="9"/>
      <w:bookmarkEnd w:id="10"/>
    </w:p>
    <w:p w14:paraId="14809222" w14:textId="2BAC21D3" w:rsidR="00DE4580" w:rsidRPr="00793620" w:rsidRDefault="007225C6" w:rsidP="00DE4580">
      <w:pPr>
        <w:pStyle w:val="NormalWeb"/>
        <w:rPr>
          <w:rFonts w:ascii="Arial" w:hAnsi="Arial" w:cs="Arial"/>
          <w:sz w:val="16"/>
          <w:szCs w:val="16"/>
        </w:rPr>
      </w:pPr>
      <w:r>
        <w:rPr>
          <w:rFonts w:ascii="Arial" w:hAnsi="Arial" w:cs="Arial"/>
          <w:sz w:val="16"/>
          <w:szCs w:val="16"/>
        </w:rPr>
        <w:t>For informasjon om</w:t>
      </w:r>
      <w:r w:rsidR="00DE4580">
        <w:rPr>
          <w:rFonts w:ascii="Arial" w:hAnsi="Arial" w:cs="Arial"/>
          <w:sz w:val="16"/>
          <w:szCs w:val="16"/>
        </w:rPr>
        <w:t xml:space="preserve"> </w:t>
      </w:r>
      <w:r w:rsidR="00FF1C9A">
        <w:rPr>
          <w:rFonts w:ascii="Arial" w:hAnsi="Arial" w:cs="Arial"/>
          <w:sz w:val="16"/>
          <w:szCs w:val="16"/>
        </w:rPr>
        <w:t>siste organisasjons</w:t>
      </w:r>
      <w:r w:rsidR="00DE4580">
        <w:rPr>
          <w:rFonts w:ascii="Arial" w:hAnsi="Arial" w:cs="Arial"/>
          <w:sz w:val="16"/>
          <w:szCs w:val="16"/>
        </w:rPr>
        <w:t>endringer</w:t>
      </w:r>
      <w:r w:rsidR="005F08C0">
        <w:rPr>
          <w:rFonts w:ascii="Arial" w:hAnsi="Arial" w:cs="Arial"/>
          <w:sz w:val="16"/>
          <w:szCs w:val="16"/>
        </w:rPr>
        <w:t xml:space="preserve"> se s</w:t>
      </w:r>
      <w:r w:rsidR="00F84ADE">
        <w:rPr>
          <w:rFonts w:ascii="Arial" w:hAnsi="Arial" w:cs="Arial"/>
          <w:sz w:val="16"/>
          <w:szCs w:val="16"/>
        </w:rPr>
        <w:t>l</w:t>
      </w:r>
      <w:r w:rsidR="00DE4580">
        <w:rPr>
          <w:rFonts w:ascii="Arial" w:hAnsi="Arial" w:cs="Arial"/>
          <w:sz w:val="16"/>
          <w:szCs w:val="16"/>
        </w:rPr>
        <w:t>uttnote</w:t>
      </w:r>
      <w:r w:rsidR="00390DEA">
        <w:rPr>
          <w:rFonts w:ascii="Arial" w:hAnsi="Arial" w:cs="Arial"/>
          <w:sz w:val="16"/>
          <w:szCs w:val="16"/>
        </w:rPr>
        <w:t>.</w:t>
      </w:r>
      <w:r w:rsidR="00390DEA">
        <w:rPr>
          <w:rStyle w:val="Sluttnotereferanse"/>
          <w:rFonts w:ascii="Arial" w:hAnsi="Arial" w:cs="Arial"/>
          <w:sz w:val="16"/>
          <w:szCs w:val="16"/>
        </w:rPr>
        <w:endnoteReference w:id="2"/>
      </w:r>
      <w:r w:rsidR="00B545D2">
        <w:rPr>
          <w:rFonts w:ascii="Arial" w:hAnsi="Arial" w:cs="Arial"/>
          <w:sz w:val="16"/>
          <w:szCs w:val="16"/>
        </w:rPr>
        <w:t xml:space="preserve"> </w:t>
      </w:r>
      <w:r w:rsidR="00537B59">
        <w:rPr>
          <w:rFonts w:ascii="Arial" w:hAnsi="Arial" w:cs="Arial"/>
          <w:sz w:val="16"/>
          <w:szCs w:val="16"/>
        </w:rPr>
        <w:t xml:space="preserve">I tilstandsrapporten for høyere </w:t>
      </w:r>
      <w:r w:rsidR="00C32CEB">
        <w:rPr>
          <w:rFonts w:ascii="Arial" w:hAnsi="Arial" w:cs="Arial"/>
          <w:sz w:val="16"/>
          <w:szCs w:val="16"/>
        </w:rPr>
        <w:t>utdanning</w:t>
      </w:r>
      <w:r w:rsidR="00537B59">
        <w:rPr>
          <w:rFonts w:ascii="Arial" w:hAnsi="Arial" w:cs="Arial"/>
          <w:sz w:val="16"/>
          <w:szCs w:val="16"/>
        </w:rPr>
        <w:t xml:space="preserve"> </w:t>
      </w:r>
      <w:r w:rsidR="002078D0">
        <w:rPr>
          <w:rFonts w:ascii="Arial" w:hAnsi="Arial" w:cs="Arial"/>
          <w:sz w:val="16"/>
          <w:szCs w:val="16"/>
        </w:rPr>
        <w:t xml:space="preserve">omtales </w:t>
      </w:r>
      <w:r w:rsidR="00537B59">
        <w:rPr>
          <w:rFonts w:ascii="Arial" w:hAnsi="Arial" w:cs="Arial"/>
          <w:sz w:val="16"/>
          <w:szCs w:val="16"/>
        </w:rPr>
        <w:t>i</w:t>
      </w:r>
      <w:r w:rsidR="006A0E88">
        <w:rPr>
          <w:rFonts w:ascii="Arial" w:hAnsi="Arial" w:cs="Arial"/>
          <w:sz w:val="16"/>
          <w:szCs w:val="16"/>
        </w:rPr>
        <w:t xml:space="preserve"> hovedsak statlige</w:t>
      </w:r>
      <w:r w:rsidR="00A9763D">
        <w:rPr>
          <w:rFonts w:ascii="Arial" w:hAnsi="Arial" w:cs="Arial"/>
          <w:sz w:val="16"/>
          <w:szCs w:val="16"/>
        </w:rPr>
        <w:t xml:space="preserve"> universiteter og høyskoler og </w:t>
      </w:r>
      <w:r w:rsidR="006A0E88">
        <w:rPr>
          <w:rFonts w:ascii="Arial" w:hAnsi="Arial" w:cs="Arial"/>
          <w:sz w:val="16"/>
          <w:szCs w:val="16"/>
        </w:rPr>
        <w:t>private</w:t>
      </w:r>
      <w:r w:rsidR="00A9763D">
        <w:rPr>
          <w:rFonts w:ascii="Arial" w:hAnsi="Arial" w:cs="Arial"/>
          <w:sz w:val="16"/>
          <w:szCs w:val="16"/>
        </w:rPr>
        <w:t xml:space="preserve"> høyskoler med </w:t>
      </w:r>
      <w:r w:rsidR="00E953A4">
        <w:rPr>
          <w:rFonts w:ascii="Arial" w:hAnsi="Arial" w:cs="Arial"/>
          <w:sz w:val="16"/>
          <w:szCs w:val="16"/>
        </w:rPr>
        <w:t xml:space="preserve">finansiering </w:t>
      </w:r>
      <w:r w:rsidR="007404A0">
        <w:rPr>
          <w:rFonts w:ascii="Arial" w:hAnsi="Arial" w:cs="Arial"/>
          <w:sz w:val="16"/>
          <w:szCs w:val="16"/>
        </w:rPr>
        <w:t xml:space="preserve">over statsbudsjettet fra </w:t>
      </w:r>
      <w:proofErr w:type="spellStart"/>
      <w:r w:rsidR="007404A0">
        <w:rPr>
          <w:rFonts w:ascii="Arial" w:hAnsi="Arial" w:cs="Arial"/>
          <w:sz w:val="16"/>
          <w:szCs w:val="16"/>
        </w:rPr>
        <w:t>Kunnskap</w:t>
      </w:r>
      <w:r w:rsidR="002C42B9">
        <w:rPr>
          <w:rFonts w:ascii="Arial" w:hAnsi="Arial" w:cs="Arial"/>
          <w:sz w:val="16"/>
          <w:szCs w:val="16"/>
        </w:rPr>
        <w:t>s</w:t>
      </w:r>
      <w:r w:rsidR="007404A0">
        <w:rPr>
          <w:rFonts w:ascii="Arial" w:hAnsi="Arial" w:cs="Arial"/>
          <w:sz w:val="16"/>
          <w:szCs w:val="16"/>
        </w:rPr>
        <w:t>departmentet</w:t>
      </w:r>
      <w:proofErr w:type="spellEnd"/>
      <w:r w:rsidR="00132191">
        <w:rPr>
          <w:rFonts w:ascii="Arial" w:hAnsi="Arial" w:cs="Arial"/>
          <w:sz w:val="16"/>
          <w:szCs w:val="16"/>
        </w:rPr>
        <w:t>.</w:t>
      </w:r>
      <w:r w:rsidR="007404A0">
        <w:rPr>
          <w:rFonts w:ascii="Arial" w:hAnsi="Arial" w:cs="Arial"/>
          <w:sz w:val="16"/>
          <w:szCs w:val="16"/>
        </w:rPr>
        <w:t xml:space="preserve"> </w:t>
      </w:r>
      <w:r w:rsidR="00F40F4E">
        <w:rPr>
          <w:rFonts w:ascii="Arial" w:hAnsi="Arial" w:cs="Arial"/>
          <w:sz w:val="16"/>
          <w:szCs w:val="16"/>
        </w:rPr>
        <w:t>I tillegg finnes det en rekke andre akkrediterte høyskoler</w:t>
      </w:r>
      <w:r w:rsidR="005005B2">
        <w:rPr>
          <w:rFonts w:ascii="Arial" w:hAnsi="Arial" w:cs="Arial"/>
          <w:sz w:val="16"/>
          <w:szCs w:val="16"/>
        </w:rPr>
        <w:t xml:space="preserve"> og høyskoler med akkrediterte studietilbud</w:t>
      </w:r>
      <w:r w:rsidR="00C106AC">
        <w:rPr>
          <w:rFonts w:ascii="Arial" w:hAnsi="Arial" w:cs="Arial"/>
          <w:sz w:val="16"/>
          <w:szCs w:val="16"/>
        </w:rPr>
        <w:t>.</w:t>
      </w:r>
      <w:r w:rsidR="00C106AC">
        <w:rPr>
          <w:rStyle w:val="Fotnotereferanse"/>
          <w:rFonts w:ascii="Arial" w:hAnsi="Arial" w:cs="Arial"/>
          <w:sz w:val="16"/>
          <w:szCs w:val="16"/>
        </w:rPr>
        <w:footnoteReference w:id="2"/>
      </w:r>
      <w:r w:rsidR="00C106AC">
        <w:rPr>
          <w:rFonts w:ascii="Arial" w:hAnsi="Arial" w:cs="Arial"/>
          <w:sz w:val="16"/>
          <w:szCs w:val="16"/>
        </w:rPr>
        <w:t xml:space="preserve"> </w:t>
      </w:r>
      <w:r w:rsidR="0007299B">
        <w:rPr>
          <w:rFonts w:ascii="Arial" w:hAnsi="Arial" w:cs="Arial"/>
          <w:sz w:val="16"/>
          <w:szCs w:val="16"/>
        </w:rPr>
        <w:t xml:space="preserve">Noen </w:t>
      </w:r>
      <w:r w:rsidR="00AE4FD1">
        <w:rPr>
          <w:rFonts w:ascii="Arial" w:hAnsi="Arial" w:cs="Arial"/>
          <w:sz w:val="16"/>
          <w:szCs w:val="16"/>
        </w:rPr>
        <w:t xml:space="preserve">av disse institusjonene er omtalt i rapporten og i </w:t>
      </w:r>
      <w:proofErr w:type="spellStart"/>
      <w:r w:rsidR="00AE4FD1">
        <w:rPr>
          <w:rFonts w:ascii="Arial" w:hAnsi="Arial" w:cs="Arial"/>
          <w:sz w:val="16"/>
          <w:szCs w:val="16"/>
        </w:rPr>
        <w:t>vedleggstabeller</w:t>
      </w:r>
      <w:proofErr w:type="spellEnd"/>
      <w:r w:rsidR="00AE4FD1">
        <w:rPr>
          <w:rFonts w:ascii="Arial" w:hAnsi="Arial" w:cs="Arial"/>
          <w:sz w:val="16"/>
          <w:szCs w:val="16"/>
        </w:rPr>
        <w:t>, som PHS</w:t>
      </w:r>
      <w:r w:rsidR="006B34B7">
        <w:rPr>
          <w:rFonts w:ascii="Arial" w:hAnsi="Arial" w:cs="Arial"/>
          <w:sz w:val="16"/>
          <w:szCs w:val="16"/>
        </w:rPr>
        <w:t>,</w:t>
      </w:r>
      <w:r w:rsidR="00AE4FD1">
        <w:rPr>
          <w:rFonts w:ascii="Arial" w:hAnsi="Arial" w:cs="Arial"/>
          <w:sz w:val="16"/>
          <w:szCs w:val="16"/>
        </w:rPr>
        <w:t xml:space="preserve"> FHS</w:t>
      </w:r>
      <w:r w:rsidR="006B34B7">
        <w:rPr>
          <w:rFonts w:ascii="Arial" w:hAnsi="Arial" w:cs="Arial"/>
          <w:sz w:val="16"/>
          <w:szCs w:val="16"/>
        </w:rPr>
        <w:t xml:space="preserve"> og </w:t>
      </w:r>
      <w:proofErr w:type="spellStart"/>
      <w:r w:rsidR="006B34B7">
        <w:rPr>
          <w:rFonts w:ascii="Arial" w:hAnsi="Arial" w:cs="Arial"/>
          <w:sz w:val="16"/>
          <w:szCs w:val="16"/>
        </w:rPr>
        <w:t>ONH</w:t>
      </w:r>
      <w:proofErr w:type="spellEnd"/>
      <w:r w:rsidR="00AE4FD1">
        <w:rPr>
          <w:rFonts w:ascii="Arial" w:hAnsi="Arial" w:cs="Arial"/>
          <w:sz w:val="16"/>
          <w:szCs w:val="16"/>
        </w:rPr>
        <w:t>.</w:t>
      </w:r>
    </w:p>
    <w:p w14:paraId="5510B699" w14:textId="07D798A7" w:rsidR="00D56F58" w:rsidRDefault="00D56F58" w:rsidP="00132191">
      <w:pPr>
        <w:spacing w:after="0"/>
        <w:rPr>
          <w:rFonts w:ascii="Arial" w:eastAsia="Times New Roman" w:hAnsi="Arial" w:cs="Arial"/>
          <w:sz w:val="16"/>
          <w:szCs w:val="16"/>
        </w:rPr>
      </w:pPr>
      <w:r>
        <w:rPr>
          <w:rFonts w:ascii="Arial" w:eastAsia="Times New Roman" w:hAnsi="Arial" w:cs="Arial"/>
          <w:b/>
          <w:bCs/>
          <w:sz w:val="16"/>
          <w:szCs w:val="16"/>
        </w:rPr>
        <w:t xml:space="preserve">Universiteter </w:t>
      </w:r>
    </w:p>
    <w:p w14:paraId="5161C787" w14:textId="42552A0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Nord universitet (NU)</w:t>
      </w:r>
    </w:p>
    <w:p w14:paraId="31820DA4" w14:textId="58E12BFF"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Norges miljø- og biovitenskapelige universitet (</w:t>
      </w:r>
      <w:proofErr w:type="spellStart"/>
      <w:r>
        <w:rPr>
          <w:rFonts w:ascii="Arial" w:eastAsia="Times New Roman" w:hAnsi="Arial" w:cs="Arial"/>
          <w:sz w:val="16"/>
          <w:szCs w:val="16"/>
        </w:rPr>
        <w:t>NMBU</w:t>
      </w:r>
      <w:proofErr w:type="spellEnd"/>
      <w:r>
        <w:rPr>
          <w:rFonts w:ascii="Arial" w:eastAsia="Times New Roman" w:hAnsi="Arial" w:cs="Arial"/>
          <w:sz w:val="16"/>
          <w:szCs w:val="16"/>
        </w:rPr>
        <w:t>)</w:t>
      </w:r>
    </w:p>
    <w:p w14:paraId="65521123"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Norges teknisk-naturvitenskapelige universitet (NTNU)</w:t>
      </w:r>
    </w:p>
    <w:p w14:paraId="18684D46"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proofErr w:type="spellStart"/>
      <w:r>
        <w:rPr>
          <w:rFonts w:ascii="Arial" w:eastAsia="Times New Roman" w:hAnsi="Arial" w:cs="Arial"/>
          <w:sz w:val="16"/>
          <w:szCs w:val="16"/>
        </w:rPr>
        <w:t>OsloMet</w:t>
      </w:r>
      <w:proofErr w:type="spellEnd"/>
      <w:r>
        <w:rPr>
          <w:rFonts w:ascii="Arial" w:eastAsia="Times New Roman" w:hAnsi="Arial" w:cs="Arial"/>
          <w:sz w:val="16"/>
          <w:szCs w:val="16"/>
        </w:rPr>
        <w:t xml:space="preserve"> – storbyuniversitetet (</w:t>
      </w:r>
      <w:proofErr w:type="spellStart"/>
      <w:r>
        <w:rPr>
          <w:rFonts w:ascii="Arial" w:eastAsia="Times New Roman" w:hAnsi="Arial" w:cs="Arial"/>
          <w:sz w:val="16"/>
          <w:szCs w:val="16"/>
        </w:rPr>
        <w:t>OsloMet</w:t>
      </w:r>
      <w:proofErr w:type="spellEnd"/>
      <w:r>
        <w:rPr>
          <w:rFonts w:ascii="Arial" w:eastAsia="Times New Roman" w:hAnsi="Arial" w:cs="Arial"/>
          <w:sz w:val="16"/>
          <w:szCs w:val="16"/>
        </w:rPr>
        <w:t>)</w:t>
      </w:r>
    </w:p>
    <w:p w14:paraId="74693CEF"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Universitetet i Agder (</w:t>
      </w:r>
      <w:proofErr w:type="spellStart"/>
      <w:r>
        <w:rPr>
          <w:rFonts w:ascii="Arial" w:eastAsia="Times New Roman" w:hAnsi="Arial" w:cs="Arial"/>
          <w:sz w:val="16"/>
          <w:szCs w:val="16"/>
        </w:rPr>
        <w:t>UiA</w:t>
      </w:r>
      <w:proofErr w:type="spellEnd"/>
      <w:r>
        <w:rPr>
          <w:rFonts w:ascii="Arial" w:eastAsia="Times New Roman" w:hAnsi="Arial" w:cs="Arial"/>
          <w:sz w:val="16"/>
          <w:szCs w:val="16"/>
        </w:rPr>
        <w:t>)</w:t>
      </w:r>
    </w:p>
    <w:p w14:paraId="04539A1C"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Universitetet i Bergen (UiB)</w:t>
      </w:r>
    </w:p>
    <w:p w14:paraId="164BCC43"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Universitetet i Oslo (UiO)</w:t>
      </w:r>
    </w:p>
    <w:p w14:paraId="74E7E0A2"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Universitetet i Stavanger (</w:t>
      </w:r>
      <w:proofErr w:type="spellStart"/>
      <w:r>
        <w:rPr>
          <w:rFonts w:ascii="Arial" w:eastAsia="Times New Roman" w:hAnsi="Arial" w:cs="Arial"/>
          <w:sz w:val="16"/>
          <w:szCs w:val="16"/>
        </w:rPr>
        <w:t>UiS</w:t>
      </w:r>
      <w:proofErr w:type="spellEnd"/>
      <w:r>
        <w:rPr>
          <w:rFonts w:ascii="Arial" w:eastAsia="Times New Roman" w:hAnsi="Arial" w:cs="Arial"/>
          <w:sz w:val="16"/>
          <w:szCs w:val="16"/>
        </w:rPr>
        <w:t>)</w:t>
      </w:r>
    </w:p>
    <w:p w14:paraId="7EA18CD3"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Universitetet i Sørøst-Norge (</w:t>
      </w:r>
      <w:proofErr w:type="spellStart"/>
      <w:r>
        <w:rPr>
          <w:rFonts w:ascii="Arial" w:eastAsia="Times New Roman" w:hAnsi="Arial" w:cs="Arial"/>
          <w:sz w:val="16"/>
          <w:szCs w:val="16"/>
        </w:rPr>
        <w:t>USN</w:t>
      </w:r>
      <w:proofErr w:type="spellEnd"/>
      <w:r>
        <w:rPr>
          <w:rFonts w:ascii="Arial" w:eastAsia="Times New Roman" w:hAnsi="Arial" w:cs="Arial"/>
          <w:sz w:val="16"/>
          <w:szCs w:val="16"/>
        </w:rPr>
        <w:t>)</w:t>
      </w:r>
    </w:p>
    <w:p w14:paraId="16A4831A"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Universitetet i Tromsø - Norges arktiske universitet (UiT)</w:t>
      </w:r>
    </w:p>
    <w:p w14:paraId="40462714" w14:textId="7507F609" w:rsidR="00D56F58" w:rsidRDefault="00D56F58" w:rsidP="00802ECE">
      <w:pPr>
        <w:spacing w:before="240" w:after="0"/>
        <w:rPr>
          <w:rFonts w:ascii="Arial" w:eastAsia="Times New Roman" w:hAnsi="Arial" w:cs="Arial"/>
          <w:sz w:val="16"/>
          <w:szCs w:val="16"/>
        </w:rPr>
      </w:pPr>
      <w:r>
        <w:rPr>
          <w:rFonts w:ascii="Arial" w:eastAsia="Times New Roman" w:hAnsi="Arial" w:cs="Arial"/>
          <w:b/>
          <w:bCs/>
          <w:sz w:val="16"/>
          <w:szCs w:val="16"/>
        </w:rPr>
        <w:t xml:space="preserve">Statlige vitenskapelige høyskoler </w:t>
      </w:r>
    </w:p>
    <w:p w14:paraId="5E5611AA" w14:textId="77777777" w:rsidR="00D56F58" w:rsidRPr="00BB4764" w:rsidRDefault="00D56F58" w:rsidP="003C01E0">
      <w:pPr>
        <w:numPr>
          <w:ilvl w:val="0"/>
          <w:numId w:val="13"/>
        </w:numPr>
        <w:spacing w:after="0" w:line="240" w:lineRule="auto"/>
        <w:ind w:left="714" w:hanging="357"/>
        <w:rPr>
          <w:rFonts w:ascii="Arial" w:eastAsia="Times New Roman" w:hAnsi="Arial" w:cs="Arial"/>
          <w:sz w:val="16"/>
          <w:szCs w:val="16"/>
          <w:lang w:val="nn-NO"/>
        </w:rPr>
      </w:pPr>
      <w:r w:rsidRPr="00BB4764">
        <w:rPr>
          <w:rFonts w:ascii="Arial" w:eastAsia="Times New Roman" w:hAnsi="Arial" w:cs="Arial"/>
          <w:sz w:val="16"/>
          <w:szCs w:val="16"/>
          <w:lang w:val="nn-NO"/>
        </w:rPr>
        <w:t>Arkitektur- og designhøgskolen i Oslo (AHO)</w:t>
      </w:r>
    </w:p>
    <w:p w14:paraId="26F09A13"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Høgskolen i Molde, vitenskapelig høgskole i logistikk (</w:t>
      </w:r>
      <w:proofErr w:type="spellStart"/>
      <w:r>
        <w:rPr>
          <w:rFonts w:ascii="Arial" w:eastAsia="Times New Roman" w:hAnsi="Arial" w:cs="Arial"/>
          <w:sz w:val="16"/>
          <w:szCs w:val="16"/>
        </w:rPr>
        <w:t>HiM</w:t>
      </w:r>
      <w:proofErr w:type="spellEnd"/>
      <w:r>
        <w:rPr>
          <w:rFonts w:ascii="Arial" w:eastAsia="Times New Roman" w:hAnsi="Arial" w:cs="Arial"/>
          <w:sz w:val="16"/>
          <w:szCs w:val="16"/>
        </w:rPr>
        <w:t>)</w:t>
      </w:r>
    </w:p>
    <w:p w14:paraId="77539348"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Kunsthøgskolen i Oslo (</w:t>
      </w:r>
      <w:proofErr w:type="spellStart"/>
      <w:r>
        <w:rPr>
          <w:rFonts w:ascii="Arial" w:eastAsia="Times New Roman" w:hAnsi="Arial" w:cs="Arial"/>
          <w:sz w:val="16"/>
          <w:szCs w:val="16"/>
        </w:rPr>
        <w:t>KHiO</w:t>
      </w:r>
      <w:proofErr w:type="spellEnd"/>
      <w:r>
        <w:rPr>
          <w:rFonts w:ascii="Arial" w:eastAsia="Times New Roman" w:hAnsi="Arial" w:cs="Arial"/>
          <w:sz w:val="16"/>
          <w:szCs w:val="16"/>
        </w:rPr>
        <w:t>)</w:t>
      </w:r>
    </w:p>
    <w:p w14:paraId="5C461CD4" w14:textId="1810F9DF"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 xml:space="preserve">Norges </w:t>
      </w:r>
      <w:r w:rsidR="005E47F7">
        <w:rPr>
          <w:rFonts w:ascii="Arial" w:eastAsia="Times New Roman" w:hAnsi="Arial" w:cs="Arial"/>
          <w:sz w:val="16"/>
          <w:szCs w:val="16"/>
        </w:rPr>
        <w:t>H</w:t>
      </w:r>
      <w:r>
        <w:rPr>
          <w:rFonts w:ascii="Arial" w:eastAsia="Times New Roman" w:hAnsi="Arial" w:cs="Arial"/>
          <w:sz w:val="16"/>
          <w:szCs w:val="16"/>
        </w:rPr>
        <w:t>andelshøyskole (NHH)</w:t>
      </w:r>
    </w:p>
    <w:p w14:paraId="08CCCB9C"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Norges idrettshøgskole (NIH)</w:t>
      </w:r>
    </w:p>
    <w:p w14:paraId="33ABC3F0"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Norges musikkhøgskole (NMH)</w:t>
      </w:r>
    </w:p>
    <w:p w14:paraId="5F88A4BA" w14:textId="4D76C063" w:rsidR="00D56F58" w:rsidRPr="00802ECE" w:rsidRDefault="00D56F58" w:rsidP="00802ECE">
      <w:pPr>
        <w:spacing w:before="240" w:after="0"/>
        <w:rPr>
          <w:rFonts w:ascii="Arial" w:eastAsia="Times New Roman" w:hAnsi="Arial" w:cs="Arial"/>
          <w:b/>
          <w:sz w:val="16"/>
          <w:szCs w:val="16"/>
        </w:rPr>
      </w:pPr>
      <w:r>
        <w:rPr>
          <w:rFonts w:ascii="Arial" w:eastAsia="Times New Roman" w:hAnsi="Arial" w:cs="Arial"/>
          <w:b/>
          <w:bCs/>
          <w:sz w:val="16"/>
          <w:szCs w:val="16"/>
        </w:rPr>
        <w:t xml:space="preserve">Statlige høyskoler </w:t>
      </w:r>
    </w:p>
    <w:p w14:paraId="18246BE8"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Høgskolen i Innlandet (</w:t>
      </w:r>
      <w:proofErr w:type="spellStart"/>
      <w:r>
        <w:rPr>
          <w:rFonts w:ascii="Arial" w:eastAsia="Times New Roman" w:hAnsi="Arial" w:cs="Arial"/>
          <w:sz w:val="16"/>
          <w:szCs w:val="16"/>
        </w:rPr>
        <w:t>HINN</w:t>
      </w:r>
      <w:proofErr w:type="spellEnd"/>
      <w:r>
        <w:rPr>
          <w:rFonts w:ascii="Arial" w:eastAsia="Times New Roman" w:hAnsi="Arial" w:cs="Arial"/>
          <w:sz w:val="16"/>
          <w:szCs w:val="16"/>
        </w:rPr>
        <w:t>)</w:t>
      </w:r>
    </w:p>
    <w:p w14:paraId="484C722E"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Høgskolen i Østfold (</w:t>
      </w:r>
      <w:proofErr w:type="spellStart"/>
      <w:r>
        <w:rPr>
          <w:rFonts w:ascii="Arial" w:eastAsia="Times New Roman" w:hAnsi="Arial" w:cs="Arial"/>
          <w:sz w:val="16"/>
          <w:szCs w:val="16"/>
        </w:rPr>
        <w:t>HiØ</w:t>
      </w:r>
      <w:proofErr w:type="spellEnd"/>
      <w:r>
        <w:rPr>
          <w:rFonts w:ascii="Arial" w:eastAsia="Times New Roman" w:hAnsi="Arial" w:cs="Arial"/>
          <w:sz w:val="16"/>
          <w:szCs w:val="16"/>
        </w:rPr>
        <w:t>)</w:t>
      </w:r>
    </w:p>
    <w:p w14:paraId="37C532D1" w14:textId="2C852873" w:rsidR="00D56F58" w:rsidRDefault="00D56F58" w:rsidP="003C01E0">
      <w:pPr>
        <w:numPr>
          <w:ilvl w:val="0"/>
          <w:numId w:val="13"/>
        </w:numPr>
        <w:spacing w:after="0" w:line="240" w:lineRule="auto"/>
        <w:ind w:left="714" w:hanging="357"/>
        <w:rPr>
          <w:rFonts w:ascii="Arial" w:eastAsia="Times New Roman" w:hAnsi="Arial" w:cs="Arial"/>
          <w:sz w:val="16"/>
          <w:szCs w:val="16"/>
        </w:rPr>
      </w:pPr>
      <w:proofErr w:type="spellStart"/>
      <w:r>
        <w:rPr>
          <w:rFonts w:ascii="Arial" w:eastAsia="Times New Roman" w:hAnsi="Arial" w:cs="Arial"/>
          <w:sz w:val="16"/>
          <w:szCs w:val="16"/>
        </w:rPr>
        <w:t>Høgskulen</w:t>
      </w:r>
      <w:proofErr w:type="spellEnd"/>
      <w:r>
        <w:rPr>
          <w:rFonts w:ascii="Arial" w:eastAsia="Times New Roman" w:hAnsi="Arial" w:cs="Arial"/>
          <w:sz w:val="16"/>
          <w:szCs w:val="16"/>
        </w:rPr>
        <w:t xml:space="preserve"> i Volda (H</w:t>
      </w:r>
      <w:r w:rsidR="00042902">
        <w:rPr>
          <w:rFonts w:ascii="Arial" w:eastAsia="Times New Roman" w:hAnsi="Arial" w:cs="Arial"/>
          <w:sz w:val="16"/>
          <w:szCs w:val="16"/>
        </w:rPr>
        <w:t>VO</w:t>
      </w:r>
      <w:r>
        <w:rPr>
          <w:rFonts w:ascii="Arial" w:eastAsia="Times New Roman" w:hAnsi="Arial" w:cs="Arial"/>
          <w:sz w:val="16"/>
          <w:szCs w:val="16"/>
        </w:rPr>
        <w:t>)</w:t>
      </w:r>
    </w:p>
    <w:p w14:paraId="233B492E"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proofErr w:type="spellStart"/>
      <w:r>
        <w:rPr>
          <w:rFonts w:ascii="Arial" w:eastAsia="Times New Roman" w:hAnsi="Arial" w:cs="Arial"/>
          <w:sz w:val="16"/>
          <w:szCs w:val="16"/>
        </w:rPr>
        <w:t>Høgskulen</w:t>
      </w:r>
      <w:proofErr w:type="spellEnd"/>
      <w:r>
        <w:rPr>
          <w:rFonts w:ascii="Arial" w:eastAsia="Times New Roman" w:hAnsi="Arial" w:cs="Arial"/>
          <w:sz w:val="16"/>
          <w:szCs w:val="16"/>
        </w:rPr>
        <w:t xml:space="preserve"> på Vestlandet (</w:t>
      </w:r>
      <w:proofErr w:type="spellStart"/>
      <w:r>
        <w:rPr>
          <w:rFonts w:ascii="Arial" w:eastAsia="Times New Roman" w:hAnsi="Arial" w:cs="Arial"/>
          <w:sz w:val="16"/>
          <w:szCs w:val="16"/>
        </w:rPr>
        <w:t>HVL</w:t>
      </w:r>
      <w:proofErr w:type="spellEnd"/>
      <w:r>
        <w:rPr>
          <w:rFonts w:ascii="Arial" w:eastAsia="Times New Roman" w:hAnsi="Arial" w:cs="Arial"/>
          <w:sz w:val="16"/>
          <w:szCs w:val="16"/>
        </w:rPr>
        <w:t>)</w:t>
      </w:r>
    </w:p>
    <w:p w14:paraId="3473279A" w14:textId="0EF3203F" w:rsidR="00D56F58" w:rsidRPr="00524434" w:rsidRDefault="00E72D2B" w:rsidP="003C01E0">
      <w:pPr>
        <w:numPr>
          <w:ilvl w:val="0"/>
          <w:numId w:val="13"/>
        </w:numPr>
        <w:spacing w:after="0" w:line="240" w:lineRule="auto"/>
        <w:ind w:left="714" w:hanging="357"/>
        <w:rPr>
          <w:rFonts w:ascii="Arial" w:eastAsia="Times New Roman" w:hAnsi="Arial" w:cs="Arial"/>
          <w:sz w:val="16"/>
          <w:szCs w:val="16"/>
          <w:lang w:val="nn-NO"/>
        </w:rPr>
      </w:pPr>
      <w:proofErr w:type="spellStart"/>
      <w:r w:rsidRPr="00524434">
        <w:rPr>
          <w:rFonts w:ascii="Arial" w:eastAsia="Times New Roman" w:hAnsi="Arial" w:cs="Arial"/>
          <w:sz w:val="16"/>
          <w:szCs w:val="16"/>
          <w:lang w:val="nn-NO"/>
        </w:rPr>
        <w:t>Sámi</w:t>
      </w:r>
      <w:proofErr w:type="spellEnd"/>
      <w:r w:rsidRPr="00524434">
        <w:rPr>
          <w:rFonts w:ascii="Arial" w:eastAsia="Times New Roman" w:hAnsi="Arial" w:cs="Arial"/>
          <w:sz w:val="16"/>
          <w:szCs w:val="16"/>
          <w:lang w:val="nn-NO"/>
        </w:rPr>
        <w:t xml:space="preserve"> </w:t>
      </w:r>
      <w:proofErr w:type="spellStart"/>
      <w:r w:rsidRPr="00524434">
        <w:rPr>
          <w:rFonts w:ascii="Arial" w:eastAsia="Times New Roman" w:hAnsi="Arial" w:cs="Arial"/>
          <w:sz w:val="16"/>
          <w:szCs w:val="16"/>
          <w:lang w:val="nn-NO"/>
        </w:rPr>
        <w:t>allaskuvla</w:t>
      </w:r>
      <w:proofErr w:type="spellEnd"/>
      <w:r w:rsidR="009B23CA" w:rsidRPr="00524434">
        <w:rPr>
          <w:rFonts w:ascii="Arial" w:eastAsia="Times New Roman" w:hAnsi="Arial" w:cs="Arial"/>
          <w:sz w:val="16"/>
          <w:szCs w:val="16"/>
          <w:lang w:val="nn-NO"/>
        </w:rPr>
        <w:t xml:space="preserve"> </w:t>
      </w:r>
      <w:r w:rsidRPr="00524434">
        <w:rPr>
          <w:rFonts w:ascii="Arial" w:eastAsia="Times New Roman" w:hAnsi="Arial" w:cs="Arial"/>
          <w:sz w:val="16"/>
          <w:szCs w:val="16"/>
          <w:lang w:val="nn-NO"/>
        </w:rPr>
        <w:t>/</w:t>
      </w:r>
      <w:r w:rsidR="009B23CA" w:rsidRPr="00524434">
        <w:rPr>
          <w:rFonts w:ascii="Arial" w:eastAsia="Times New Roman" w:hAnsi="Arial" w:cs="Arial"/>
          <w:sz w:val="16"/>
          <w:szCs w:val="16"/>
          <w:lang w:val="nn-NO"/>
        </w:rPr>
        <w:t xml:space="preserve"> </w:t>
      </w:r>
      <w:r w:rsidR="00D56F58" w:rsidRPr="00524434">
        <w:rPr>
          <w:rFonts w:ascii="Arial" w:eastAsia="Times New Roman" w:hAnsi="Arial" w:cs="Arial"/>
          <w:sz w:val="16"/>
          <w:szCs w:val="16"/>
          <w:lang w:val="nn-NO"/>
        </w:rPr>
        <w:t>Samisk høgskole (SH)</w:t>
      </w:r>
    </w:p>
    <w:p w14:paraId="40C31A22" w14:textId="5FBF7F63" w:rsidR="00D56F58" w:rsidRPr="00802ECE" w:rsidRDefault="00D56F58" w:rsidP="00802ECE">
      <w:pPr>
        <w:spacing w:before="240" w:after="0"/>
        <w:rPr>
          <w:rFonts w:ascii="Arial" w:eastAsia="Times New Roman" w:hAnsi="Arial" w:cs="Arial"/>
          <w:b/>
          <w:sz w:val="16"/>
          <w:szCs w:val="16"/>
        </w:rPr>
      </w:pPr>
      <w:r>
        <w:rPr>
          <w:rFonts w:ascii="Arial" w:eastAsia="Times New Roman" w:hAnsi="Arial" w:cs="Arial"/>
          <w:b/>
          <w:bCs/>
          <w:sz w:val="16"/>
          <w:szCs w:val="16"/>
        </w:rPr>
        <w:t xml:space="preserve">Private vitenskapelige høyskoler </w:t>
      </w:r>
    </w:p>
    <w:p w14:paraId="17CE665E"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Handelshøyskolen BI (BI)</w:t>
      </w:r>
    </w:p>
    <w:p w14:paraId="6439D9B8"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MF vitenskapelig høyskole for teologi, religion og samfunn (MF)</w:t>
      </w:r>
    </w:p>
    <w:p w14:paraId="1A62632E"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VID vitenskapelige høgskole (VID)</w:t>
      </w:r>
    </w:p>
    <w:p w14:paraId="4B838E70" w14:textId="5086E89B" w:rsidR="00D56F58" w:rsidRPr="00802ECE" w:rsidRDefault="00D56F58" w:rsidP="00802ECE">
      <w:pPr>
        <w:spacing w:before="240" w:after="0"/>
        <w:rPr>
          <w:rFonts w:ascii="Arial" w:eastAsia="Times New Roman" w:hAnsi="Arial" w:cs="Arial"/>
          <w:b/>
          <w:sz w:val="16"/>
          <w:szCs w:val="16"/>
        </w:rPr>
      </w:pPr>
      <w:r>
        <w:rPr>
          <w:rFonts w:ascii="Arial" w:eastAsia="Times New Roman" w:hAnsi="Arial" w:cs="Arial"/>
          <w:b/>
          <w:bCs/>
          <w:sz w:val="16"/>
          <w:szCs w:val="16"/>
        </w:rPr>
        <w:t xml:space="preserve">Private høyskoler </w:t>
      </w:r>
    </w:p>
    <w:p w14:paraId="10FC3768" w14:textId="5FFF64DE"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Ansgar Hø</w:t>
      </w:r>
      <w:r w:rsidR="00CE776F">
        <w:rPr>
          <w:rFonts w:ascii="Arial" w:eastAsia="Times New Roman" w:hAnsi="Arial" w:cs="Arial"/>
          <w:sz w:val="16"/>
          <w:szCs w:val="16"/>
        </w:rPr>
        <w:t>y</w:t>
      </w:r>
      <w:r>
        <w:rPr>
          <w:rFonts w:ascii="Arial" w:eastAsia="Times New Roman" w:hAnsi="Arial" w:cs="Arial"/>
          <w:sz w:val="16"/>
          <w:szCs w:val="16"/>
        </w:rPr>
        <w:t>skole (</w:t>
      </w:r>
      <w:proofErr w:type="spellStart"/>
      <w:r>
        <w:rPr>
          <w:rFonts w:ascii="Arial" w:eastAsia="Times New Roman" w:hAnsi="Arial" w:cs="Arial"/>
          <w:sz w:val="16"/>
          <w:szCs w:val="16"/>
        </w:rPr>
        <w:t>ATH</w:t>
      </w:r>
      <w:proofErr w:type="spellEnd"/>
      <w:r>
        <w:rPr>
          <w:rFonts w:ascii="Arial" w:eastAsia="Times New Roman" w:hAnsi="Arial" w:cs="Arial"/>
          <w:sz w:val="16"/>
          <w:szCs w:val="16"/>
        </w:rPr>
        <w:t>)</w:t>
      </w:r>
    </w:p>
    <w:p w14:paraId="36E646A8"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Barratt Due Musikkinstitutt (</w:t>
      </w:r>
      <w:proofErr w:type="spellStart"/>
      <w:r>
        <w:rPr>
          <w:rFonts w:ascii="Arial" w:eastAsia="Times New Roman" w:hAnsi="Arial" w:cs="Arial"/>
          <w:sz w:val="16"/>
          <w:szCs w:val="16"/>
        </w:rPr>
        <w:t>BDM</w:t>
      </w:r>
      <w:proofErr w:type="spellEnd"/>
      <w:r>
        <w:rPr>
          <w:rFonts w:ascii="Arial" w:eastAsia="Times New Roman" w:hAnsi="Arial" w:cs="Arial"/>
          <w:sz w:val="16"/>
          <w:szCs w:val="16"/>
        </w:rPr>
        <w:t>)</w:t>
      </w:r>
    </w:p>
    <w:p w14:paraId="3B316583"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Bergen Arkitekthøgskole (BAS)</w:t>
      </w:r>
    </w:p>
    <w:p w14:paraId="71101B31"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Dronning Mauds Minne Høgskole for barnehagelærerutdanning (</w:t>
      </w:r>
      <w:proofErr w:type="spellStart"/>
      <w:r>
        <w:rPr>
          <w:rFonts w:ascii="Arial" w:eastAsia="Times New Roman" w:hAnsi="Arial" w:cs="Arial"/>
          <w:sz w:val="16"/>
          <w:szCs w:val="16"/>
        </w:rPr>
        <w:t>DMMH</w:t>
      </w:r>
      <w:proofErr w:type="spellEnd"/>
      <w:r>
        <w:rPr>
          <w:rFonts w:ascii="Arial" w:eastAsia="Times New Roman" w:hAnsi="Arial" w:cs="Arial"/>
          <w:sz w:val="16"/>
          <w:szCs w:val="16"/>
        </w:rPr>
        <w:t>)</w:t>
      </w:r>
    </w:p>
    <w:p w14:paraId="11F02762"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Fjellhaug Internasjonale Høgskole (</w:t>
      </w:r>
      <w:proofErr w:type="spellStart"/>
      <w:r>
        <w:rPr>
          <w:rFonts w:ascii="Arial" w:eastAsia="Times New Roman" w:hAnsi="Arial" w:cs="Arial"/>
          <w:sz w:val="16"/>
          <w:szCs w:val="16"/>
        </w:rPr>
        <w:t>FIH</w:t>
      </w:r>
      <w:proofErr w:type="spellEnd"/>
      <w:r>
        <w:rPr>
          <w:rFonts w:ascii="Arial" w:eastAsia="Times New Roman" w:hAnsi="Arial" w:cs="Arial"/>
          <w:sz w:val="16"/>
          <w:szCs w:val="16"/>
        </w:rPr>
        <w:t>)</w:t>
      </w:r>
    </w:p>
    <w:p w14:paraId="45238263" w14:textId="13A28806" w:rsidR="00D56F58" w:rsidRPr="00BB4764" w:rsidRDefault="00D56F58" w:rsidP="003C01E0">
      <w:pPr>
        <w:numPr>
          <w:ilvl w:val="0"/>
          <w:numId w:val="13"/>
        </w:numPr>
        <w:spacing w:after="0" w:line="240" w:lineRule="auto"/>
        <w:ind w:left="714" w:hanging="357"/>
        <w:rPr>
          <w:rFonts w:ascii="Arial" w:eastAsia="Times New Roman" w:hAnsi="Arial" w:cs="Arial"/>
          <w:sz w:val="16"/>
          <w:szCs w:val="16"/>
          <w:lang w:val="nn-NO"/>
        </w:rPr>
      </w:pPr>
      <w:r w:rsidRPr="00BB4764">
        <w:rPr>
          <w:rFonts w:ascii="Arial" w:eastAsia="Times New Roman" w:hAnsi="Arial" w:cs="Arial"/>
          <w:sz w:val="16"/>
          <w:szCs w:val="16"/>
          <w:lang w:val="nn-NO"/>
        </w:rPr>
        <w:t xml:space="preserve">Høgskulen for </w:t>
      </w:r>
      <w:r w:rsidR="002C0B8F" w:rsidRPr="00BB4764">
        <w:rPr>
          <w:rFonts w:ascii="Arial" w:eastAsia="Times New Roman" w:hAnsi="Arial" w:cs="Arial"/>
          <w:sz w:val="16"/>
          <w:szCs w:val="16"/>
          <w:lang w:val="nn-NO"/>
        </w:rPr>
        <w:t>grøn utv</w:t>
      </w:r>
      <w:r w:rsidR="00270FAF" w:rsidRPr="00BB4764">
        <w:rPr>
          <w:rFonts w:ascii="Arial" w:eastAsia="Times New Roman" w:hAnsi="Arial" w:cs="Arial"/>
          <w:sz w:val="16"/>
          <w:szCs w:val="16"/>
          <w:lang w:val="nn-NO"/>
        </w:rPr>
        <w:t>i</w:t>
      </w:r>
      <w:r w:rsidR="002C0B8F" w:rsidRPr="00BB4764">
        <w:rPr>
          <w:rFonts w:ascii="Arial" w:eastAsia="Times New Roman" w:hAnsi="Arial" w:cs="Arial"/>
          <w:sz w:val="16"/>
          <w:szCs w:val="16"/>
          <w:lang w:val="nn-NO"/>
        </w:rPr>
        <w:t>kling</w:t>
      </w:r>
      <w:r w:rsidR="00270FAF" w:rsidRPr="00BB4764">
        <w:rPr>
          <w:rFonts w:ascii="Arial" w:eastAsia="Times New Roman" w:hAnsi="Arial" w:cs="Arial"/>
          <w:sz w:val="16"/>
          <w:szCs w:val="16"/>
          <w:lang w:val="nn-NO"/>
        </w:rPr>
        <w:t xml:space="preserve"> </w:t>
      </w:r>
      <w:r w:rsidR="00CF15A4" w:rsidRPr="00BB4764">
        <w:rPr>
          <w:rFonts w:ascii="Arial" w:eastAsia="Times New Roman" w:hAnsi="Arial" w:cs="Arial"/>
          <w:sz w:val="16"/>
          <w:szCs w:val="16"/>
          <w:lang w:val="nn-NO"/>
        </w:rPr>
        <w:t>(</w:t>
      </w:r>
      <w:proofErr w:type="spellStart"/>
      <w:r w:rsidR="00270FAF" w:rsidRPr="00BB4764">
        <w:rPr>
          <w:rFonts w:ascii="Arial" w:eastAsia="Times New Roman" w:hAnsi="Arial" w:cs="Arial"/>
          <w:sz w:val="16"/>
          <w:szCs w:val="16"/>
          <w:lang w:val="nn-NO"/>
        </w:rPr>
        <w:t>HG</w:t>
      </w:r>
      <w:r w:rsidR="00CE776F">
        <w:rPr>
          <w:rFonts w:ascii="Arial" w:eastAsia="Times New Roman" w:hAnsi="Arial" w:cs="Arial"/>
          <w:sz w:val="16"/>
          <w:szCs w:val="16"/>
          <w:lang w:val="nn-NO"/>
        </w:rPr>
        <w:t>U</w:t>
      </w:r>
      <w:r w:rsidR="00270FAF" w:rsidRPr="00BB4764">
        <w:rPr>
          <w:rFonts w:ascii="Arial" w:eastAsia="Times New Roman" w:hAnsi="Arial" w:cs="Arial"/>
          <w:sz w:val="16"/>
          <w:szCs w:val="16"/>
          <w:lang w:val="nn-NO"/>
        </w:rPr>
        <w:t>T</w:t>
      </w:r>
      <w:proofErr w:type="spellEnd"/>
      <w:r w:rsidR="00CF15A4" w:rsidRPr="00BB4764">
        <w:rPr>
          <w:rFonts w:ascii="Arial" w:eastAsia="Times New Roman" w:hAnsi="Arial" w:cs="Arial"/>
          <w:sz w:val="16"/>
          <w:szCs w:val="16"/>
          <w:lang w:val="nn-NO"/>
        </w:rPr>
        <w:t>)</w:t>
      </w:r>
    </w:p>
    <w:p w14:paraId="7E4DFB1C"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Høyskolen for dansekunst (</w:t>
      </w:r>
      <w:proofErr w:type="spellStart"/>
      <w:r>
        <w:rPr>
          <w:rFonts w:ascii="Arial" w:eastAsia="Times New Roman" w:hAnsi="Arial" w:cs="Arial"/>
          <w:sz w:val="16"/>
          <w:szCs w:val="16"/>
        </w:rPr>
        <w:t>HFDK</w:t>
      </w:r>
      <w:proofErr w:type="spellEnd"/>
      <w:r>
        <w:rPr>
          <w:rFonts w:ascii="Arial" w:eastAsia="Times New Roman" w:hAnsi="Arial" w:cs="Arial"/>
          <w:sz w:val="16"/>
          <w:szCs w:val="16"/>
        </w:rPr>
        <w:t>)</w:t>
      </w:r>
    </w:p>
    <w:p w14:paraId="10A757A3"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Høyskolen for ledelse og teologi (</w:t>
      </w:r>
      <w:proofErr w:type="spellStart"/>
      <w:r>
        <w:rPr>
          <w:rFonts w:ascii="Arial" w:eastAsia="Times New Roman" w:hAnsi="Arial" w:cs="Arial"/>
          <w:sz w:val="16"/>
          <w:szCs w:val="16"/>
        </w:rPr>
        <w:t>HLT</w:t>
      </w:r>
      <w:proofErr w:type="spellEnd"/>
      <w:r>
        <w:rPr>
          <w:rFonts w:ascii="Arial" w:eastAsia="Times New Roman" w:hAnsi="Arial" w:cs="Arial"/>
          <w:sz w:val="16"/>
          <w:szCs w:val="16"/>
        </w:rPr>
        <w:t>)</w:t>
      </w:r>
    </w:p>
    <w:p w14:paraId="7ED9C26E"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Høyskolen Kristiania (HK)</w:t>
      </w:r>
    </w:p>
    <w:p w14:paraId="0304FB56" w14:textId="77777777" w:rsidR="00D56F58" w:rsidRDefault="00D56F58" w:rsidP="003C01E0">
      <w:pPr>
        <w:numPr>
          <w:ilvl w:val="0"/>
          <w:numId w:val="13"/>
        </w:numPr>
        <w:spacing w:after="0" w:line="240" w:lineRule="auto"/>
        <w:ind w:left="714" w:hanging="357"/>
        <w:rPr>
          <w:rFonts w:ascii="Arial" w:eastAsia="Times New Roman" w:hAnsi="Arial" w:cs="Arial"/>
          <w:sz w:val="16"/>
          <w:szCs w:val="16"/>
        </w:rPr>
      </w:pPr>
      <w:r>
        <w:rPr>
          <w:rFonts w:ascii="Arial" w:eastAsia="Times New Roman" w:hAnsi="Arial" w:cs="Arial"/>
          <w:sz w:val="16"/>
          <w:szCs w:val="16"/>
        </w:rPr>
        <w:t>Lovisenberg diakonale høgskole (</w:t>
      </w:r>
      <w:proofErr w:type="spellStart"/>
      <w:r>
        <w:rPr>
          <w:rFonts w:ascii="Arial" w:eastAsia="Times New Roman" w:hAnsi="Arial" w:cs="Arial"/>
          <w:sz w:val="16"/>
          <w:szCs w:val="16"/>
        </w:rPr>
        <w:t>LDH</w:t>
      </w:r>
      <w:proofErr w:type="spellEnd"/>
      <w:r>
        <w:rPr>
          <w:rFonts w:ascii="Arial" w:eastAsia="Times New Roman" w:hAnsi="Arial" w:cs="Arial"/>
          <w:sz w:val="16"/>
          <w:szCs w:val="16"/>
        </w:rPr>
        <w:t>)</w:t>
      </w:r>
    </w:p>
    <w:p w14:paraId="608437DC" w14:textId="77777777" w:rsidR="005F08C0" w:rsidRPr="00802ECE" w:rsidRDefault="00D56F58" w:rsidP="003C01E0">
      <w:pPr>
        <w:numPr>
          <w:ilvl w:val="0"/>
          <w:numId w:val="13"/>
        </w:numPr>
        <w:spacing w:after="0" w:line="240" w:lineRule="auto"/>
        <w:ind w:left="714" w:hanging="357"/>
        <w:rPr>
          <w:rFonts w:ascii="Arial" w:eastAsia="Times New Roman" w:hAnsi="Arial" w:cs="Arial"/>
          <w:sz w:val="16"/>
          <w:szCs w:val="16"/>
        </w:rPr>
      </w:pPr>
      <w:r w:rsidRPr="005F08C0">
        <w:rPr>
          <w:rFonts w:ascii="Arial" w:eastAsia="Times New Roman" w:hAnsi="Arial" w:cs="Arial"/>
          <w:sz w:val="16"/>
          <w:szCs w:val="16"/>
        </w:rPr>
        <w:t>NLA Høgskolen (NLA)</w:t>
      </w:r>
    </w:p>
    <w:p w14:paraId="16709A88" w14:textId="36142002" w:rsidR="00802ECE" w:rsidRPr="008C762B" w:rsidRDefault="00D56F58" w:rsidP="003C01E0">
      <w:pPr>
        <w:numPr>
          <w:ilvl w:val="0"/>
          <w:numId w:val="13"/>
        </w:numPr>
        <w:spacing w:after="0" w:line="240" w:lineRule="auto"/>
        <w:ind w:left="714" w:hanging="357"/>
        <w:rPr>
          <w:rFonts w:asciiTheme="majorHAnsi" w:eastAsia="Times New Roman" w:hAnsiTheme="majorHAnsi" w:cstheme="majorBidi"/>
          <w:b/>
          <w:color w:val="362683"/>
          <w:sz w:val="22"/>
          <w:szCs w:val="24"/>
        </w:rPr>
      </w:pPr>
      <w:proofErr w:type="spellStart"/>
      <w:r w:rsidRPr="008C762B">
        <w:rPr>
          <w:rFonts w:ascii="Arial" w:eastAsia="Times New Roman" w:hAnsi="Arial" w:cs="Arial"/>
          <w:sz w:val="16"/>
          <w:szCs w:val="16"/>
        </w:rPr>
        <w:t>Steinerhøyskolen</w:t>
      </w:r>
      <w:proofErr w:type="spellEnd"/>
      <w:r w:rsidRPr="008C762B">
        <w:rPr>
          <w:rFonts w:ascii="Arial" w:eastAsia="Times New Roman" w:hAnsi="Arial" w:cs="Arial"/>
          <w:sz w:val="16"/>
          <w:szCs w:val="16"/>
        </w:rPr>
        <w:t xml:space="preserve"> (RS)</w:t>
      </w:r>
      <w:r w:rsidR="00802ECE" w:rsidRPr="008C762B">
        <w:rPr>
          <w:rFonts w:eastAsia="Times New Roman"/>
          <w:sz w:val="22"/>
          <w:szCs w:val="24"/>
        </w:rPr>
        <w:br w:type="page"/>
      </w:r>
    </w:p>
    <w:p w14:paraId="3C7B1FE2" w14:textId="4E39B20E" w:rsidR="00216179" w:rsidRDefault="00EA00D4" w:rsidP="00EA00D4">
      <w:pPr>
        <w:pStyle w:val="Unummerertoverskrift2"/>
        <w:spacing w:before="0"/>
        <w:rPr>
          <w:rFonts w:eastAsia="Times New Roman"/>
          <w:sz w:val="22"/>
          <w:szCs w:val="24"/>
        </w:rPr>
      </w:pPr>
      <w:bookmarkStart w:id="12" w:name="_Toc134792711"/>
      <w:r w:rsidRPr="00EA00D4">
        <w:rPr>
          <w:rFonts w:eastAsia="Times New Roman"/>
          <w:sz w:val="22"/>
          <w:szCs w:val="24"/>
        </w:rPr>
        <w:lastRenderedPageBreak/>
        <w:t>Om rapport og vedlegg</w:t>
      </w:r>
      <w:bookmarkEnd w:id="12"/>
    </w:p>
    <w:p w14:paraId="20E01C75" w14:textId="77777777" w:rsidR="005B01B4" w:rsidRPr="005A5ACF" w:rsidRDefault="005B01B4" w:rsidP="005B01B4">
      <w:pPr>
        <w:rPr>
          <w:b/>
          <w:color w:val="362683"/>
        </w:rPr>
      </w:pPr>
      <w:r w:rsidRPr="005A5ACF">
        <w:rPr>
          <w:b/>
          <w:color w:val="362683"/>
        </w:rPr>
        <w:t>Institusjonsnavn og forkortelser</w:t>
      </w:r>
    </w:p>
    <w:p w14:paraId="6ACA82A2" w14:textId="167BDE42" w:rsidR="00EA00D4" w:rsidRPr="00EA00D4" w:rsidRDefault="005B01B4" w:rsidP="005B01B4">
      <w:r>
        <w:t xml:space="preserve">I rapporten brukes forkortelser for alle institusjonsnavn for universiteter og høyskoler. Liste over alle institusjoner og forkortelser finnes i oversikt på side </w:t>
      </w:r>
      <w:r w:rsidR="00CA294C">
        <w:fldChar w:fldCharType="begin"/>
      </w:r>
      <w:r w:rsidR="00CA294C">
        <w:instrText xml:space="preserve"> PAGEREF _Ref134705210 \h </w:instrText>
      </w:r>
      <w:r w:rsidR="00CA294C">
        <w:fldChar w:fldCharType="separate"/>
      </w:r>
      <w:r w:rsidR="00F262EF">
        <w:rPr>
          <w:noProof/>
        </w:rPr>
        <w:t>8</w:t>
      </w:r>
      <w:r w:rsidR="00CA294C">
        <w:fldChar w:fldCharType="end"/>
      </w:r>
      <w:r w:rsidR="00CA294C">
        <w:t>.</w:t>
      </w:r>
    </w:p>
    <w:p w14:paraId="0888FFC8" w14:textId="77777777" w:rsidR="00EC2192" w:rsidRPr="005A5ACF" w:rsidRDefault="00EC2192" w:rsidP="00EC2192">
      <w:pPr>
        <w:rPr>
          <w:b/>
          <w:color w:val="362683"/>
        </w:rPr>
      </w:pPr>
      <w:r w:rsidRPr="005A5ACF">
        <w:rPr>
          <w:b/>
          <w:color w:val="362683"/>
        </w:rPr>
        <w:t>Digital løsning for vedleggsrapport</w:t>
      </w:r>
    </w:p>
    <w:p w14:paraId="7C3CD3C3" w14:textId="08910091" w:rsidR="001377D2" w:rsidRDefault="00EC2192" w:rsidP="00EC2192">
      <w:r>
        <w:t xml:space="preserve">Vedlegg presenteres digitalt på </w:t>
      </w:r>
      <w:hyperlink r:id="rId12" w:history="1">
        <w:r w:rsidR="00EE40DB" w:rsidRPr="002C5C4A">
          <w:rPr>
            <w:rStyle w:val="Hyperkobling"/>
          </w:rPr>
          <w:t>https://vedlegg.hkdir.no/TRHU/2023</w:t>
        </w:r>
      </w:hyperlink>
    </w:p>
    <w:p w14:paraId="1B4D0315" w14:textId="05549D92" w:rsidR="00DE4743" w:rsidRPr="00DE4743" w:rsidRDefault="00EC2192" w:rsidP="00DE4743">
      <w:r>
        <w:t xml:space="preserve">Alle referanser til </w:t>
      </w:r>
      <w:proofErr w:type="spellStart"/>
      <w:r>
        <w:t>vedleggstabeller</w:t>
      </w:r>
      <w:proofErr w:type="spellEnd"/>
      <w:r>
        <w:t xml:space="preserve"> i rapporten er lenket direkte til den aktuelle tabellen i den digitale løsningen. Dette fungerer best om rapporten lastes ned og leses i egen dokumentleser (Adobe)</w:t>
      </w:r>
      <w:r w:rsidR="00AB5F20">
        <w:t>. V</w:t>
      </w:r>
      <w:r>
        <w:t>ed bruk av nettleser vil tabellene åpnes i samme vindu og ta deg bort fra siden du er i rapporten. Det er også mulig å gå direkte til tabellene i en nettleser ved å skrive tabellnummer på slutten av nettadressen, for eksempel /tabell/V2.1. Nettsiden med vedlegg kan også brukes uavhengig av rapporten og inneholder tabeller som ikke er omtalt.</w:t>
      </w:r>
      <w:r w:rsidR="00922A2F">
        <w:t xml:space="preserve"> </w:t>
      </w:r>
      <w:proofErr w:type="spellStart"/>
      <w:r w:rsidR="00922A2F">
        <w:t>Vedleggsløsningen</w:t>
      </w:r>
      <w:proofErr w:type="spellEnd"/>
      <w:r w:rsidR="00922A2F">
        <w:t xml:space="preserve"> h</w:t>
      </w:r>
      <w:r w:rsidR="00AB5F20">
        <w:t>a</w:t>
      </w:r>
      <w:r w:rsidR="00922A2F">
        <w:t>r</w:t>
      </w:r>
      <w:r w:rsidR="00A64C9B">
        <w:t xml:space="preserve"> også</w:t>
      </w:r>
      <w:r w:rsidR="00922A2F">
        <w:t xml:space="preserve"> en søkefunksjon som gir treff på </w:t>
      </w:r>
      <w:r w:rsidR="009D5CBB">
        <w:t>tabell</w:t>
      </w:r>
      <w:r w:rsidR="1985A178">
        <w:t xml:space="preserve">enes </w:t>
      </w:r>
      <w:r w:rsidR="009D5CBB">
        <w:t>titler og innhold</w:t>
      </w:r>
      <w:r w:rsidR="00BE4283">
        <w:t>.</w:t>
      </w:r>
    </w:p>
    <w:p w14:paraId="0725DFF4" w14:textId="49D13E9A" w:rsidR="00D37966" w:rsidRDefault="00D37966" w:rsidP="00EC2192">
      <w:r>
        <w:t xml:space="preserve">Alle tabeller kan leses i nettleser eller lastes ned som Excel-fil. Noen tabeller har variasjoner, </w:t>
      </w:r>
      <w:r w:rsidR="00AB5F20">
        <w:t xml:space="preserve">og </w:t>
      </w:r>
      <w:r>
        <w:t>ønsket visning velges i menyen øverst i tabellen.</w:t>
      </w:r>
    </w:p>
    <w:p w14:paraId="184BD787" w14:textId="0D2D8BB8" w:rsidR="0025548E" w:rsidRPr="00E75A82" w:rsidRDefault="0025548E" w:rsidP="00EC2192">
      <w:pPr>
        <w:rPr>
          <w:b/>
          <w:color w:val="362683"/>
        </w:rPr>
      </w:pPr>
      <w:r w:rsidRPr="00E75A82">
        <w:rPr>
          <w:b/>
          <w:color w:val="362683"/>
        </w:rPr>
        <w:t>Om</w:t>
      </w:r>
      <w:r w:rsidR="00E75A82" w:rsidRPr="00E75A82">
        <w:rPr>
          <w:b/>
          <w:color w:val="362683"/>
        </w:rPr>
        <w:t xml:space="preserve"> temakapittel</w:t>
      </w:r>
      <w:r w:rsidR="00652C9F">
        <w:rPr>
          <w:b/>
          <w:color w:val="362683"/>
        </w:rPr>
        <w:t xml:space="preserve"> i tilstandsrapporten</w:t>
      </w:r>
    </w:p>
    <w:p w14:paraId="7AB78503" w14:textId="55F87473" w:rsidR="00B97B7A" w:rsidRPr="00F21094" w:rsidRDefault="00AB7DAC" w:rsidP="00F21094">
      <w:r>
        <w:t xml:space="preserve">I tillegg til de faste kapitlene om </w:t>
      </w:r>
      <w:r w:rsidR="005775A0">
        <w:t xml:space="preserve">utdanning, </w:t>
      </w:r>
      <w:r w:rsidR="00AC6F02">
        <w:t>doktorgrads</w:t>
      </w:r>
      <w:r w:rsidR="005775A0">
        <w:t xml:space="preserve">utdanning og forskning samt </w:t>
      </w:r>
      <w:r w:rsidR="00BE1C05">
        <w:t xml:space="preserve">styring, økonomi og personal har </w:t>
      </w:r>
      <w:r w:rsidR="00223F52">
        <w:t>tilstands</w:t>
      </w:r>
      <w:r w:rsidR="00612D2C">
        <w:t>rapport</w:t>
      </w:r>
      <w:r w:rsidR="00C24A07">
        <w:t xml:space="preserve"> for høyere </w:t>
      </w:r>
      <w:r w:rsidR="002D205D">
        <w:t xml:space="preserve">utdanning </w:t>
      </w:r>
      <w:r w:rsidR="00AC07AE">
        <w:t xml:space="preserve">historisk hatt et </w:t>
      </w:r>
      <w:r w:rsidR="00391028">
        <w:t>årlig temakapittel.</w:t>
      </w:r>
      <w:r w:rsidR="00BB5B64">
        <w:t xml:space="preserve"> </w:t>
      </w:r>
      <w:r w:rsidR="00391028">
        <w:t xml:space="preserve">Dette har gått </w:t>
      </w:r>
      <w:r w:rsidR="007C2F0A">
        <w:t xml:space="preserve">mer i dybden på </w:t>
      </w:r>
      <w:r w:rsidR="00FA6375">
        <w:t>e</w:t>
      </w:r>
      <w:r w:rsidR="00D007DC">
        <w:t>t</w:t>
      </w:r>
      <w:r w:rsidR="00FA6375">
        <w:t>t av o</w:t>
      </w:r>
      <w:r w:rsidR="007A3A1E">
        <w:t xml:space="preserve">mrådene </w:t>
      </w:r>
      <w:r w:rsidR="00C53F1C">
        <w:t>tils</w:t>
      </w:r>
      <w:r w:rsidR="00311108">
        <w:t xml:space="preserve">tandsrapporten omhandler. </w:t>
      </w:r>
      <w:r w:rsidR="00F04FE0">
        <w:t>For 2023 ble «fleksible profesjonsutdanninger» pekt ut som tema</w:t>
      </w:r>
      <w:r w:rsidR="00C72B2D">
        <w:t xml:space="preserve"> for analyse</w:t>
      </w:r>
      <w:r w:rsidR="00F04FE0">
        <w:t xml:space="preserve">. </w:t>
      </w:r>
      <w:r w:rsidR="00BD199B">
        <w:t xml:space="preserve">Det ble imidlertid bestemt at </w:t>
      </w:r>
      <w:r w:rsidR="00133859">
        <w:t>analysen ikke skulle inngå i selve rapporten som ferdigstilles i mai</w:t>
      </w:r>
      <w:r w:rsidR="00C92E77">
        <w:t xml:space="preserve">, men </w:t>
      </w:r>
      <w:r w:rsidR="00DE2AC0">
        <w:t>i</w:t>
      </w:r>
      <w:r w:rsidR="00D1530A">
        <w:t xml:space="preserve"> stedet</w:t>
      </w:r>
      <w:r w:rsidR="009303C7">
        <w:t xml:space="preserve"> </w:t>
      </w:r>
      <w:r w:rsidR="00DE2AC0">
        <w:t xml:space="preserve">følge som </w:t>
      </w:r>
      <w:r w:rsidR="002101C8">
        <w:t xml:space="preserve">en </w:t>
      </w:r>
      <w:r w:rsidR="00DE2AC0">
        <w:t xml:space="preserve">separat </w:t>
      </w:r>
      <w:r w:rsidR="009F748F">
        <w:t xml:space="preserve">leveranse </w:t>
      </w:r>
      <w:r w:rsidR="00DE2AC0">
        <w:t>i</w:t>
      </w:r>
      <w:r w:rsidR="009F748F">
        <w:t xml:space="preserve"> september 2023</w:t>
      </w:r>
      <w:r w:rsidR="00DE2AC0">
        <w:t>.</w:t>
      </w:r>
    </w:p>
    <w:bookmarkStart w:id="13" w:name="_Toc10032781"/>
    <w:bookmarkStart w:id="14" w:name="_Toc134792712"/>
    <w:p w14:paraId="032AC9C8" w14:textId="074D09E1" w:rsidR="002D32D4" w:rsidRPr="006F63AB" w:rsidRDefault="00000000" w:rsidP="00AE4B98">
      <w:pPr>
        <w:pStyle w:val="Overskrift2"/>
        <w:rPr>
          <w:rStyle w:val="Lysbltekst"/>
        </w:rPr>
      </w:pPr>
      <w:sdt>
        <w:sdtPr>
          <w:alias w:val="Overskrift 1"/>
          <w:tag w:val="Overskrift 1"/>
          <w:id w:val="329414768"/>
          <w:placeholder>
            <w:docPart w:val="C966EB874F9C4ABA8DBA0F16154841C3"/>
          </w:placeholder>
          <w:text w:multiLine="1"/>
        </w:sdtPr>
        <w:sdtContent>
          <w:r w:rsidR="00F9614B" w:rsidRPr="00AE4B98">
            <w:t>Sammendrag</w:t>
          </w:r>
        </w:sdtContent>
      </w:sdt>
      <w:bookmarkEnd w:id="13"/>
      <w:bookmarkEnd w:id="14"/>
    </w:p>
    <w:p w14:paraId="1B8BBAE1" w14:textId="06B07A84" w:rsidR="008E719A" w:rsidRDefault="00F9614B" w:rsidP="00AE4B98">
      <w:pPr>
        <w:pStyle w:val="Overskrift3"/>
      </w:pPr>
      <w:bookmarkStart w:id="15" w:name="_Toc134792713"/>
      <w:r>
        <w:t>Utdanning</w:t>
      </w:r>
      <w:bookmarkEnd w:id="15"/>
    </w:p>
    <w:p w14:paraId="3AA5A415" w14:textId="7772E77F" w:rsidR="00ED3E83" w:rsidRPr="00ED3E83" w:rsidRDefault="00ED3E83" w:rsidP="00ED3E83">
      <w:pPr>
        <w:rPr>
          <w:rStyle w:val="cf01"/>
          <w:rFonts w:asciiTheme="minorHAnsi" w:hAnsiTheme="minorHAnsi" w:cstheme="minorHAnsi"/>
          <w:sz w:val="20"/>
          <w:szCs w:val="20"/>
        </w:rPr>
      </w:pPr>
      <w:r w:rsidRPr="00ED3E83">
        <w:rPr>
          <w:rStyle w:val="cf01"/>
          <w:rFonts w:asciiTheme="minorHAnsi" w:hAnsiTheme="minorHAnsi" w:cstheme="minorHAnsi"/>
          <w:sz w:val="20"/>
          <w:szCs w:val="20"/>
        </w:rPr>
        <w:t>Høyere utdanning i 2022 preges av nedgang</w:t>
      </w:r>
      <w:r w:rsidR="00657800">
        <w:rPr>
          <w:rStyle w:val="cf01"/>
          <w:rFonts w:asciiTheme="minorHAnsi" w:hAnsiTheme="minorHAnsi" w:cstheme="minorHAnsi"/>
          <w:sz w:val="20"/>
          <w:szCs w:val="20"/>
        </w:rPr>
        <w:t xml:space="preserve"> på flere områder</w:t>
      </w:r>
      <w:r w:rsidRPr="00ED3E83">
        <w:rPr>
          <w:rStyle w:val="cf01"/>
          <w:rFonts w:asciiTheme="minorHAnsi" w:hAnsiTheme="minorHAnsi" w:cstheme="minorHAnsi"/>
          <w:sz w:val="20"/>
          <w:szCs w:val="20"/>
        </w:rPr>
        <w:t xml:space="preserve">. Det meste av nedgangen kan ses som en justering mot et normalt eller forventet nivå etter at mange </w:t>
      </w:r>
      <w:r w:rsidR="00346EF1">
        <w:rPr>
          <w:rStyle w:val="cf01"/>
          <w:rFonts w:asciiTheme="minorHAnsi" w:hAnsiTheme="minorHAnsi" w:cstheme="minorHAnsi"/>
          <w:sz w:val="20"/>
          <w:szCs w:val="20"/>
        </w:rPr>
        <w:t xml:space="preserve">av </w:t>
      </w:r>
      <w:r w:rsidRPr="00ED3E83">
        <w:rPr>
          <w:rStyle w:val="cf01"/>
          <w:rFonts w:asciiTheme="minorHAnsi" w:hAnsiTheme="minorHAnsi" w:cstheme="minorHAnsi"/>
          <w:sz w:val="20"/>
          <w:szCs w:val="20"/>
        </w:rPr>
        <w:t>parameter</w:t>
      </w:r>
      <w:r w:rsidR="00346EF1">
        <w:rPr>
          <w:rStyle w:val="cf01"/>
          <w:rFonts w:asciiTheme="minorHAnsi" w:hAnsiTheme="minorHAnsi" w:cstheme="minorHAnsi"/>
          <w:sz w:val="20"/>
          <w:szCs w:val="20"/>
        </w:rPr>
        <w:t>n</w:t>
      </w:r>
      <w:r w:rsidRPr="00ED3E83">
        <w:rPr>
          <w:rStyle w:val="cf01"/>
          <w:rFonts w:asciiTheme="minorHAnsi" w:hAnsiTheme="minorHAnsi" w:cstheme="minorHAnsi"/>
          <w:sz w:val="20"/>
          <w:szCs w:val="20"/>
        </w:rPr>
        <w:t xml:space="preserve">e </w:t>
      </w:r>
      <w:r w:rsidR="00346EF1">
        <w:rPr>
          <w:rStyle w:val="cf01"/>
          <w:rFonts w:asciiTheme="minorHAnsi" w:hAnsiTheme="minorHAnsi" w:cstheme="minorHAnsi"/>
          <w:sz w:val="20"/>
          <w:szCs w:val="20"/>
        </w:rPr>
        <w:t xml:space="preserve">i tilstandsrapporten </w:t>
      </w:r>
      <w:r w:rsidRPr="00ED3E83">
        <w:rPr>
          <w:rStyle w:val="cf01"/>
          <w:rFonts w:asciiTheme="minorHAnsi" w:hAnsiTheme="minorHAnsi" w:cstheme="minorHAnsi"/>
          <w:sz w:val="20"/>
          <w:szCs w:val="20"/>
        </w:rPr>
        <w:t xml:space="preserve">har ligget uforholdsmessig høyt under pandemien. Tallene representerer slik sett ingen dramatikk. </w:t>
      </w:r>
      <w:r w:rsidR="00B92AAC">
        <w:rPr>
          <w:rStyle w:val="cf01"/>
          <w:rFonts w:asciiTheme="minorHAnsi" w:hAnsiTheme="minorHAnsi" w:cstheme="minorHAnsi"/>
          <w:sz w:val="20"/>
          <w:szCs w:val="20"/>
        </w:rPr>
        <w:t xml:space="preserve">Rapporten viser også at </w:t>
      </w:r>
      <w:r w:rsidR="00B50D3F">
        <w:rPr>
          <w:rStyle w:val="cf01"/>
          <w:rFonts w:asciiTheme="minorHAnsi" w:hAnsiTheme="minorHAnsi" w:cstheme="minorHAnsi"/>
          <w:sz w:val="20"/>
          <w:szCs w:val="20"/>
        </w:rPr>
        <w:t xml:space="preserve">pandemien har bidratt til </w:t>
      </w:r>
      <w:r w:rsidR="00AA2706">
        <w:rPr>
          <w:rStyle w:val="cf01"/>
          <w:rFonts w:asciiTheme="minorHAnsi" w:hAnsiTheme="minorHAnsi" w:cstheme="minorHAnsi"/>
          <w:sz w:val="20"/>
          <w:szCs w:val="20"/>
        </w:rPr>
        <w:t>vedvarende høye tall på enkelte områder.</w:t>
      </w:r>
    </w:p>
    <w:p w14:paraId="7F948813" w14:textId="0B9678F1" w:rsidR="00ED3E83" w:rsidRPr="00ED3E83" w:rsidRDefault="00ED3E83" w:rsidP="00ED3E83">
      <w:r w:rsidRPr="00ED3E83">
        <w:rPr>
          <w:rStyle w:val="cf01"/>
          <w:rFonts w:asciiTheme="minorHAnsi" w:hAnsiTheme="minorHAnsi" w:cstheme="minorHAnsi"/>
          <w:sz w:val="20"/>
          <w:szCs w:val="20"/>
        </w:rPr>
        <w:t xml:space="preserve">Studentpopulasjonen i Norge </w:t>
      </w:r>
      <w:r w:rsidR="00637C0E">
        <w:rPr>
          <w:rStyle w:val="cf01"/>
          <w:rFonts w:asciiTheme="minorHAnsi" w:hAnsiTheme="minorHAnsi" w:cstheme="minorHAnsi"/>
          <w:sz w:val="20"/>
          <w:szCs w:val="20"/>
        </w:rPr>
        <w:t>gå</w:t>
      </w:r>
      <w:r w:rsidRPr="00ED3E83">
        <w:rPr>
          <w:rStyle w:val="cf01"/>
          <w:rFonts w:asciiTheme="minorHAnsi" w:hAnsiTheme="minorHAnsi" w:cstheme="minorHAnsi"/>
          <w:sz w:val="20"/>
          <w:szCs w:val="20"/>
        </w:rPr>
        <w:t xml:space="preserve">r </w:t>
      </w:r>
      <w:r w:rsidR="00637C0E">
        <w:rPr>
          <w:rStyle w:val="cf01"/>
          <w:rFonts w:asciiTheme="minorHAnsi" w:hAnsiTheme="minorHAnsi" w:cstheme="minorHAnsi"/>
          <w:sz w:val="20"/>
          <w:szCs w:val="20"/>
        </w:rPr>
        <w:t xml:space="preserve">ned </w:t>
      </w:r>
      <w:r w:rsidRPr="00ED3E83">
        <w:rPr>
          <w:rStyle w:val="cf01"/>
          <w:rFonts w:asciiTheme="minorHAnsi" w:hAnsiTheme="minorHAnsi" w:cstheme="minorHAnsi"/>
          <w:sz w:val="20"/>
          <w:szCs w:val="20"/>
        </w:rPr>
        <w:t xml:space="preserve">i 2022. Det er flere utviklingstrekk som bidrar til dette. Søkertallene og studenttallene går ned. Samtidig uteksaminerer institusjonene en større andel av studentene sine enn tidligere. </w:t>
      </w:r>
      <w:r w:rsidRPr="00ED3E83">
        <w:t xml:space="preserve">Antallet norske studenter som tar en grad i utlandet går også ned, en utvikling som har pågått siden 2015. Fordi helgradsutdanninger tar lang tid å fullføre, er det forventet at fallet i utenlandsstudenter vil kunne gjøre seg gjeldende i statistikken i flere år framover. </w:t>
      </w:r>
      <w:r w:rsidRPr="00ED3E83">
        <w:rPr>
          <w:rStyle w:val="cf01"/>
          <w:rFonts w:asciiTheme="minorHAnsi" w:hAnsiTheme="minorHAnsi" w:cstheme="minorHAnsi"/>
          <w:sz w:val="20"/>
          <w:szCs w:val="20"/>
        </w:rPr>
        <w:t xml:space="preserve">Med endringer i egenbetaling for internasjonale studenter fra land utenfor EU/EØS </w:t>
      </w:r>
      <w:r w:rsidR="001E6E0A">
        <w:rPr>
          <w:rStyle w:val="cf01"/>
          <w:rFonts w:asciiTheme="minorHAnsi" w:hAnsiTheme="minorHAnsi" w:cstheme="minorHAnsi"/>
          <w:sz w:val="20"/>
          <w:szCs w:val="20"/>
        </w:rPr>
        <w:t>fra</w:t>
      </w:r>
      <w:r w:rsidR="00F93B39">
        <w:rPr>
          <w:rStyle w:val="cf01"/>
          <w:rFonts w:asciiTheme="minorHAnsi" w:hAnsiTheme="minorHAnsi" w:cstheme="minorHAnsi"/>
          <w:sz w:val="20"/>
          <w:szCs w:val="20"/>
        </w:rPr>
        <w:t xml:space="preserve"> og med</w:t>
      </w:r>
      <w:r w:rsidR="001E6E0A">
        <w:rPr>
          <w:rStyle w:val="cf01"/>
          <w:rFonts w:asciiTheme="minorHAnsi" w:hAnsiTheme="minorHAnsi" w:cstheme="minorHAnsi"/>
          <w:sz w:val="20"/>
          <w:szCs w:val="20"/>
        </w:rPr>
        <w:t xml:space="preserve"> høsten 2023 </w:t>
      </w:r>
      <w:r w:rsidRPr="00ED3E83">
        <w:rPr>
          <w:rStyle w:val="cf01"/>
          <w:rFonts w:asciiTheme="minorHAnsi" w:hAnsiTheme="minorHAnsi" w:cstheme="minorHAnsi"/>
          <w:sz w:val="20"/>
          <w:szCs w:val="20"/>
        </w:rPr>
        <w:t xml:space="preserve">er det også forventet en nedgang i denne gruppen framover. </w:t>
      </w:r>
      <w:r w:rsidRPr="00ED3E83">
        <w:t>Allikevel er det fortsatt rimelig å si at Norge har en historisk stor studentpopulasjon; kun rekordåret 2021 hadde flere studenter enn 2022. Det er særlig enkelte private høyskoler som har styrket seg de siste ti årene.</w:t>
      </w:r>
    </w:p>
    <w:p w14:paraId="003547ED" w14:textId="4828B672" w:rsidR="00ED3E83" w:rsidRPr="00ED3E83" w:rsidRDefault="00ED3E83" w:rsidP="00ED3E83">
      <w:r w:rsidRPr="00ED3E83">
        <w:rPr>
          <w:rFonts w:eastAsiaTheme="minorEastAsia"/>
        </w:rPr>
        <w:lastRenderedPageBreak/>
        <w:t xml:space="preserve">Tall </w:t>
      </w:r>
      <w:r w:rsidRPr="00ED3E83">
        <w:t>fra Studiebarometeret viser at tilfredsheten blant studentene går ned. Nedgangen i tilfredshet som studentene uttrykte under pandemien fortsetter, selv om studiehverdagen tilsynelatende er tilbake til normalen. Allikevel er et klart flertall, 68 prosent, godt tilfredse med studieprogrammet de går på. Undersøkelsen viser også at studentene bruker stadig mindre tid på studiene. Gjennomsnitt</w:t>
      </w:r>
      <w:r w:rsidR="0093419A">
        <w:t>sstudenten</w:t>
      </w:r>
      <w:r w:rsidRPr="00ED3E83">
        <w:t xml:space="preserve"> bruker nå to timer mindre på studiene enn i 2016. Tiden studentene bruker på egenstudier er tilbake på nivået før pandemien. Samtidig </w:t>
      </w:r>
      <w:r w:rsidR="00401ECE">
        <w:t>er flere studenter</w:t>
      </w:r>
      <w:r w:rsidRPr="00ED3E83" w:rsidDel="00DA1F7A">
        <w:t xml:space="preserve"> </w:t>
      </w:r>
      <w:r w:rsidRPr="00ED3E83">
        <w:t>i betalt arbeid</w:t>
      </w:r>
      <w:r w:rsidR="00DA1F7A">
        <w:t xml:space="preserve">, og disse </w:t>
      </w:r>
      <w:r w:rsidR="000D4380">
        <w:t>bruker</w:t>
      </w:r>
      <w:r w:rsidR="00AC28DD">
        <w:t xml:space="preserve"> </w:t>
      </w:r>
      <w:r w:rsidRPr="00ED3E83">
        <w:t xml:space="preserve">mer tid på </w:t>
      </w:r>
      <w:r w:rsidR="00C74AA7">
        <w:t>job</w:t>
      </w:r>
      <w:r w:rsidR="000236DA">
        <w:t>b</w:t>
      </w:r>
      <w:r w:rsidR="00C74AA7">
        <w:t xml:space="preserve"> ved siden av studiene</w:t>
      </w:r>
      <w:r w:rsidR="008661E1">
        <w:t xml:space="preserve"> enn </w:t>
      </w:r>
      <w:r w:rsidR="003832A3">
        <w:t xml:space="preserve">det som har vært tilfelle </w:t>
      </w:r>
      <w:r w:rsidR="008661E1">
        <w:t xml:space="preserve">de tre </w:t>
      </w:r>
      <w:r w:rsidR="008706A6">
        <w:t xml:space="preserve">siste </w:t>
      </w:r>
      <w:r w:rsidR="008661E1">
        <w:t>årene</w:t>
      </w:r>
      <w:r w:rsidRPr="00ED3E83">
        <w:t xml:space="preserve">. </w:t>
      </w:r>
    </w:p>
    <w:p w14:paraId="17150EDD" w14:textId="3B614FB6" w:rsidR="00ED3E83" w:rsidRPr="00ED3E83" w:rsidRDefault="00ED3E83" w:rsidP="00ED3E83">
      <w:r w:rsidRPr="00ED3E83">
        <w:t>Også antall studiepoeng per faglig årsverk går ned i 2022.</w:t>
      </w:r>
      <w:r w:rsidR="008A100D">
        <w:t xml:space="preserve"> </w:t>
      </w:r>
      <w:r w:rsidRPr="00ED3E83">
        <w:t xml:space="preserve">Dette skyldes at antall faglig ansatte går opp, samtidig som studenttallene altså </w:t>
      </w:r>
      <w:r w:rsidR="0072375F">
        <w:t>krymper</w:t>
      </w:r>
      <w:r w:rsidRPr="00ED3E83">
        <w:t xml:space="preserve">. Bildet kan ses i sammenheng med strukturendringer i sektoren, hvor nye universiteter, samt høyskoler med universitetsambisjoner, bygger opp sin forskningskompetanse og styrker sin vitenskapelige publisering. Fallet i studiepoengproduksjon er dermed ikke ensbetydende med fallende produktivitet i sektoren, fordi de nye faglige årsverkene gjerne ivaretar andre kjerneoppgaver. </w:t>
      </w:r>
    </w:p>
    <w:p w14:paraId="6802FDBA" w14:textId="2A629917" w:rsidR="00ED3E83" w:rsidRPr="00214B19" w:rsidRDefault="00ED3E83" w:rsidP="00214B19">
      <w:pPr>
        <w:rPr>
          <w:rFonts w:cstheme="minorHAnsi"/>
        </w:rPr>
      </w:pPr>
      <w:r w:rsidRPr="00ED3E83">
        <w:t>Selv om mange av tallene i denne rapporten viser at pandemiårene representerer en unntakstilstand sektoren nå er på vei ut av, har pandemierfaringen også bidratt til varig endring på enkelte områder. Tallet på digitale eksamener økte i pandemiårene og forholdet mellom digital</w:t>
      </w:r>
      <w:r w:rsidR="007B118E">
        <w:t>e</w:t>
      </w:r>
      <w:r w:rsidRPr="00ED3E83">
        <w:t xml:space="preserve"> og ikke-digitale eksamensformer har holdt seg stabilt siden. Også resultatene fra Studiebarometeret viser at bruken av digitale verktøy i høyere utdanning fortsatt er </w:t>
      </w:r>
      <w:r w:rsidRPr="00214B19">
        <w:rPr>
          <w:rFonts w:cstheme="minorHAnsi"/>
        </w:rPr>
        <w:t xml:space="preserve">omfattende i 2022. </w:t>
      </w:r>
      <w:r w:rsidR="007C5D04">
        <w:rPr>
          <w:rFonts w:cstheme="minorHAnsi"/>
        </w:rPr>
        <w:t>Blant disse</w:t>
      </w:r>
      <w:r w:rsidRPr="00214B19" w:rsidDel="0083540A">
        <w:rPr>
          <w:rFonts w:cstheme="minorHAnsi"/>
        </w:rPr>
        <w:t xml:space="preserve"> </w:t>
      </w:r>
      <w:r w:rsidRPr="00214B19">
        <w:rPr>
          <w:rFonts w:cstheme="minorHAnsi"/>
        </w:rPr>
        <w:t xml:space="preserve">rapporterer </w:t>
      </w:r>
      <w:r w:rsidR="0083540A">
        <w:rPr>
          <w:rFonts w:cstheme="minorHAnsi"/>
        </w:rPr>
        <w:t xml:space="preserve">studentene </w:t>
      </w:r>
      <w:r w:rsidRPr="00214B19">
        <w:rPr>
          <w:rFonts w:cstheme="minorHAnsi"/>
        </w:rPr>
        <w:t>størst læringsutbytte fra digitale læringsplattformer. Flere enn åtte av ti studenter svarer at disse i noen grad eller i stor grad har bidratt til god læring.</w:t>
      </w:r>
    </w:p>
    <w:p w14:paraId="55CCB0F2" w14:textId="76E18F75" w:rsidR="00ED3E83" w:rsidRPr="00ED3E83" w:rsidRDefault="00ED3E83" w:rsidP="00214B19">
      <w:r w:rsidRPr="00ED3E83">
        <w:t>Særlig satte pandemien fart på arbeidet med fleksible studietilbud</w:t>
      </w:r>
      <w:r w:rsidR="00E84EF7">
        <w:t>. T</w:t>
      </w:r>
      <w:r w:rsidRPr="00ED3E83">
        <w:t xml:space="preserve">allene </w:t>
      </w:r>
      <w:r w:rsidR="00E84EF7">
        <w:t>for</w:t>
      </w:r>
      <w:r w:rsidRPr="00ED3E83">
        <w:t xml:space="preserve"> 2022 antyder at fleksible tilbud har kommet for å bli. Andelen studenter registrert på fleksible studieprogram var bare marginalt lavere i 2022 enn i 2021. Det er imidlertid grunn til å tro at omfanget av fleksib</w:t>
      </w:r>
      <w:r w:rsidR="00273E26">
        <w:t>l</w:t>
      </w:r>
      <w:r w:rsidRPr="00ED3E83">
        <w:t>e tilbud er større enn statistikken fanger opp, og HK-</w:t>
      </w:r>
      <w:proofErr w:type="spellStart"/>
      <w:r w:rsidRPr="00ED3E83">
        <w:t>dir</w:t>
      </w:r>
      <w:proofErr w:type="spellEnd"/>
      <w:r w:rsidRPr="00ED3E83">
        <w:t xml:space="preserve"> </w:t>
      </w:r>
      <w:r w:rsidR="00C257D1">
        <w:t>vil</w:t>
      </w:r>
      <w:r w:rsidRPr="00ED3E83">
        <w:t xml:space="preserve"> </w:t>
      </w:r>
      <w:r w:rsidR="00240153">
        <w:t xml:space="preserve">i samarbeid med sektoren igangsette </w:t>
      </w:r>
      <w:r w:rsidRPr="00ED3E83">
        <w:t>et arbeid for å forbedre datakvaliteten på dette området</w:t>
      </w:r>
      <w:r w:rsidRPr="00693BEA">
        <w:t xml:space="preserve">. </w:t>
      </w:r>
    </w:p>
    <w:p w14:paraId="2D777A16" w14:textId="5099439C" w:rsidR="00FA250E" w:rsidRDefault="00ED3E83" w:rsidP="00ED3E83">
      <w:r w:rsidRPr="00ED3E83">
        <w:t xml:space="preserve">Studentutveksling er et område hvor pandemien har hatt en sterkt begrensende effekt. I 2022 er utvekslingen </w:t>
      </w:r>
      <w:r w:rsidRPr="00ED3E83">
        <w:rPr>
          <w:i/>
          <w:iCs/>
        </w:rPr>
        <w:t>fra</w:t>
      </w:r>
      <w:r w:rsidRPr="00ED3E83">
        <w:t xml:space="preserve"> Norge på rask vei tilbake mot nivået før pandemien. Særlig det europeiske utdanningsprogrammet Erasmus+ er en sterk driver for å få studentmobiliteten i gang etter pandemien. Det er nå 42 prosent flere studenter på utveksling fra Norge gjennom Erasmus+ enn før pandemien (2019), og økningen har funnet sted siste år. </w:t>
      </w:r>
      <w:r w:rsidR="006B6DD2" w:rsidRPr="00831C90">
        <w:t xml:space="preserve">Andelen uteksaminerte med utvekslingserfaring har </w:t>
      </w:r>
      <w:r w:rsidR="00C60B47" w:rsidRPr="00831C90">
        <w:t xml:space="preserve">derimot </w:t>
      </w:r>
      <w:r w:rsidR="006B6DD2" w:rsidRPr="00831C90">
        <w:t xml:space="preserve">gått ned </w:t>
      </w:r>
      <w:r w:rsidR="00440EE9" w:rsidRPr="00831C90">
        <w:t>i 2022</w:t>
      </w:r>
      <w:r w:rsidR="006B6DD2" w:rsidRPr="00831C90">
        <w:t xml:space="preserve">. 10,8 prosent av de uteksaminerte har hatt et studieopphold i utlandet over tre måneder, mot om lag 16,5 prosent i årene før 2020. </w:t>
      </w:r>
      <w:r w:rsidR="00221EAF" w:rsidRPr="00FA250E">
        <w:t>Her peker t</w:t>
      </w:r>
      <w:r w:rsidR="006B6DD2" w:rsidRPr="00FA250E">
        <w:t>ilstandsrapporten på en forsinket pandemieffekt, hvor mange av de som ble uteksaminert i 2022 har gått glipp av muligheten for utveksling tidligere i studieløpet sitt. Det er grunn til å tro at andelen utvekslede</w:t>
      </w:r>
      <w:r w:rsidR="00152356">
        <w:t xml:space="preserve"> </w:t>
      </w:r>
      <w:r w:rsidR="00EA4BEB">
        <w:t>kandidater</w:t>
      </w:r>
      <w:r w:rsidR="006B6DD2" w:rsidRPr="00FA250E">
        <w:t xml:space="preserve"> vil holde seg lav i noe tid framover, inntil gruppen av uteksaminerte hovedsakelig består av personer som startet studiene etter pandemien.</w:t>
      </w:r>
      <w:r w:rsidR="00B62130">
        <w:t xml:space="preserve"> </w:t>
      </w:r>
    </w:p>
    <w:p w14:paraId="28AD0EBB" w14:textId="2622A97C" w:rsidR="00ED3E83" w:rsidRPr="00ED3E83" w:rsidRDefault="00ED3E83" w:rsidP="00ED3E83">
      <w:r w:rsidRPr="00ED3E83">
        <w:t xml:space="preserve">I tillegg ser Norge ut til å ha styrket seg som en attraktiv studiedestinasjon for innreisende utvekslingsstudenter. Det er 16 prosent flere studenter på utveksling </w:t>
      </w:r>
      <w:r w:rsidRPr="00ED3E83">
        <w:rPr>
          <w:i/>
          <w:iCs/>
        </w:rPr>
        <w:t>til</w:t>
      </w:r>
      <w:r w:rsidRPr="00ED3E83">
        <w:t xml:space="preserve"> Norge </w:t>
      </w:r>
      <w:r w:rsidR="0014605A">
        <w:t xml:space="preserve">i 2022 </w:t>
      </w:r>
      <w:r w:rsidRPr="00ED3E83">
        <w:t xml:space="preserve">enn det var før pandemien. Også </w:t>
      </w:r>
      <w:r w:rsidR="004A4D44">
        <w:t>for</w:t>
      </w:r>
      <w:r w:rsidRPr="00ED3E83">
        <w:t xml:space="preserve"> internasjonale gradsstudenter </w:t>
      </w:r>
      <w:r w:rsidR="00855D73">
        <w:t xml:space="preserve">tyder </w:t>
      </w:r>
      <w:r w:rsidR="004A17A9">
        <w:t xml:space="preserve">økende tilstrømming </w:t>
      </w:r>
      <w:r w:rsidR="00855D73">
        <w:t>på at</w:t>
      </w:r>
      <w:r w:rsidR="003A479A">
        <w:t xml:space="preserve"> </w:t>
      </w:r>
      <w:r w:rsidRPr="00ED3E83">
        <w:t xml:space="preserve">Norge </w:t>
      </w:r>
      <w:r w:rsidR="00BD07C5">
        <w:t xml:space="preserve">framstår </w:t>
      </w:r>
      <w:r w:rsidR="005A2D3B">
        <w:t xml:space="preserve">som </w:t>
      </w:r>
      <w:r w:rsidRPr="00ED3E83">
        <w:t xml:space="preserve">et stadig mer attraktivt land å studere i, men </w:t>
      </w:r>
      <w:r w:rsidR="00587B5F">
        <w:t>dataene</w:t>
      </w:r>
      <w:r w:rsidRPr="00ED3E83">
        <w:t xml:space="preserve"> på dette området er beheftet med usikkerhet. Nye regler om egenbetaling for studenter fra tredjeland kan også endre bildet innen kort tid.</w:t>
      </w:r>
      <w:r w:rsidR="00FC5ED7" w:rsidRPr="00FC5ED7">
        <w:t xml:space="preserve"> </w:t>
      </w:r>
    </w:p>
    <w:p w14:paraId="6AE6F2EB" w14:textId="38BC5243" w:rsidR="00E24251" w:rsidRDefault="00ED3E83" w:rsidP="00ED3E83">
      <w:r w:rsidRPr="00ED3E83">
        <w:lastRenderedPageBreak/>
        <w:t>En større andel av kandidatene fra høyere utdanning var i relevant arbeid i 2021 enn i årene før. Dette er det siste året vi har tall for. Også dette kan ses i sammenheng med pandemien, og de endringene den medførte for arbeidsmarkedet med stor etterspørsel etter arbeidskraft.</w:t>
      </w:r>
      <w:r w:rsidRPr="00ED3E83">
        <w:rPr>
          <w:rFonts w:eastAsiaTheme="minorEastAsia"/>
          <w:color w:val="000000" w:themeColor="text1"/>
          <w:kern w:val="24"/>
        </w:rPr>
        <w:t xml:space="preserve"> </w:t>
      </w:r>
      <w:r w:rsidRPr="00ED3E83">
        <w:t xml:space="preserve">Tallene i tilstandsrapporten tyder på at arbeidsmarkedet fanger godt opp kandidatene fra høyere utdanning og at graden av mistilpasning mellom utdanning og arbeidsmarked er lav. </w:t>
      </w:r>
      <w:r w:rsidR="00F137C8">
        <w:t>Innenfor alle fagområder gjorde de uteksaminerte fra 2021 det bedre på arbeidsmarkedet enn uteksaminerte fra 2020. For de fleste fagområder var resultatene fra 2021 også bedre enn resultatene i både 2019 og 2017</w:t>
      </w:r>
      <w:r w:rsidR="00E24251">
        <w:t xml:space="preserve">. Særlig gjaldt dette lærerutdanninger og </w:t>
      </w:r>
      <w:r w:rsidR="002B47D2">
        <w:t>utdanninger i pedagogikk.</w:t>
      </w:r>
    </w:p>
    <w:p w14:paraId="2A6E36FD" w14:textId="0B4430D0" w:rsidR="00ED3E83" w:rsidRPr="00ED3E83" w:rsidRDefault="00ED3E83" w:rsidP="00ED3E83">
      <w:r w:rsidRPr="00ED3E83">
        <w:t xml:space="preserve">Hvilke fagområder og utdanninger studentene </w:t>
      </w:r>
      <w:r w:rsidR="00F54A5A">
        <w:t>velger</w:t>
      </w:r>
      <w:r w:rsidR="00866EA8">
        <w:t>,</w:t>
      </w:r>
      <w:r w:rsidR="00C958CE">
        <w:t xml:space="preserve"> har betydning</w:t>
      </w:r>
      <w:r w:rsidRPr="00ED3E83">
        <w:t xml:space="preserve"> for </w:t>
      </w:r>
      <w:r w:rsidR="00C958CE">
        <w:t xml:space="preserve">om </w:t>
      </w:r>
      <w:r w:rsidRPr="00ED3E83">
        <w:t xml:space="preserve">Norge har </w:t>
      </w:r>
      <w:r w:rsidR="00C958CE">
        <w:t xml:space="preserve">tilgang på </w:t>
      </w:r>
      <w:r w:rsidR="00AD38E4">
        <w:t>de utdanningsgruppene</w:t>
      </w:r>
      <w:r w:rsidRPr="00ED3E83">
        <w:t xml:space="preserve"> </w:t>
      </w:r>
      <w:r w:rsidR="00D84320">
        <w:t>landet</w:t>
      </w:r>
      <w:r w:rsidRPr="00ED3E83">
        <w:t xml:space="preserve"> trenger </w:t>
      </w:r>
      <w:r w:rsidR="003F26F5">
        <w:t>for</w:t>
      </w:r>
      <w:r w:rsidRPr="00ED3E83">
        <w:t xml:space="preserve"> å </w:t>
      </w:r>
      <w:r w:rsidR="00312ABC">
        <w:t>imøtekomme</w:t>
      </w:r>
      <w:r w:rsidRPr="00ED3E83">
        <w:t xml:space="preserve"> framtidige kompetansebehov. De fem siste årene har særlig økonomiske og administrative fag og helse- sosial og idrettsfag hatt god vekst. Helsefagene oppfyller da også måltallet for kandidatproduksjon i 2022 med god margin, selv om det er enkelte forskjeller i måloppnåelse mellom de ulike utdanningene. Lærerutdanningene oppfyller nesten det samlede måltallet for 2022, men også her varierer det mellom utdanninger. GLU 5-10 oppfyller måltallet, men ikke GLU 1-7. </w:t>
      </w:r>
    </w:p>
    <w:p w14:paraId="61405B01" w14:textId="395999DD" w:rsidR="00ED3E83" w:rsidRPr="00ED3E83" w:rsidRDefault="00ED3E83" w:rsidP="00ED3E83">
      <w:pPr>
        <w:rPr>
          <w:shd w:val="clear" w:color="auto" w:fill="FFFFFF"/>
        </w:rPr>
      </w:pPr>
      <w:r w:rsidRPr="00ED3E83">
        <w:rPr>
          <w:rStyle w:val="normaltextrun"/>
          <w:rFonts w:cstheme="minorHAnsi"/>
          <w:color w:val="000000"/>
          <w:shd w:val="clear" w:color="auto" w:fill="FFFFFF"/>
        </w:rPr>
        <w:t xml:space="preserve">Andelen uteksaminerte på </w:t>
      </w:r>
      <w:r w:rsidR="0061188B">
        <w:rPr>
          <w:rStyle w:val="normaltextrun"/>
          <w:rFonts w:cstheme="minorHAnsi"/>
          <w:color w:val="000000"/>
          <w:shd w:val="clear" w:color="auto" w:fill="FFFFFF"/>
        </w:rPr>
        <w:t xml:space="preserve">normert tid for </w:t>
      </w:r>
      <w:r w:rsidRPr="00ED3E83">
        <w:rPr>
          <w:rStyle w:val="normaltextrun"/>
          <w:rFonts w:cstheme="minorHAnsi"/>
          <w:color w:val="000000"/>
          <w:shd w:val="clear" w:color="auto" w:fill="FFFFFF"/>
        </w:rPr>
        <w:t>bachelor og toårig master ser i 2022 ut til å stabilisere seg rundt 56 prosent etter ti år med jevn vekst. Blant 5-årige masterprogram derimot, øk</w:t>
      </w:r>
      <w:r w:rsidR="00C73E87">
        <w:rPr>
          <w:rStyle w:val="normaltextrun"/>
          <w:rFonts w:cstheme="minorHAnsi"/>
          <w:color w:val="000000"/>
          <w:shd w:val="clear" w:color="auto" w:fill="FFFFFF"/>
        </w:rPr>
        <w:t>er</w:t>
      </w:r>
      <w:r w:rsidRPr="00ED3E83">
        <w:rPr>
          <w:rStyle w:val="normaltextrun"/>
          <w:rFonts w:cstheme="minorHAnsi"/>
          <w:color w:val="000000"/>
          <w:shd w:val="clear" w:color="auto" w:fill="FFFFFF"/>
        </w:rPr>
        <w:t xml:space="preserve"> andelen uteksaminerte </w:t>
      </w:r>
      <w:r w:rsidR="00255683">
        <w:rPr>
          <w:rStyle w:val="normaltextrun"/>
          <w:rFonts w:cstheme="minorHAnsi"/>
          <w:color w:val="000000"/>
          <w:shd w:val="clear" w:color="auto" w:fill="FFFFFF"/>
        </w:rPr>
        <w:t xml:space="preserve">på normert tid </w:t>
      </w:r>
      <w:r w:rsidRPr="00ED3E83">
        <w:rPr>
          <w:rStyle w:val="normaltextrun"/>
          <w:rFonts w:cstheme="minorHAnsi"/>
          <w:color w:val="000000"/>
          <w:shd w:val="clear" w:color="auto" w:fill="FFFFFF"/>
        </w:rPr>
        <w:t xml:space="preserve">med nesten 40 prosent fra 2021 til 2022. Det er i hovedsak de første store kullene med femårige masterstudenter på lærerutdanning som forklarer denne kraftige oppgangen. En klart større andel av lærerstudentene gjennomførte på normert tid enn </w:t>
      </w:r>
      <w:r w:rsidR="00757E59">
        <w:rPr>
          <w:rStyle w:val="normaltextrun"/>
          <w:rFonts w:cstheme="minorHAnsi"/>
          <w:color w:val="000000"/>
          <w:shd w:val="clear" w:color="auto" w:fill="FFFFFF"/>
        </w:rPr>
        <w:t>studenter på</w:t>
      </w:r>
      <w:r w:rsidRPr="00ED3E83">
        <w:rPr>
          <w:rStyle w:val="normaltextrun"/>
          <w:rFonts w:cstheme="minorHAnsi"/>
          <w:color w:val="000000"/>
          <w:shd w:val="clear" w:color="auto" w:fill="FFFFFF"/>
        </w:rPr>
        <w:t xml:space="preserve"> øvrige 5-årige mastere.</w:t>
      </w:r>
    </w:p>
    <w:p w14:paraId="713EABB6" w14:textId="2D080A08" w:rsidR="00ED3E83" w:rsidRPr="00ED3E83" w:rsidRDefault="00ED3E83" w:rsidP="00ED3E83">
      <w:r w:rsidRPr="00ED3E83">
        <w:t>Selv om antallet studenter variere</w:t>
      </w:r>
      <w:r w:rsidR="00922DD6">
        <w:t>r</w:t>
      </w:r>
      <w:r w:rsidR="0011516D">
        <w:t xml:space="preserve"> over tid</w:t>
      </w:r>
      <w:r w:rsidRPr="00ED3E83">
        <w:t xml:space="preserve">, </w:t>
      </w:r>
      <w:r w:rsidR="00DB7FE2">
        <w:t xml:space="preserve">blant annet med oppgang under pandemien og påfølgende nedgang i 2022, </w:t>
      </w:r>
      <w:r w:rsidRPr="00ED3E83">
        <w:t xml:space="preserve">er det få endringer i den demografiske </w:t>
      </w:r>
      <w:r w:rsidR="00C34511">
        <w:t>sammensetningen av</w:t>
      </w:r>
      <w:r w:rsidRPr="00ED3E83">
        <w:t xml:space="preserve"> studentpopulasjonen. Både studentenes alder og kjønnsfordeling er stabil</w:t>
      </w:r>
      <w:r w:rsidR="007706FD">
        <w:t xml:space="preserve"> over tid</w:t>
      </w:r>
      <w:r w:rsidRPr="00ED3E83">
        <w:t xml:space="preserve">. I forhold til for ti år siden er kvinner nå noe mindre overrepresentert i lærerutdanninger og pedagogikk og noe mindre underrepresentert i naturvitenskapelige og tekniske utdanninger. Studietilbøyeligheten blant personer som er født i Norge av innvandrede foreldre er høyere enn for den delen av befolkningen som ikke har innvandrerbakgrunn. Både antallet studenter med innvandrerbakgrunn og norskfødte med innvandrerforeldre har økt med om lag 500 i 2022, og bekrefter dermed trenden fra de siste ti årene med jevn vekst for disse gruppene. </w:t>
      </w:r>
    </w:p>
    <w:p w14:paraId="33CDB0EF" w14:textId="34B8E451" w:rsidR="00F9614B" w:rsidRDefault="00843754" w:rsidP="00AE4B98">
      <w:pPr>
        <w:pStyle w:val="Overskrift3"/>
      </w:pPr>
      <w:bookmarkStart w:id="16" w:name="_Toc134792714"/>
      <w:r>
        <w:t>Doktorgradsutdanning og forsknin</w:t>
      </w:r>
      <w:r w:rsidR="00EC2001">
        <w:t>g</w:t>
      </w:r>
      <w:bookmarkEnd w:id="16"/>
    </w:p>
    <w:p w14:paraId="5CD93E04" w14:textId="5DEC3AED" w:rsidR="00046D6B" w:rsidRDefault="00046D6B" w:rsidP="00046D6B">
      <w:r>
        <w:t>Mange av områdene kapittelet om utdanning tar for seg, er preget av en tilbakevending mot situasjonen før pandemi</w:t>
      </w:r>
      <w:r w:rsidR="006A0D78">
        <w:t>en</w:t>
      </w:r>
      <w:r>
        <w:t>. På områdene doktorgradsutdanning og forskning, og framfor alt publisering, er bildet noe annerledes. Her ser vi dels en mer langvarig, dels en forsinket pandemieffekt.</w:t>
      </w:r>
    </w:p>
    <w:p w14:paraId="152CFBD8" w14:textId="5C4EC2B8" w:rsidR="00046D6B" w:rsidRDefault="00046D6B" w:rsidP="00046D6B">
      <w:r>
        <w:t>For andre år på rad gikk antallet avlagte doktorgrader ved norske universiteter og høyskoler noe ned i 2022. Fra det foreløpige toppåret 2020 med 1634 avlagte doktorgrader, via 1601 doktorgrader i 2021, sank antallet til 1562 i 2022. I lys av flere studier som har vist til at stipendiater representerer en særlig sårbar gruppe, og med tanke på at antall inngåtte doktorgradsavtaler steg hvert år i perioden 2013</w:t>
      </w:r>
      <w:r w:rsidR="001E6988">
        <w:t>–</w:t>
      </w:r>
      <w:r>
        <w:t>2018, er det rimelig å anta at pandemien er en viktig forklaring på nedgangen.</w:t>
      </w:r>
    </w:p>
    <w:p w14:paraId="79C63F85" w14:textId="77777777" w:rsidR="00046D6B" w:rsidRDefault="00046D6B" w:rsidP="00046D6B">
      <w:r>
        <w:t xml:space="preserve">Fordelt på fagområder finner vi at den samlede nedgangen særlig kan knyttes til en relativt stor nedgang innen matematikk og naturvitenskap. Fagområdet teknologi passerte i 2022 matematikk og naturvitenskap som tredje største fagområde målt etter antall avlagte </w:t>
      </w:r>
      <w:r>
        <w:lastRenderedPageBreak/>
        <w:t>doktorgrader. Ti år tidligere var matematikk og naturvitenskap nesten dobbelt så stort som teknologi.</w:t>
      </w:r>
    </w:p>
    <w:p w14:paraId="457FB80B" w14:textId="591801A0" w:rsidR="00046D6B" w:rsidRDefault="00046D6B" w:rsidP="00046D6B">
      <w:r>
        <w:t xml:space="preserve">Bildet av nedgang blir mer nyansert når vi ser på statsborgerskap. Mens det var en nedgang i utenlandske statsborgere som avla doktorgrad i 2022, </w:t>
      </w:r>
      <w:r w:rsidR="00287E7B">
        <w:t xml:space="preserve">økte antallet doktorgrader avlagt av norske statsborgere. </w:t>
      </w:r>
      <w:r>
        <w:t xml:space="preserve">2021 var det omvendt, </w:t>
      </w:r>
      <w:r w:rsidR="00CF5789">
        <w:t xml:space="preserve">da sank antallet </w:t>
      </w:r>
      <w:r w:rsidR="004F3A43">
        <w:t>norske statsborgere som avla doktorgrad</w:t>
      </w:r>
      <w:r w:rsidR="003429B3">
        <w:t>, mens antallet utenlandske statsborgere økte.</w:t>
      </w:r>
      <w:r>
        <w:t xml:space="preserve"> I 2022 var det som i 2020 40 prosent utenlandske statsborgere blant doktorandene. </w:t>
      </w:r>
    </w:p>
    <w:p w14:paraId="4FC45909" w14:textId="31697882" w:rsidR="00046D6B" w:rsidRDefault="00046D6B" w:rsidP="00046D6B">
      <w:r>
        <w:t>Andelen som gjennomfører doktorgrad innen seks år etter oppstart, har vært stabilt over tid. Til tross for pandemi gikk andelen bare marginalt tilbake fra 2021 til 2022. Dersom antakelsen om at pandemien ligger bak nedgangen i antall doktorgrader gjennom forsinkelse og utsettelse, må vi imidlertid vente at gjennomføringstallene i noe tid framover vil kunne reflektere problemene pandemien medførte. I årets tilstandsrapport har vi med data fra den nyetablerte Forskerrekru</w:t>
      </w:r>
      <w:r w:rsidR="008D7E7B">
        <w:t>t</w:t>
      </w:r>
      <w:r>
        <w:t>teringsmonitoren fra SSB</w:t>
      </w:r>
      <w:r w:rsidR="00567922">
        <w:t xml:space="preserve">. Her vises </w:t>
      </w:r>
      <w:r w:rsidR="009003AC">
        <w:t>sysselsetting</w:t>
      </w:r>
      <w:r w:rsidR="00AE77F7">
        <w:t xml:space="preserve">sstatus </w:t>
      </w:r>
      <w:r w:rsidR="00CF6D1A">
        <w:t xml:space="preserve">per 2021 </w:t>
      </w:r>
      <w:r w:rsidR="00AE77F7">
        <w:t xml:space="preserve">for </w:t>
      </w:r>
      <w:r w:rsidR="002062C5">
        <w:t xml:space="preserve">personer som avla doktorgrad mellom </w:t>
      </w:r>
      <w:r w:rsidR="001F3F71">
        <w:t>2013 og 2021</w:t>
      </w:r>
      <w:r w:rsidR="00440C71">
        <w:t xml:space="preserve"> samlet. </w:t>
      </w:r>
      <w:r>
        <w:t>Den viser at om lag halvparten av</w:t>
      </w:r>
      <w:r w:rsidR="0071565C">
        <w:t xml:space="preserve"> de</w:t>
      </w:r>
      <w:r>
        <w:t xml:space="preserve"> norske statsborger</w:t>
      </w:r>
      <w:r w:rsidR="0071565C">
        <w:t xml:space="preserve">ne </w:t>
      </w:r>
      <w:r>
        <w:t>arbeidet i universitets- og høyskolesektoren eller instituttsektoren. Den største forskjellen til utenlandske statsborgere er at mange av dem har forlatt landet, kanskje så mange som nesten halvparten.</w:t>
      </w:r>
    </w:p>
    <w:p w14:paraId="3A987C58" w14:textId="2C2B33B1" w:rsidR="00046D6B" w:rsidRDefault="00046D6B" w:rsidP="00046D6B">
      <w:r>
        <w:t>Det lange tidsperspektivet i publiseringsprosessen gjør at den reduserte tidsbruken på forskning under pandemien først i 2022 kan leses av i publiseringsstatistikken. Mens veksten i publiseringspoeng fortsatte</w:t>
      </w:r>
      <w:r w:rsidR="00ED1202">
        <w:t xml:space="preserve"> i</w:t>
      </w:r>
      <w:r>
        <w:t xml:space="preserve"> 2021, sank antallet i 2022 til noe over nivået for 2020. Nedgangen var imidlertid ikke jevnt fordelt mellom institusjonene. Institusjoner med eksplisitte mål om å øke omfanget av publisering ser ut til å være overrepresentert blant institusjoner som ikke hadde nedgang i publiseringspoeng.</w:t>
      </w:r>
    </w:p>
    <w:p w14:paraId="06E72027" w14:textId="2089F554" w:rsidR="00046D6B" w:rsidRDefault="00573316" w:rsidP="00046D6B">
      <w:r>
        <w:t xml:space="preserve">Også i 2022 ser vi en svak </w:t>
      </w:r>
      <w:r w:rsidR="00591338">
        <w:t xml:space="preserve">økning i andelen åpne </w:t>
      </w:r>
      <w:r w:rsidR="00046D6B">
        <w:t>publikasjoner</w:t>
      </w:r>
      <w:r w:rsidR="00591338">
        <w:t>.</w:t>
      </w:r>
      <w:r w:rsidR="00046D6B">
        <w:t xml:space="preserve"> En rask nedgang i andelen ikke-åpne artikler i starten av siste tiårsperiode er avløst av en mer langsom utvikling der denne andelen avtar saktere enn før. Det er trolig mer krevende å få til åpen publisering på de resterende lukkede publikasjonene. Regjeringens mål er full åpen tilgang innen 2024.</w:t>
      </w:r>
    </w:p>
    <w:p w14:paraId="18AB2179" w14:textId="6064A61D" w:rsidR="00B84A40" w:rsidRDefault="00AD18FF" w:rsidP="00046D6B">
      <w:r>
        <w:t xml:space="preserve">Samfunnsvitenskap er det fagområdet som har hatt </w:t>
      </w:r>
      <w:r w:rsidR="00AA21FC">
        <w:t>sterkest relativ vekst i driftsutgift</w:t>
      </w:r>
      <w:r w:rsidR="00380368">
        <w:t>ene de siste årene.</w:t>
      </w:r>
      <w:r w:rsidR="00CC22A0">
        <w:t xml:space="preserve"> </w:t>
      </w:r>
      <w:r w:rsidR="00393FF0">
        <w:t>Nesten like stor vekst har medisin og helse hatt, dersom vi ser på perioden tilbake til 2001.</w:t>
      </w:r>
      <w:r w:rsidR="004421A7">
        <w:t xml:space="preserve"> </w:t>
      </w:r>
      <w:r w:rsidR="001256A6">
        <w:t>I d</w:t>
      </w:r>
      <w:r w:rsidR="004421A7">
        <w:t>e</w:t>
      </w:r>
      <w:r w:rsidR="008C7067">
        <w:t xml:space="preserve">n </w:t>
      </w:r>
      <w:r w:rsidR="006C33E7">
        <w:t>siste toårsp</w:t>
      </w:r>
      <w:r w:rsidR="00D959A0">
        <w:t>erioden (2019</w:t>
      </w:r>
      <w:r w:rsidR="001E6988">
        <w:t>–</w:t>
      </w:r>
      <w:r w:rsidR="00D959A0">
        <w:t xml:space="preserve">2021) </w:t>
      </w:r>
      <w:r w:rsidR="00937A58">
        <w:t xml:space="preserve">har </w:t>
      </w:r>
      <w:r w:rsidR="00A616EB">
        <w:t xml:space="preserve">medisin og helse derimot hatt en </w:t>
      </w:r>
      <w:r w:rsidR="00A50143">
        <w:t>ør</w:t>
      </w:r>
      <w:r w:rsidR="00A616EB">
        <w:t>liten</w:t>
      </w:r>
      <w:r w:rsidR="007F3C33">
        <w:t xml:space="preserve"> </w:t>
      </w:r>
      <w:r w:rsidR="00FF4DE7">
        <w:t xml:space="preserve">relativ </w:t>
      </w:r>
      <w:r w:rsidR="007F3C33">
        <w:t xml:space="preserve">nedgang </w:t>
      </w:r>
      <w:r w:rsidR="00FC0FC1">
        <w:t>i drifts</w:t>
      </w:r>
      <w:r w:rsidR="00FF3DC9">
        <w:t>utgifter.</w:t>
      </w:r>
      <w:r w:rsidR="007C53C2">
        <w:t xml:space="preserve"> </w:t>
      </w:r>
      <w:r w:rsidR="009A6FF0">
        <w:t>Det kan virke overraskende i lys av pandemien</w:t>
      </w:r>
      <w:r w:rsidR="00E55AEC">
        <w:t>, men t</w:t>
      </w:r>
      <w:r w:rsidR="007C53C2">
        <w:t xml:space="preserve">rolig kan </w:t>
      </w:r>
      <w:proofErr w:type="spellStart"/>
      <w:r w:rsidR="00E55AEC">
        <w:t>T</w:t>
      </w:r>
      <w:r w:rsidR="007C53C2">
        <w:t>idsbrukundersøkelsen</w:t>
      </w:r>
      <w:proofErr w:type="spellEnd"/>
      <w:r w:rsidR="007C53C2">
        <w:t xml:space="preserve"> være med å forklare utvikl</w:t>
      </w:r>
      <w:r w:rsidR="00363EF9">
        <w:t>ingen</w:t>
      </w:r>
      <w:r w:rsidR="007C53C2">
        <w:t>. Forskere innenfor medisin og helsefag hadde den største nedgangen i oppgitt tidsbruk til FoU</w:t>
      </w:r>
      <w:r w:rsidR="00363EF9">
        <w:t>.</w:t>
      </w:r>
      <w:r w:rsidR="00A616EB">
        <w:t xml:space="preserve"> </w:t>
      </w:r>
      <w:r w:rsidR="00861BEF">
        <w:t xml:space="preserve">Driftsutgiftene til </w:t>
      </w:r>
      <w:proofErr w:type="spellStart"/>
      <w:r w:rsidR="00602373">
        <w:t>M</w:t>
      </w:r>
      <w:r w:rsidR="00F032F9">
        <w:t>NT</w:t>
      </w:r>
      <w:proofErr w:type="spellEnd"/>
      <w:r w:rsidR="00F032F9">
        <w:t xml:space="preserve">-fag </w:t>
      </w:r>
      <w:r w:rsidR="00165377">
        <w:t>har</w:t>
      </w:r>
      <w:r w:rsidR="0034714A">
        <w:t xml:space="preserve"> på sin side</w:t>
      </w:r>
      <w:r w:rsidR="00D4145A">
        <w:t xml:space="preserve"> </w:t>
      </w:r>
      <w:r w:rsidR="00217573">
        <w:t>samlet</w:t>
      </w:r>
      <w:r w:rsidR="00D4145A">
        <w:t xml:space="preserve"> sett</w:t>
      </w:r>
      <w:r w:rsidR="00861BEF">
        <w:t xml:space="preserve"> vokst </w:t>
      </w:r>
      <w:r w:rsidR="00330DC3">
        <w:t>litt mindre</w:t>
      </w:r>
      <w:r w:rsidR="00800589">
        <w:t xml:space="preserve"> enn</w:t>
      </w:r>
      <w:r w:rsidR="00861BEF">
        <w:t xml:space="preserve"> de </w:t>
      </w:r>
      <w:r w:rsidR="000D6D32">
        <w:t>totale</w:t>
      </w:r>
      <w:r w:rsidR="00861BEF">
        <w:t xml:space="preserve"> d</w:t>
      </w:r>
      <w:r w:rsidR="00926687">
        <w:t xml:space="preserve">riftsutgiftene </w:t>
      </w:r>
      <w:r w:rsidR="00800589">
        <w:t>f</w:t>
      </w:r>
      <w:r w:rsidR="00926687">
        <w:t>or alle fagområder</w:t>
      </w:r>
      <w:r w:rsidR="00800589">
        <w:t xml:space="preserve"> </w:t>
      </w:r>
      <w:r w:rsidR="00DA72B3">
        <w:t>i perioden fra</w:t>
      </w:r>
      <w:r w:rsidR="00800589">
        <w:t xml:space="preserve"> 2001, </w:t>
      </w:r>
      <w:r w:rsidR="00E11800">
        <w:t>men</w:t>
      </w:r>
      <w:r w:rsidR="00854925">
        <w:t xml:space="preserve"> siden 2015</w:t>
      </w:r>
      <w:r w:rsidR="000359B7">
        <w:t xml:space="preserve"> har </w:t>
      </w:r>
      <w:proofErr w:type="spellStart"/>
      <w:r w:rsidR="000359B7">
        <w:t>MNT</w:t>
      </w:r>
      <w:proofErr w:type="spellEnd"/>
      <w:r w:rsidR="000359B7">
        <w:t xml:space="preserve"> </w:t>
      </w:r>
      <w:r w:rsidR="000D6D32">
        <w:t>vokst</w:t>
      </w:r>
      <w:r w:rsidR="00E11800">
        <w:t xml:space="preserve"> </w:t>
      </w:r>
      <w:r w:rsidR="009F48E7">
        <w:t xml:space="preserve">litt mer </w:t>
      </w:r>
      <w:r w:rsidR="000D6D32">
        <w:t>enn de totale driftsutgiftene</w:t>
      </w:r>
      <w:r w:rsidR="0064167D">
        <w:t>.</w:t>
      </w:r>
    </w:p>
    <w:p w14:paraId="1EC49451" w14:textId="5A0662F5" w:rsidR="00046D6B" w:rsidRDefault="00046D6B" w:rsidP="00046D6B">
      <w:r>
        <w:t xml:space="preserve">Samlet sett utgjorde Forskningsrådets finansiering av forskning ved universiteter og høyskoler 4,3 milliarder kroner i 2022, en nominell vekst på 12 prosent sammenliknet med året før. Det er institusjoner dominert av tradisjonelt forskningstunge fagområder og som har høy andel ansatte med forskerkompetanse som har størst inntekter fra Forskningsrådet. Høyest inntekt fra Forskningsrådet per faglig årsverk hadde </w:t>
      </w:r>
      <w:proofErr w:type="spellStart"/>
      <w:r>
        <w:t>NMBU</w:t>
      </w:r>
      <w:proofErr w:type="spellEnd"/>
      <w:r>
        <w:t xml:space="preserve"> med 320 000 kroner, fulgt av UiO med 311 000. Også UiB og NTNU hadde inntekter over 200 000 kroner fra Forskningsrådet per faglig årsverk.</w:t>
      </w:r>
    </w:p>
    <w:p w14:paraId="767A9CB2" w14:textId="77777777" w:rsidR="00046D6B" w:rsidRDefault="00046D6B" w:rsidP="00046D6B">
      <w:r>
        <w:t xml:space="preserve">Tildelinger fra EU utgjorde i 2022 ifølge regnskapene for første gang i overkant av en milliard kroner for norske universiteter og høyskoler, en økning på hele 26 prosent fra året </w:t>
      </w:r>
      <w:r>
        <w:lastRenderedPageBreak/>
        <w:t>før. Hovedtyngden er tildelinger fra EUs program for forskning og innovasjon, Horisont Europa. Forholdet mellom institusjonene i tilgangen på EU-midler er i hovedsak det samme som for tildelinger fra Forskningsrådet, men dominansen til de mest forskningstunge institusjonene er her enda sterkere.</w:t>
      </w:r>
    </w:p>
    <w:p w14:paraId="58DA5E7C" w14:textId="2F291C55" w:rsidR="00046D6B" w:rsidRDefault="00046D6B" w:rsidP="00046D6B">
      <w:r>
        <w:t>Det var vært forsinkelser i rapporteringen om tildelinger fra Horisont Europa for 2022. Tallene i årets tilstandsrapport er derfor i stor grad foreløpige. Norske universiteter og høyskoler så langt har mottatt 122 millioner euro fra Horisont Europa.</w:t>
      </w:r>
      <w:r w:rsidR="00087EB2">
        <w:t xml:space="preserve"> Foreløpige tall fra </w:t>
      </w:r>
      <w:r>
        <w:t>desember 2022</w:t>
      </w:r>
      <w:r w:rsidR="00087EB2">
        <w:t xml:space="preserve"> indiker</w:t>
      </w:r>
      <w:r w:rsidR="00891214">
        <w:t>er en</w:t>
      </w:r>
      <w:r>
        <w:t xml:space="preserve"> norsk returandel</w:t>
      </w:r>
      <w:r w:rsidR="00891214">
        <w:t xml:space="preserve"> </w:t>
      </w:r>
      <w:r>
        <w:t xml:space="preserve">på 3,35 prosent, </w:t>
      </w:r>
      <w:r w:rsidR="00C80C15">
        <w:t>det er klart høyere enn tidligere.</w:t>
      </w:r>
    </w:p>
    <w:p w14:paraId="4C67A4C5" w14:textId="77777777" w:rsidR="00046D6B" w:rsidRDefault="00046D6B" w:rsidP="00046D6B">
      <w:r>
        <w:t>Annen bidrags- og oppdragsfinansiering utgjorde 5,1 milliarder for universiteter og høyskoler i 2022, en nominell vekst på 23 prosent fra 2021. Disse inntektene representerte 9 prosent av driftsinntektene for statlige institusjoner og 200 000 kroner per faglig årsverk. Variasjonen mellom de statlige institusjonene er i hovedsak mindre enn for finansiering fra Forskningsrådet eller fra EU.</w:t>
      </w:r>
    </w:p>
    <w:p w14:paraId="6E15061B" w14:textId="7C66D533" w:rsidR="003B14F8" w:rsidRDefault="00046D6B" w:rsidP="00046D6B">
      <w:r>
        <w:t>I graden av sikring av arealer og samlinger eller objekter ved landets seks universitetsmuseer, er risiko for vannskade fremdeles den største utfordringen for de fleste museene. Situasjonen for UiOs kulturhistoriske samlinger ventes bedret i løpet av 2023. Arbeidet med å samle disse</w:t>
      </w:r>
      <w:r w:rsidR="00860178">
        <w:t xml:space="preserve"> </w:t>
      </w:r>
      <w:r>
        <w:t>ble utsatt som følge av pandemien, men er ventet fullført</w:t>
      </w:r>
      <w:r w:rsidR="00860178">
        <w:t xml:space="preserve"> i</w:t>
      </w:r>
      <w:r>
        <w:t xml:space="preserve"> 2023.</w:t>
      </w:r>
    </w:p>
    <w:p w14:paraId="49056C8E" w14:textId="77777777" w:rsidR="008742F2" w:rsidRDefault="008742F2" w:rsidP="00046D6B"/>
    <w:p w14:paraId="37B4D8A7" w14:textId="36BF34DD" w:rsidR="00843754" w:rsidRDefault="004A2C0E" w:rsidP="00AE4B98">
      <w:pPr>
        <w:pStyle w:val="Overskrift3"/>
      </w:pPr>
      <w:bookmarkStart w:id="17" w:name="_Toc134792715"/>
      <w:r>
        <w:t>Styring</w:t>
      </w:r>
      <w:r w:rsidR="00D52220">
        <w:t>,</w:t>
      </w:r>
      <w:r>
        <w:t xml:space="preserve"> økonomi og personal</w:t>
      </w:r>
      <w:bookmarkEnd w:id="17"/>
    </w:p>
    <w:p w14:paraId="3FBEE509" w14:textId="41968962" w:rsidR="00F411D4" w:rsidRDefault="00F411D4" w:rsidP="00F411D4">
      <w:r>
        <w:t xml:space="preserve">Når </w:t>
      </w:r>
      <w:proofErr w:type="spellStart"/>
      <w:r>
        <w:t>K</w:t>
      </w:r>
      <w:r w:rsidR="006D558F">
        <w:t>HiO</w:t>
      </w:r>
      <w:proofErr w:type="spellEnd"/>
      <w:r>
        <w:t xml:space="preserve"> ansetter ny rektor høsten 2023, vil 13 av 21 statlige høyskoler og universiteter ha ansatt rektor og ekstern styreleder. De resterende 8 har valgt rektor som styreleder.</w:t>
      </w:r>
    </w:p>
    <w:p w14:paraId="196553A1" w14:textId="6678533D" w:rsidR="00F411D4" w:rsidRDefault="00F411D4" w:rsidP="00F411D4">
      <w:r>
        <w:t>De samlede driftsinntektene til universiteter og høyskoler var i 2022 på noe over 58 milliarder kroner, mot 55 milliarder kroner i 2021 og 52 milliarder i 2020. Inntektenes fordeling på kilder har vært temmelig stabil siste ti år, men i 2022 falt statlige bevilgningers andel med to prosentpoeng, til 77 prosent. For private institusjoner utgjorde statstilskudd i 2022 42 prosent, mot 41 prosent året før. Andelen har vært stabil i tiårsperioden</w:t>
      </w:r>
      <w:r w:rsidR="0063535D">
        <w:t>, men her er forskjellene svært store mellom institusjonene.</w:t>
      </w:r>
    </w:p>
    <w:p w14:paraId="5F45F44B" w14:textId="7558F4A8" w:rsidR="00F411D4" w:rsidRDefault="00F411D4" w:rsidP="00F411D4">
      <w:r>
        <w:t>For statlige institusjoner har finansiering fra Forskningsrådet og annen bidrags- og oppdragsfinansiering utgjort de største postene utenom statstilskudd. I 2021 utgjorde inntekter fra Forskningsrådet 8 prosent og annen bidrags og oppdragsfinansiering 9 prosent. Det siste var ett prosentpoeng høyere enn i 2021. For private institusjoner er «andre inntekter»</w:t>
      </w:r>
      <w:r w:rsidR="00C06C0B">
        <w:t>, som studieavgifter,</w:t>
      </w:r>
      <w:r>
        <w:t xml:space="preserve"> den største enkeltposten, og omfattet 51 prosent av inntektene i 2022.</w:t>
      </w:r>
    </w:p>
    <w:p w14:paraId="19B9D2EA" w14:textId="77777777" w:rsidR="00F411D4" w:rsidRDefault="00F411D4" w:rsidP="00F411D4">
      <w:r>
        <w:t>Andelen faglige ansatte i førstestillinger har ligget på 76 prosent siden 2020 etter en økning fra 70 prosent i 2013. Målt i både antall og andel har særlig førsteamanuensisstillingene økt i denne perioden, også etter 2020. Veksten i førstestillinger har i den siste tiårsperioden særlig kommet på nye universiteter og høyskoler med universitetsambisjoner. Ved slike institusjoner er det i mange tilfeller stor forskjell mellom fagområder, der helse og sosialfag skiller seg ut med lav andel førstekompetanse.</w:t>
      </w:r>
    </w:p>
    <w:p w14:paraId="08DD238B" w14:textId="0F9F845D" w:rsidR="00F411D4" w:rsidRDefault="00F411D4" w:rsidP="00F411D4">
      <w:r>
        <w:t xml:space="preserve">Forholdet mellom faglige og administrative stillinger ved statlige institusjoner har vært nesten uendret de siste fem årene. Det er store forskjeller mellom institusjonene, </w:t>
      </w:r>
      <w:r w:rsidR="000C33DA">
        <w:t xml:space="preserve">noe </w:t>
      </w:r>
      <w:r>
        <w:t xml:space="preserve">som trolig delvis skyldes egenskaper </w:t>
      </w:r>
      <w:r w:rsidR="00F36CE4">
        <w:t xml:space="preserve">ved </w:t>
      </w:r>
      <w:r>
        <w:t>virksomheten og utdanningstilbudet ved institusjonene.</w:t>
      </w:r>
    </w:p>
    <w:p w14:paraId="26A93861" w14:textId="47718509" w:rsidR="00F411D4" w:rsidRDefault="00F411D4" w:rsidP="00F411D4">
      <w:r>
        <w:lastRenderedPageBreak/>
        <w:t>Kvinneandelen i faglige toppstillinger økte mer fra 2021 til 2022 enn de foregående årene. Andelen kvinner i faglige toppstillinger er imidlertid fortsatt betydelig lavere enn i andre faglige stillinger, og langt lavere enn kvinners andel av studentpopulasjonen. Samtidig er det naturlig at endring av kjønnsbalansen tar tid,</w:t>
      </w:r>
      <w:r w:rsidR="005733EB">
        <w:t xml:space="preserve"> siden</w:t>
      </w:r>
      <w:r>
        <w:t xml:space="preserve"> bedre balanse må komme gjennom tilsetting i stillinger som blir ledig etter avgang, gjennom opprykk eller gjennom tilsetting i nyopprettede stillinger.</w:t>
      </w:r>
    </w:p>
    <w:p w14:paraId="19FF7B01" w14:textId="44E4B382" w:rsidR="00F411D4" w:rsidRDefault="00F411D4" w:rsidP="00F411D4">
      <w:r>
        <w:t>Tendensen de siste årene har vært en nedgang i andelen midlertidige i undervisnings- og forskningsstillinger og administrative stillinger. For disse gruppene er det en klar nedgang fra 2021 til 2022. Andelen midlertidige i disse to stillingstypene er nå henholdsvis 11,8 og 9,8 prosent, det vil si 1,1 og 0,5 prosentpoeng lavere enn i 2021. For støttestillinger er tallene omtrent uendret siden 2021.</w:t>
      </w:r>
    </w:p>
    <w:p w14:paraId="7F9F42DE" w14:textId="1CA8729E" w:rsidR="00016CBB" w:rsidRDefault="00016CBB" w:rsidP="00AE4B98">
      <w:pPr>
        <w:pStyle w:val="Overskrift2"/>
      </w:pPr>
      <w:bookmarkStart w:id="18" w:name="_Toc134792716"/>
      <w:r>
        <w:t>Utdanning</w:t>
      </w:r>
      <w:bookmarkEnd w:id="18"/>
    </w:p>
    <w:p w14:paraId="3315B5E7" w14:textId="0DEB9EDA" w:rsidR="00016CBB" w:rsidRDefault="009631AF" w:rsidP="00E32F17">
      <w:r>
        <w:t>K</w:t>
      </w:r>
      <w:r w:rsidRPr="009631AF">
        <w:t>apit</w:t>
      </w:r>
      <w:r w:rsidR="000E5752">
        <w:t>te</w:t>
      </w:r>
      <w:r w:rsidRPr="009631AF">
        <w:t>let inneholder</w:t>
      </w:r>
      <w:r w:rsidR="00081255">
        <w:t xml:space="preserve"> blant annet</w:t>
      </w:r>
      <w:r w:rsidRPr="009631AF">
        <w:t xml:space="preserve"> data om</w:t>
      </w:r>
      <w:r w:rsidR="00584FDB" w:rsidDel="000E5752">
        <w:t xml:space="preserve"> </w:t>
      </w:r>
      <w:r w:rsidRPr="009631AF">
        <w:t xml:space="preserve">søkere, </w:t>
      </w:r>
      <w:r w:rsidR="00051BB4">
        <w:t>studentpopulasjon</w:t>
      </w:r>
      <w:r w:rsidRPr="009631AF">
        <w:t>, gjennomføring</w:t>
      </w:r>
      <w:r w:rsidR="00C22502">
        <w:t>,</w:t>
      </w:r>
      <w:r w:rsidR="00C22502" w:rsidRPr="00C22502">
        <w:t xml:space="preserve"> </w:t>
      </w:r>
      <w:r w:rsidR="00C22502">
        <w:t>tidsbruk</w:t>
      </w:r>
      <w:r w:rsidR="00081255">
        <w:t>,</w:t>
      </w:r>
      <w:r w:rsidRPr="009631AF">
        <w:t xml:space="preserve"> </w:t>
      </w:r>
      <w:r w:rsidR="00081255">
        <w:t xml:space="preserve">studenttilfredshet, tilpasning til arbeidsmarkedet, </w:t>
      </w:r>
      <w:r w:rsidRPr="009631AF">
        <w:t>og internasjonalisering av høyere utdanning. Noen tema er bare dekket i vedlegg</w:t>
      </w:r>
      <w:r w:rsidR="00B67398">
        <w:t xml:space="preserve">. </w:t>
      </w:r>
      <w:r w:rsidR="00B67398" w:rsidRPr="00854043">
        <w:t>D</w:t>
      </w:r>
      <w:r w:rsidRPr="00854043">
        <w:t xml:space="preserve">ette gjelder fordeling av studentene etter utdanningsnivå, </w:t>
      </w:r>
      <w:r w:rsidRPr="00CE5A5D">
        <w:t>karakterfordeling, strykprosent</w:t>
      </w:r>
      <w:r w:rsidR="00996FCB" w:rsidRPr="00CE5A5D">
        <w:t xml:space="preserve"> o</w:t>
      </w:r>
      <w:r w:rsidR="00E824C9" w:rsidRPr="00CE5A5D">
        <w:t>g</w:t>
      </w:r>
      <w:r w:rsidRPr="00CE5A5D">
        <w:t xml:space="preserve"> internasjonale </w:t>
      </w:r>
      <w:proofErr w:type="spellStart"/>
      <w:r w:rsidRPr="00CE5A5D">
        <w:t>fellesgrader</w:t>
      </w:r>
      <w:proofErr w:type="spellEnd"/>
      <w:r w:rsidRPr="00CE5A5D">
        <w:t>.</w:t>
      </w:r>
      <w:r w:rsidRPr="009631AF">
        <w:t xml:space="preserve"> Vedlegget inneholder også detaljerte tabeller om de temaene som dekkes i hovedrapporten, for eksempel institusjonsvise tall og utvikling over tid.</w:t>
      </w:r>
    </w:p>
    <w:p w14:paraId="621D1AC8" w14:textId="22F0D2D9" w:rsidR="00016CBB" w:rsidRDefault="00016CBB" w:rsidP="00AE4B98">
      <w:pPr>
        <w:pStyle w:val="Overskrift3"/>
      </w:pPr>
      <w:bookmarkStart w:id="19" w:name="_Ref126927338"/>
      <w:bookmarkStart w:id="20" w:name="_Ref126927345"/>
      <w:bookmarkStart w:id="21" w:name="_Ref127475187"/>
      <w:bookmarkStart w:id="22" w:name="_Toc134792717"/>
      <w:r>
        <w:t>Søkere</w:t>
      </w:r>
      <w:bookmarkEnd w:id="19"/>
      <w:bookmarkEnd w:id="20"/>
      <w:bookmarkEnd w:id="21"/>
      <w:bookmarkEnd w:id="22"/>
    </w:p>
    <w:p w14:paraId="4365ED2D" w14:textId="5A59F8FC" w:rsidR="00EA18E5" w:rsidRDefault="00D00A61" w:rsidP="00A4324C">
      <w:r>
        <w:t xml:space="preserve">De siste årene har det vært </w:t>
      </w:r>
      <w:r w:rsidR="00512787">
        <w:t xml:space="preserve">stor </w:t>
      </w:r>
      <w:r w:rsidR="00FE4DEA">
        <w:t>fluktuasjon</w:t>
      </w:r>
      <w:r w:rsidR="00512787">
        <w:t xml:space="preserve"> i</w:t>
      </w:r>
      <w:r w:rsidR="00DF6E93">
        <w:t xml:space="preserve"> </w:t>
      </w:r>
      <w:r w:rsidR="00AB3306">
        <w:t>søkertallene</w:t>
      </w:r>
      <w:r w:rsidR="00DF6E93">
        <w:t xml:space="preserve"> til universiteter og høyskoler</w:t>
      </w:r>
      <w:r w:rsidR="00DF6E93" w:rsidRPr="007217C2">
        <w:t>.</w:t>
      </w:r>
      <w:r w:rsidR="00EE2199" w:rsidRPr="00EE2199">
        <w:rPr>
          <w:rFonts w:ascii="Arial" w:hAnsi="Arial" w:cs="Arial"/>
          <w:b/>
          <w:bCs/>
          <w:color w:val="000000"/>
        </w:rPr>
        <w:t xml:space="preserve"> </w:t>
      </w:r>
      <w:r w:rsidR="0066429B" w:rsidRPr="007217C2">
        <w:t>Etter</w:t>
      </w:r>
      <w:r w:rsidR="008F71A0" w:rsidRPr="007217C2">
        <w:t xml:space="preserve"> en gradvis økning </w:t>
      </w:r>
      <w:r w:rsidR="009125A9" w:rsidRPr="007217C2">
        <w:t xml:space="preserve">over mange år, gikk </w:t>
      </w:r>
      <w:r w:rsidR="00D5616F" w:rsidRPr="007217C2">
        <w:t xml:space="preserve">antallet kvalifiserte </w:t>
      </w:r>
      <w:proofErr w:type="spellStart"/>
      <w:r w:rsidR="00D5616F" w:rsidRPr="007217C2">
        <w:t>førstevalgssøkere</w:t>
      </w:r>
      <w:proofErr w:type="spellEnd"/>
      <w:r w:rsidR="00D53358" w:rsidRPr="007217C2">
        <w:t xml:space="preserve"> ned</w:t>
      </w:r>
      <w:r w:rsidR="00564CB2" w:rsidRPr="007217C2">
        <w:t xml:space="preserve"> med </w:t>
      </w:r>
      <w:r w:rsidR="00AD75B4">
        <w:t>4</w:t>
      </w:r>
      <w:r w:rsidR="00564CB2" w:rsidRPr="007217C2">
        <w:t xml:space="preserve"> prosent</w:t>
      </w:r>
      <w:r w:rsidR="00D53358" w:rsidRPr="007217C2">
        <w:t xml:space="preserve"> i 2019, </w:t>
      </w:r>
      <w:r w:rsidR="008E1056" w:rsidRPr="007217C2">
        <w:t>deretter</w:t>
      </w:r>
      <w:r w:rsidR="002D3275" w:rsidRPr="007217C2">
        <w:t xml:space="preserve"> </w:t>
      </w:r>
      <w:r w:rsidR="00564CB2" w:rsidRPr="007217C2">
        <w:t xml:space="preserve">opp med </w:t>
      </w:r>
      <w:r w:rsidR="00A553D2">
        <w:t>13</w:t>
      </w:r>
      <w:r w:rsidR="00F6407C" w:rsidRPr="007217C2">
        <w:t xml:space="preserve"> prosent i 2020</w:t>
      </w:r>
      <w:r w:rsidR="006626A6" w:rsidRPr="007217C2">
        <w:t xml:space="preserve">, </w:t>
      </w:r>
      <w:r w:rsidR="008E1056" w:rsidRPr="007217C2">
        <w:t>og</w:t>
      </w:r>
      <w:r w:rsidR="006626A6" w:rsidRPr="007217C2">
        <w:t xml:space="preserve"> </w:t>
      </w:r>
      <w:r w:rsidR="007E78AF" w:rsidRPr="007217C2">
        <w:t xml:space="preserve">ytterligere svakt </w:t>
      </w:r>
      <w:r w:rsidR="006626A6" w:rsidRPr="007217C2">
        <w:t xml:space="preserve">opp </w:t>
      </w:r>
      <w:r w:rsidR="00200AE5" w:rsidRPr="007217C2">
        <w:t xml:space="preserve">knappe </w:t>
      </w:r>
      <w:r w:rsidR="00E43AC7">
        <w:t>2</w:t>
      </w:r>
      <w:r w:rsidR="00200AE5" w:rsidRPr="007217C2">
        <w:t xml:space="preserve"> prosent i 2021. </w:t>
      </w:r>
      <w:r w:rsidR="00E43B64">
        <w:t xml:space="preserve">Dette går fram av </w:t>
      </w:r>
      <w:proofErr w:type="spellStart"/>
      <w:r w:rsidR="00E43B64">
        <w:t>vedleggstabell</w:t>
      </w:r>
      <w:proofErr w:type="spellEnd"/>
      <w:r w:rsidR="00E43B64">
        <w:t xml:space="preserve"> </w:t>
      </w:r>
      <w:hyperlink r:id="rId13" w:history="1">
        <w:r w:rsidR="001E5F66" w:rsidRPr="001E5F66">
          <w:rPr>
            <w:rStyle w:val="Hyperkobling"/>
          </w:rPr>
          <w:t>V2.4</w:t>
        </w:r>
      </w:hyperlink>
      <w:r w:rsidR="00E43B64">
        <w:t xml:space="preserve">, som viser </w:t>
      </w:r>
      <w:r w:rsidR="00E43B64" w:rsidRPr="008B735D">
        <w:t xml:space="preserve">antall </w:t>
      </w:r>
      <w:proofErr w:type="spellStart"/>
      <w:r w:rsidR="00E43B64" w:rsidRPr="008B735D">
        <w:t>førstevalgssøkere</w:t>
      </w:r>
      <w:proofErr w:type="spellEnd"/>
      <w:r w:rsidR="00E43B64" w:rsidRPr="008B735D">
        <w:t xml:space="preserve"> per institusjon </w:t>
      </w:r>
      <w:r w:rsidR="00E43B64">
        <w:t xml:space="preserve">i perioden </w:t>
      </w:r>
      <w:r w:rsidR="00E43B64" w:rsidRPr="008B735D">
        <w:t>2013–22</w:t>
      </w:r>
      <w:r w:rsidR="00E43B64">
        <w:t>.</w:t>
      </w:r>
    </w:p>
    <w:p w14:paraId="355B3F30" w14:textId="11667AA2" w:rsidR="00241840" w:rsidRDefault="00C953BA" w:rsidP="00A4324C">
      <w:r w:rsidRPr="007217C2">
        <w:t xml:space="preserve">I 2022 </w:t>
      </w:r>
      <w:r w:rsidR="00365406" w:rsidRPr="007217C2">
        <w:t>peker tallene</w:t>
      </w:r>
      <w:r w:rsidR="001402E9" w:rsidRPr="007217C2">
        <w:t xml:space="preserve"> </w:t>
      </w:r>
      <w:r w:rsidR="007C6332" w:rsidRPr="007217C2">
        <w:t xml:space="preserve">igjen </w:t>
      </w:r>
      <w:r w:rsidR="001402E9" w:rsidRPr="007217C2">
        <w:t>ned</w:t>
      </w:r>
      <w:r w:rsidR="00A910A3" w:rsidRPr="007217C2">
        <w:t>over</w:t>
      </w:r>
      <w:r w:rsidR="00D16EA8" w:rsidRPr="007217C2">
        <w:t>,</w:t>
      </w:r>
      <w:r w:rsidR="000C23E2" w:rsidRPr="007217C2">
        <w:t xml:space="preserve"> </w:t>
      </w:r>
      <w:r w:rsidR="00A910A3" w:rsidRPr="007217C2">
        <w:t xml:space="preserve">med et fall på </w:t>
      </w:r>
      <w:r w:rsidR="004961AE" w:rsidRPr="007217C2">
        <w:t>16</w:t>
      </w:r>
      <w:r w:rsidR="000E2CAB">
        <w:t> </w:t>
      </w:r>
      <w:r w:rsidR="004961AE" w:rsidRPr="007217C2">
        <w:t xml:space="preserve">000 søkere, eller </w:t>
      </w:r>
      <w:r w:rsidR="007A1556">
        <w:t>12</w:t>
      </w:r>
      <w:r w:rsidR="000C23E2" w:rsidRPr="007217C2">
        <w:t xml:space="preserve"> prosent </w:t>
      </w:r>
      <w:r w:rsidR="0072277A" w:rsidRPr="007217C2">
        <w:t>fra</w:t>
      </w:r>
      <w:r w:rsidR="00D83715" w:rsidRPr="007217C2">
        <w:t xml:space="preserve"> året før</w:t>
      </w:r>
      <w:r w:rsidR="00A910A3" w:rsidRPr="007217C2">
        <w:t>.</w:t>
      </w:r>
      <w:r w:rsidR="00A910A3">
        <w:t xml:space="preserve"> </w:t>
      </w:r>
      <w:r w:rsidR="00065F55" w:rsidRPr="00065F55">
        <w:t xml:space="preserve">I overkant av 114 000 kvalifiserte </w:t>
      </w:r>
      <w:proofErr w:type="spellStart"/>
      <w:r w:rsidR="00065F55" w:rsidRPr="00065F55">
        <w:t>førstevalgssøkere</w:t>
      </w:r>
      <w:proofErr w:type="spellEnd"/>
      <w:r w:rsidR="00065F55" w:rsidRPr="00065F55">
        <w:t xml:space="preserve"> ønsket seg til høyere utdanning i 2022.</w:t>
      </w:r>
      <w:r w:rsidR="00EA18E5">
        <w:t xml:space="preserve"> </w:t>
      </w:r>
      <w:r w:rsidR="00FE7BBF" w:rsidRPr="00FE7BBF">
        <w:t xml:space="preserve">Variasjonen i søkertall </w:t>
      </w:r>
      <w:r w:rsidR="00B16214">
        <w:t xml:space="preserve">de siste par årene </w:t>
      </w:r>
      <w:r w:rsidR="00FE7BBF" w:rsidRPr="00FE7BBF">
        <w:t xml:space="preserve">må ses i lys av koronapandemien og dens effekt på arbeidsmarked, sysselsetting, og muligheter for å studere i utlandet. Med åpne landegrenser og svært høy etterspørsel etter arbeidskraft er </w:t>
      </w:r>
      <w:r w:rsidR="00E12FE0">
        <w:t>s</w:t>
      </w:r>
      <w:r w:rsidR="00BD09CD" w:rsidRPr="00BD09CD">
        <w:t xml:space="preserve">økertallene </w:t>
      </w:r>
      <w:r w:rsidR="00E12FE0">
        <w:t xml:space="preserve">omtrent </w:t>
      </w:r>
      <w:r w:rsidR="00BD09CD" w:rsidRPr="00BD09CD">
        <w:t xml:space="preserve">tilbake på nivået før pandemien. </w:t>
      </w:r>
      <w:r w:rsidR="001E2A5B">
        <w:t>Dette er som</w:t>
      </w:r>
      <w:r w:rsidR="001E2A5B" w:rsidRPr="001E2A5B">
        <w:t xml:space="preserve"> forventet</w:t>
      </w:r>
      <w:r w:rsidR="001E2A5B">
        <w:t xml:space="preserve">. </w:t>
      </w:r>
      <w:r w:rsidR="004260A2" w:rsidRPr="004260A2">
        <w:t>Totalt har de statlige institusjonene 1</w:t>
      </w:r>
      <w:r w:rsidR="003E3B90">
        <w:t> </w:t>
      </w:r>
      <w:r w:rsidR="004260A2" w:rsidRPr="004260A2">
        <w:t xml:space="preserve">500 flere </w:t>
      </w:r>
      <w:r w:rsidR="00DB1F10">
        <w:t xml:space="preserve">kvalifiserte </w:t>
      </w:r>
      <w:proofErr w:type="spellStart"/>
      <w:r w:rsidR="00DB1F10">
        <w:t>førstevalg</w:t>
      </w:r>
      <w:r w:rsidR="006223E5">
        <w:t>s</w:t>
      </w:r>
      <w:r w:rsidR="004260A2" w:rsidRPr="004260A2">
        <w:t>søkere</w:t>
      </w:r>
      <w:proofErr w:type="spellEnd"/>
      <w:r w:rsidR="004260A2" w:rsidRPr="004260A2">
        <w:t xml:space="preserve"> enn i 2019, mens de private </w:t>
      </w:r>
      <w:r w:rsidR="001B1B7B">
        <w:t xml:space="preserve">er tilbake på </w:t>
      </w:r>
      <w:r w:rsidR="004260A2" w:rsidRPr="004260A2">
        <w:t>om lag</w:t>
      </w:r>
      <w:r w:rsidR="001B1B7B">
        <w:t xml:space="preserve"> samme</w:t>
      </w:r>
      <w:r w:rsidR="00166444">
        <w:t xml:space="preserve"> </w:t>
      </w:r>
      <w:r w:rsidR="001B1B7B">
        <w:t xml:space="preserve">nivå som </w:t>
      </w:r>
      <w:r w:rsidR="004260A2" w:rsidRPr="004260A2">
        <w:t xml:space="preserve">i 2019. </w:t>
      </w:r>
    </w:p>
    <w:p w14:paraId="535E5D20" w14:textId="1267C658" w:rsidR="00BD1892" w:rsidRPr="00BD1892" w:rsidRDefault="7618B4B5" w:rsidP="00BD1892">
      <w:r>
        <w:t>Disse s</w:t>
      </w:r>
      <w:r w:rsidR="75A32366">
        <w:t xml:space="preserve">økertallene </w:t>
      </w:r>
      <w:r w:rsidR="758804DB">
        <w:t>omfatter opptak</w:t>
      </w:r>
      <w:r w:rsidR="6E552F6A">
        <w:t>ene</w:t>
      </w:r>
      <w:r w:rsidR="758804DB">
        <w:t xml:space="preserve"> </w:t>
      </w:r>
      <w:r w:rsidR="6E552F6A">
        <w:t>som foregår gjennom</w:t>
      </w:r>
      <w:r w:rsidR="758804DB">
        <w:t xml:space="preserve"> Samordna opptak </w:t>
      </w:r>
      <w:r w:rsidR="54CC0CE4">
        <w:t>(SO)</w:t>
      </w:r>
      <w:r w:rsidR="758804DB">
        <w:t xml:space="preserve">. </w:t>
      </w:r>
      <w:r w:rsidR="54CC0CE4">
        <w:t>SO</w:t>
      </w:r>
      <w:r w:rsidR="0027387F">
        <w:t xml:space="preserve"> håndterer </w:t>
      </w:r>
      <w:r w:rsidR="26AE5F2C">
        <w:t xml:space="preserve">i hovedregelen </w:t>
      </w:r>
      <w:r w:rsidR="0E899EFA">
        <w:t xml:space="preserve">opptak til </w:t>
      </w:r>
      <w:r w:rsidR="7BCFE6B9">
        <w:t>studier som</w:t>
      </w:r>
      <w:r w:rsidR="2D95A17B">
        <w:t xml:space="preserve"> </w:t>
      </w:r>
      <w:r w:rsidR="7BCFE6B9">
        <w:t>bygger</w:t>
      </w:r>
      <w:r w:rsidR="2D95A17B">
        <w:t xml:space="preserve"> på videregående opplæring</w:t>
      </w:r>
      <w:r w:rsidR="24D95074">
        <w:t>, såkalte grunnstudier</w:t>
      </w:r>
      <w:r w:rsidR="08023CE0">
        <w:t xml:space="preserve">, </w:t>
      </w:r>
      <w:r w:rsidR="26AE5F2C">
        <w:t xml:space="preserve">slik </w:t>
      </w:r>
      <w:r w:rsidR="08023CE0">
        <w:t>som</w:t>
      </w:r>
      <w:r w:rsidR="2D95A17B">
        <w:t xml:space="preserve"> bachelorstudier, årsstudier, integrerte femårige masterstudier og profesjonsstudier.</w:t>
      </w:r>
      <w:r w:rsidR="007635CA">
        <w:t xml:space="preserve"> I tillegg søker studenter og tas opp </w:t>
      </w:r>
      <w:r w:rsidR="00E13066">
        <w:t>til</w:t>
      </w:r>
      <w:r w:rsidR="2D95A17B">
        <w:t xml:space="preserve"> </w:t>
      </w:r>
      <w:r w:rsidR="00E13066">
        <w:t>l</w:t>
      </w:r>
      <w:r w:rsidR="758804DB">
        <w:t>okal</w:t>
      </w:r>
      <w:r w:rsidR="66D912BE">
        <w:t>e</w:t>
      </w:r>
      <w:r w:rsidR="758804DB">
        <w:t xml:space="preserve"> opptak</w:t>
      </w:r>
      <w:r w:rsidR="00E13066">
        <w:t>, som typisk</w:t>
      </w:r>
      <w:r w:rsidR="758804DB">
        <w:t xml:space="preserve"> </w:t>
      </w:r>
      <w:r w:rsidR="3DDB72A0">
        <w:t>omfatter</w:t>
      </w:r>
      <w:r w:rsidR="758804DB">
        <w:t xml:space="preserve"> videreutdanninger</w:t>
      </w:r>
      <w:r w:rsidR="620A6140">
        <w:t xml:space="preserve"> og</w:t>
      </w:r>
      <w:r w:rsidR="758804DB">
        <w:t xml:space="preserve"> masterprogrammer</w:t>
      </w:r>
      <w:r w:rsidR="6EBB2F09">
        <w:t>. De</w:t>
      </w:r>
      <w:r w:rsidR="758804DB">
        <w:t xml:space="preserve"> </w:t>
      </w:r>
      <w:r w:rsidR="6EBB2F09">
        <w:t xml:space="preserve">lokale opptakene </w:t>
      </w:r>
      <w:r w:rsidR="15F6E6AB">
        <w:t>omfatte</w:t>
      </w:r>
      <w:r w:rsidR="78E60FD2">
        <w:t>r også</w:t>
      </w:r>
      <w:r w:rsidR="758804DB">
        <w:t xml:space="preserve"> </w:t>
      </w:r>
      <w:r w:rsidR="09265D2E">
        <w:t xml:space="preserve">enkelte </w:t>
      </w:r>
      <w:r w:rsidR="758804DB">
        <w:t xml:space="preserve">grunnstudier </w:t>
      </w:r>
      <w:r w:rsidR="7DE36857">
        <w:t>med</w:t>
      </w:r>
      <w:r w:rsidR="758804DB">
        <w:t xml:space="preserve"> spesielle opptakskriterier og opptaksprøver</w:t>
      </w:r>
      <w:r w:rsidR="13F3759E">
        <w:t>,</w:t>
      </w:r>
      <w:r w:rsidR="09C8BB54">
        <w:t xml:space="preserve"> </w:t>
      </w:r>
      <w:r w:rsidR="39E4E4DC">
        <w:t>som</w:t>
      </w:r>
      <w:r w:rsidR="09C8BB54">
        <w:t xml:space="preserve"> </w:t>
      </w:r>
      <w:r w:rsidR="758804DB">
        <w:t>kunstutdanning</w:t>
      </w:r>
      <w:r w:rsidR="78D8A0BC">
        <w:t>er</w:t>
      </w:r>
      <w:r w:rsidR="40020945">
        <w:t>,</w:t>
      </w:r>
      <w:r w:rsidR="758804DB">
        <w:t xml:space="preserve"> </w:t>
      </w:r>
      <w:r w:rsidR="40020945">
        <w:t>samt</w:t>
      </w:r>
      <w:r w:rsidR="758804DB">
        <w:t xml:space="preserve"> opptak </w:t>
      </w:r>
      <w:r w:rsidR="09C8BB54">
        <w:t xml:space="preserve">til </w:t>
      </w:r>
      <w:r w:rsidR="40020945">
        <w:t>enkelte</w:t>
      </w:r>
      <w:r w:rsidR="4522E1A2">
        <w:t xml:space="preserve"> </w:t>
      </w:r>
      <w:r w:rsidR="758804DB">
        <w:t>private hø</w:t>
      </w:r>
      <w:r w:rsidR="00307EBE">
        <w:t>y</w:t>
      </w:r>
      <w:r w:rsidR="758804DB">
        <w:t>skoler.</w:t>
      </w:r>
      <w:r w:rsidR="78D8A0BC">
        <w:t xml:space="preserve"> </w:t>
      </w:r>
      <w:r w:rsidR="2DF75325">
        <w:t xml:space="preserve">Søkertallene omfatter </w:t>
      </w:r>
      <w:r w:rsidR="7E723064">
        <w:t xml:space="preserve">både </w:t>
      </w:r>
      <w:r w:rsidR="4D79B373">
        <w:t xml:space="preserve">nye søkere og </w:t>
      </w:r>
      <w:r w:rsidR="3FCA25BB">
        <w:t xml:space="preserve">søkere som allerede </w:t>
      </w:r>
      <w:r w:rsidR="5F0D417C">
        <w:t>er i høyere utdanning.</w:t>
      </w:r>
    </w:p>
    <w:p w14:paraId="270EEB18" w14:textId="4C2D3B8F" w:rsidR="00ED5BEC" w:rsidRDefault="009D0B5B" w:rsidP="00ED5BEC">
      <w:r w:rsidRPr="002537ED">
        <w:t xml:space="preserve">Både de statlige og private institusjonene opplever </w:t>
      </w:r>
      <w:r w:rsidR="00746C85" w:rsidRPr="002537ED">
        <w:t>redusert</w:t>
      </w:r>
      <w:r w:rsidRPr="002537ED">
        <w:t xml:space="preserve"> søkning. </w:t>
      </w:r>
      <w:r w:rsidRPr="009D0B5B">
        <w:t xml:space="preserve">For de statlige institusjonene er nedgangen </w:t>
      </w:r>
      <w:r w:rsidR="0043182C">
        <w:t xml:space="preserve">på </w:t>
      </w:r>
      <w:r w:rsidRPr="009D0B5B">
        <w:t>1</w:t>
      </w:r>
      <w:r w:rsidR="0016554D">
        <w:t>2</w:t>
      </w:r>
      <w:r w:rsidRPr="009D0B5B">
        <w:t xml:space="preserve"> prosent.</w:t>
      </w:r>
      <w:r w:rsidR="008E646C" w:rsidRPr="008E646C">
        <w:t xml:space="preserve"> </w:t>
      </w:r>
      <w:r w:rsidR="008E646C">
        <w:t xml:space="preserve">Store institusjoner som NTNU, UiO og </w:t>
      </w:r>
      <w:proofErr w:type="spellStart"/>
      <w:r w:rsidR="008E646C">
        <w:t>OsloMet</w:t>
      </w:r>
      <w:proofErr w:type="spellEnd"/>
      <w:r w:rsidR="008E646C">
        <w:t xml:space="preserve"> mistet om lag 2</w:t>
      </w:r>
      <w:r w:rsidR="00E07821">
        <w:t> </w:t>
      </w:r>
      <w:r w:rsidR="008E646C">
        <w:t xml:space="preserve">000 kvalifiserte </w:t>
      </w:r>
      <w:proofErr w:type="spellStart"/>
      <w:r w:rsidR="008E646C">
        <w:t>førstevalgssøkere</w:t>
      </w:r>
      <w:proofErr w:type="spellEnd"/>
      <w:r w:rsidR="008E646C">
        <w:t xml:space="preserve"> hver, sammenlignet med året før. </w:t>
      </w:r>
      <w:r w:rsidR="008E646C" w:rsidRPr="00A41F29">
        <w:t xml:space="preserve">Institusjonene med størst </w:t>
      </w:r>
      <w:r w:rsidR="008E646C" w:rsidRPr="005121FF">
        <w:rPr>
          <w:i/>
        </w:rPr>
        <w:t>relativ</w:t>
      </w:r>
      <w:r w:rsidR="008E646C" w:rsidRPr="00A41F29">
        <w:t xml:space="preserve"> tilbakegang </w:t>
      </w:r>
      <w:r w:rsidR="005121FF">
        <w:t xml:space="preserve">derimot, </w:t>
      </w:r>
      <w:r w:rsidR="008E646C" w:rsidRPr="00A41F29">
        <w:t>omfatter blant andre NU</w:t>
      </w:r>
      <w:r w:rsidR="00EB7CB6" w:rsidRPr="00A41F29">
        <w:t xml:space="preserve"> og </w:t>
      </w:r>
      <w:r w:rsidR="008E646C" w:rsidRPr="00A41F29">
        <w:t xml:space="preserve">VID </w:t>
      </w:r>
      <w:r w:rsidR="008E646C" w:rsidRPr="00A41F29">
        <w:lastRenderedPageBreak/>
        <w:t>vitenskapelige høgskole</w:t>
      </w:r>
      <w:r w:rsidR="00333663">
        <w:t xml:space="preserve">, </w:t>
      </w:r>
      <w:r w:rsidR="00A41F29" w:rsidRPr="00A41F29">
        <w:t xml:space="preserve">begge </w:t>
      </w:r>
      <w:r w:rsidR="000B72D7">
        <w:t>med</w:t>
      </w:r>
      <w:r w:rsidR="00A339A0">
        <w:t xml:space="preserve"> en</w:t>
      </w:r>
      <w:r w:rsidR="000B72D7">
        <w:t xml:space="preserve"> nedgang på</w:t>
      </w:r>
      <w:r w:rsidR="00333663">
        <w:t xml:space="preserve"> </w:t>
      </w:r>
      <w:r w:rsidR="00EB7CB6" w:rsidRPr="00A41F29">
        <w:t>27</w:t>
      </w:r>
      <w:r w:rsidR="008E646C" w:rsidRPr="00A41F29">
        <w:t xml:space="preserve"> </w:t>
      </w:r>
      <w:r w:rsidR="00A41F29" w:rsidRPr="00A41F29">
        <w:t>prosent</w:t>
      </w:r>
      <w:r w:rsidR="00333663">
        <w:t>,</w:t>
      </w:r>
      <w:r w:rsidR="00A41F29" w:rsidRPr="00A41F29">
        <w:t xml:space="preserve"> </w:t>
      </w:r>
      <w:r w:rsidR="008E646C" w:rsidRPr="00A41F29">
        <w:t xml:space="preserve">og </w:t>
      </w:r>
      <w:proofErr w:type="spellStart"/>
      <w:r w:rsidR="008E646C" w:rsidRPr="00A41F29">
        <w:t>UiS</w:t>
      </w:r>
      <w:proofErr w:type="spellEnd"/>
      <w:r w:rsidR="00507B3D">
        <w:t xml:space="preserve">, </w:t>
      </w:r>
      <w:r w:rsidR="000B72D7">
        <w:t xml:space="preserve">med en </w:t>
      </w:r>
      <w:r w:rsidR="00507B3D">
        <w:t>ned</w:t>
      </w:r>
      <w:r w:rsidR="000B72D7">
        <w:t>gang på</w:t>
      </w:r>
      <w:r w:rsidR="00153B75" w:rsidRPr="00A41F29">
        <w:t xml:space="preserve"> 26 </w:t>
      </w:r>
      <w:r w:rsidR="008E646C" w:rsidRPr="00A41F29">
        <w:t xml:space="preserve">prosent. </w:t>
      </w:r>
      <w:r w:rsidR="008E646C" w:rsidRPr="00C87405">
        <w:t xml:space="preserve">Disse institusjonene opplevde imidlertid stor økning i søkermengden </w:t>
      </w:r>
      <w:r w:rsidR="005F6447">
        <w:t>i 2021</w:t>
      </w:r>
      <w:r w:rsidR="008E646C" w:rsidRPr="00C87405">
        <w:t xml:space="preserve">, og siste års nedgang kan dermed ses som en justering tilbake til </w:t>
      </w:r>
      <w:r w:rsidR="003E1D05" w:rsidRPr="00C87405">
        <w:t xml:space="preserve">mer </w:t>
      </w:r>
      <w:r w:rsidR="008E646C" w:rsidRPr="00C87405">
        <w:t xml:space="preserve">normalt nivå. </w:t>
      </w:r>
      <w:r w:rsidR="008E646C" w:rsidRPr="008C2105">
        <w:t xml:space="preserve">Arkitektur- og designhøgskolen i Oslo AHO er den eneste institusjonen med flere </w:t>
      </w:r>
      <w:r w:rsidR="005F3EC3" w:rsidRPr="008C2105">
        <w:t xml:space="preserve">kvalifiserte </w:t>
      </w:r>
      <w:proofErr w:type="spellStart"/>
      <w:r w:rsidR="005F3EC3" w:rsidRPr="008C2105">
        <w:t>førstevalg</w:t>
      </w:r>
      <w:r w:rsidR="008E646C" w:rsidRPr="008C2105">
        <w:t>s</w:t>
      </w:r>
      <w:r w:rsidR="006A3C21">
        <w:t>s</w:t>
      </w:r>
      <w:r w:rsidR="008E646C" w:rsidRPr="008C2105">
        <w:t>økere</w:t>
      </w:r>
      <w:proofErr w:type="spellEnd"/>
      <w:r w:rsidR="008E646C" w:rsidRPr="008C2105">
        <w:t xml:space="preserve"> i 2022 enn året før, med en økning på hele </w:t>
      </w:r>
      <w:r w:rsidR="00D1646A" w:rsidRPr="008C2105">
        <w:t>125</w:t>
      </w:r>
      <w:r w:rsidR="008E646C" w:rsidRPr="008C2105">
        <w:t xml:space="preserve"> prosent.</w:t>
      </w:r>
      <w:r w:rsidR="00ED5BEC" w:rsidRPr="00ED5BEC">
        <w:t xml:space="preserve"> </w:t>
      </w:r>
    </w:p>
    <w:p w14:paraId="5AEB26C0" w14:textId="5A3D80C2" w:rsidR="008E646C" w:rsidRDefault="00ED5BEC" w:rsidP="008E646C">
      <w:r w:rsidRPr="002537ED">
        <w:t xml:space="preserve">Nedgangen </w:t>
      </w:r>
      <w:r>
        <w:t xml:space="preserve">i søkertall </w:t>
      </w:r>
      <w:r w:rsidRPr="002537ED">
        <w:t>er særlig stor blant de private utdanningsinstitusjonene, med en reduksjon på 2</w:t>
      </w:r>
      <w:r>
        <w:t>0</w:t>
      </w:r>
      <w:r w:rsidRPr="002537ED">
        <w:t xml:space="preserve"> prosent fra 2021.</w:t>
      </w:r>
      <w:r w:rsidRPr="009D0B5B">
        <w:t xml:space="preserve"> </w:t>
      </w:r>
      <w:r w:rsidRPr="000B510A">
        <w:t xml:space="preserve">Tallene omfatter </w:t>
      </w:r>
      <w:r>
        <w:t xml:space="preserve">riktignok </w:t>
      </w:r>
      <w:r w:rsidRPr="000B510A">
        <w:t xml:space="preserve">kun hovedopptaket i Samordna opptak, og flere av de private høyskolene er ikke del av dette. Blant annet gjelder det store private utdanningsaktører som BI og HK. For den private delen av sektoren er bildet derfor noe </w:t>
      </w:r>
      <w:r w:rsidR="00E11D4C">
        <w:t>mangelfullt</w:t>
      </w:r>
      <w:r w:rsidRPr="000B510A">
        <w:t>.</w:t>
      </w:r>
    </w:p>
    <w:p w14:paraId="14F0A3B1" w14:textId="1D710F39" w:rsidR="009D0B5B" w:rsidRPr="00A4324C" w:rsidRDefault="008E646C" w:rsidP="008E646C">
      <w:r w:rsidRPr="001924C6">
        <w:t xml:space="preserve">Over den siste tiårsperioden 2013–2022 er det allikevel en samlet vekst i kvalifiserte </w:t>
      </w:r>
      <w:proofErr w:type="spellStart"/>
      <w:r w:rsidRPr="001924C6">
        <w:t>førstevalgssøkere</w:t>
      </w:r>
      <w:proofErr w:type="spellEnd"/>
      <w:r w:rsidRPr="001924C6">
        <w:t xml:space="preserve"> på </w:t>
      </w:r>
      <w:r w:rsidR="001924C6" w:rsidRPr="001924C6">
        <w:t>24</w:t>
      </w:r>
      <w:r w:rsidRPr="001924C6">
        <w:t xml:space="preserve"> prosent, eller en økning på 22</w:t>
      </w:r>
      <w:r w:rsidR="003E3B90">
        <w:t> </w:t>
      </w:r>
      <w:r w:rsidRPr="001924C6">
        <w:t xml:space="preserve">000 individuelle søkere. </w:t>
      </w:r>
      <w:r w:rsidR="00CA3412">
        <w:t xml:space="preserve">Størst </w:t>
      </w:r>
      <w:r w:rsidR="00832EC0">
        <w:t>vekst</w:t>
      </w:r>
      <w:r w:rsidR="00CA3412">
        <w:t xml:space="preserve"> i antall søkere </w:t>
      </w:r>
      <w:r w:rsidR="00C915C5">
        <w:t xml:space="preserve">har </w:t>
      </w:r>
      <w:r w:rsidR="00D41A5B">
        <w:t>de store institusjonene</w:t>
      </w:r>
      <w:r w:rsidR="006C5B8A">
        <w:t xml:space="preserve">. </w:t>
      </w:r>
      <w:r w:rsidR="00447397">
        <w:t>NTNU</w:t>
      </w:r>
      <w:r w:rsidR="0075084A">
        <w:t xml:space="preserve"> alene har </w:t>
      </w:r>
      <w:r w:rsidR="00461A9C">
        <w:t>4</w:t>
      </w:r>
      <w:r w:rsidR="0075084A">
        <w:t> </w:t>
      </w:r>
      <w:r w:rsidR="00461A9C">
        <w:t>400</w:t>
      </w:r>
      <w:r w:rsidR="0075084A">
        <w:t xml:space="preserve"> flere kvalifiserte </w:t>
      </w:r>
      <w:proofErr w:type="spellStart"/>
      <w:r w:rsidR="0075084A">
        <w:t>førstevalgssøkere</w:t>
      </w:r>
      <w:proofErr w:type="spellEnd"/>
      <w:r w:rsidR="0075084A">
        <w:t xml:space="preserve"> enn for ti år siden</w:t>
      </w:r>
      <w:r w:rsidR="00232AEC">
        <w:t>.</w:t>
      </w:r>
      <w:r w:rsidR="00797387">
        <w:t xml:space="preserve"> </w:t>
      </w:r>
      <w:r w:rsidRPr="001B7DAC">
        <w:t>Den prosentvise veksten er betydelig høyere blant de private institusjonene</w:t>
      </w:r>
      <w:r w:rsidR="00DB0276" w:rsidRPr="001B7DAC">
        <w:t xml:space="preserve"> </w:t>
      </w:r>
      <w:r w:rsidR="007F6D92">
        <w:t xml:space="preserve">(51 prosent) </w:t>
      </w:r>
      <w:r w:rsidR="00DB0276" w:rsidRPr="001B7DAC">
        <w:t>enn de statlige</w:t>
      </w:r>
      <w:r w:rsidR="007F6D92">
        <w:t xml:space="preserve"> (23 </w:t>
      </w:r>
      <w:r w:rsidRPr="001B7DAC">
        <w:t>prosent</w:t>
      </w:r>
      <w:r w:rsidR="002F2B62">
        <w:t xml:space="preserve">). </w:t>
      </w:r>
      <w:r w:rsidR="009F1B9A">
        <w:t>Ø</w:t>
      </w:r>
      <w:r w:rsidR="00214DD2">
        <w:t>kningen</w:t>
      </w:r>
      <w:r w:rsidRPr="001B7DAC">
        <w:t xml:space="preserve"> </w:t>
      </w:r>
      <w:r w:rsidR="00214DD2">
        <w:t xml:space="preserve">blant de private høyskolene </w:t>
      </w:r>
      <w:r w:rsidRPr="001B7DAC">
        <w:t xml:space="preserve">utgjør </w:t>
      </w:r>
      <w:r w:rsidR="004D6E62">
        <w:t>allikevel</w:t>
      </w:r>
      <w:r w:rsidR="00445623" w:rsidRPr="001B7DAC">
        <w:t xml:space="preserve"> </w:t>
      </w:r>
      <w:r w:rsidRPr="001B7DAC">
        <w:t xml:space="preserve">færre enn 1 500 søkere. </w:t>
      </w:r>
      <w:r w:rsidR="00131E81">
        <w:t>Igjen</w:t>
      </w:r>
      <w:r w:rsidR="00945B9A">
        <w:t xml:space="preserve"> </w:t>
      </w:r>
      <w:r w:rsidR="00131E81">
        <w:t>gjelder tallene kun</w:t>
      </w:r>
      <w:r w:rsidR="00945B9A">
        <w:t xml:space="preserve"> </w:t>
      </w:r>
      <w:r w:rsidR="00260F00" w:rsidRPr="00260F00">
        <w:t xml:space="preserve">hovedopptaket i Samordna opptak, </w:t>
      </w:r>
      <w:r w:rsidR="00945B9A">
        <w:t xml:space="preserve">som </w:t>
      </w:r>
      <w:r w:rsidR="003021DC">
        <w:t>flere</w:t>
      </w:r>
      <w:r w:rsidR="00260F00" w:rsidRPr="00260F00">
        <w:t xml:space="preserve"> av de private høyskolene ikke </w:t>
      </w:r>
      <w:r w:rsidR="00945B9A">
        <w:t xml:space="preserve">er </w:t>
      </w:r>
      <w:r w:rsidR="00260F00" w:rsidRPr="00260F00">
        <w:t xml:space="preserve">del av. </w:t>
      </w:r>
      <w:r w:rsidR="00831C49">
        <w:t>Blant</w:t>
      </w:r>
      <w:r w:rsidRPr="00720737">
        <w:t xml:space="preserve"> de statlige institusjonene står AHO nok en gang for den største </w:t>
      </w:r>
      <w:r w:rsidR="000D6A4D">
        <w:t xml:space="preserve">prosentvise </w:t>
      </w:r>
      <w:r w:rsidRPr="00720737">
        <w:t xml:space="preserve">økningen, med en vekst på </w:t>
      </w:r>
      <w:r w:rsidR="00720737" w:rsidRPr="00720737">
        <w:t>196</w:t>
      </w:r>
      <w:r w:rsidRPr="00720737">
        <w:t xml:space="preserve"> prosent</w:t>
      </w:r>
      <w:r w:rsidR="008F5667">
        <w:t>, eller 500</w:t>
      </w:r>
      <w:r w:rsidRPr="00720737">
        <w:t xml:space="preserve"> kvalifiserte </w:t>
      </w:r>
      <w:proofErr w:type="spellStart"/>
      <w:r w:rsidRPr="00720737">
        <w:t>første</w:t>
      </w:r>
      <w:r w:rsidR="004A75CE">
        <w:t>valg</w:t>
      </w:r>
      <w:r w:rsidRPr="00720737">
        <w:t>ssøkere</w:t>
      </w:r>
      <w:proofErr w:type="spellEnd"/>
      <w:r w:rsidR="00BE7D4A" w:rsidRPr="00BE7D4A">
        <w:t xml:space="preserve"> </w:t>
      </w:r>
      <w:r w:rsidR="00BE7D4A" w:rsidRPr="00720737">
        <w:t>i tiårsperioden sett under ett</w:t>
      </w:r>
      <w:r w:rsidRPr="00720737">
        <w:t xml:space="preserve">. Også </w:t>
      </w:r>
      <w:proofErr w:type="spellStart"/>
      <w:r w:rsidRPr="00720737">
        <w:t>HINN</w:t>
      </w:r>
      <w:proofErr w:type="spellEnd"/>
      <w:r w:rsidRPr="00720737">
        <w:t xml:space="preserve"> har hatt en markant økning i søkningen siden 2013 på </w:t>
      </w:r>
      <w:r w:rsidR="00720737" w:rsidRPr="00720737">
        <w:t>81</w:t>
      </w:r>
      <w:r w:rsidRPr="00720737">
        <w:t xml:space="preserve"> prosent.</w:t>
      </w:r>
      <w:r w:rsidR="008F5667">
        <w:t xml:space="preserve"> Dette tilsvarer </w:t>
      </w:r>
      <w:r w:rsidR="00CB59F0">
        <w:t xml:space="preserve">over 3 500 søkere. </w:t>
      </w:r>
    </w:p>
    <w:p w14:paraId="74ECED2F" w14:textId="47987CEC" w:rsidR="00103BA7" w:rsidRDefault="00FB092D" w:rsidP="00080569">
      <w:r w:rsidRPr="00FB092D">
        <w:t xml:space="preserve">Nedgangen i antall søkere </w:t>
      </w:r>
      <w:r w:rsidR="00137625">
        <w:t xml:space="preserve">det siste året </w:t>
      </w:r>
      <w:r w:rsidRPr="00FB092D">
        <w:t>svekker konkurransen om studieplassene, fordi det blir færre søkere per plass.</w:t>
      </w:r>
      <w:r>
        <w:t xml:space="preserve"> </w:t>
      </w:r>
      <w:r w:rsidR="00AA7E72" w:rsidRPr="0020706D">
        <w:t>Tabell 2.1 viser at antall</w:t>
      </w:r>
      <w:r w:rsidR="00F81B81" w:rsidRPr="0020706D">
        <w:t>et</w:t>
      </w:r>
      <w:r w:rsidR="00AA7E72" w:rsidRPr="0020706D">
        <w:t xml:space="preserve"> kvalifiserte </w:t>
      </w:r>
      <w:proofErr w:type="spellStart"/>
      <w:r w:rsidR="00AA7E72" w:rsidRPr="0020706D">
        <w:t>førstevalgssøkere</w:t>
      </w:r>
      <w:proofErr w:type="spellEnd"/>
      <w:r w:rsidR="00AA7E72" w:rsidRPr="0020706D">
        <w:t xml:space="preserve"> per studieplass</w:t>
      </w:r>
      <w:r w:rsidR="00566091">
        <w:t xml:space="preserve"> </w:t>
      </w:r>
      <w:r w:rsidR="00AA7E72" w:rsidRPr="0020706D">
        <w:t xml:space="preserve">er </w:t>
      </w:r>
      <w:r w:rsidR="0055592C" w:rsidRPr="0020706D">
        <w:t>1,8</w:t>
      </w:r>
      <w:r w:rsidR="00F81B81" w:rsidRPr="0020706D">
        <w:t xml:space="preserve"> i 2022</w:t>
      </w:r>
      <w:r w:rsidR="0055592C" w:rsidRPr="0020706D">
        <w:t xml:space="preserve">. </w:t>
      </w:r>
      <w:r w:rsidR="0055592C" w:rsidRPr="00227270">
        <w:t>D</w:t>
      </w:r>
      <w:r w:rsidR="00AA7E72" w:rsidRPr="00227270">
        <w:t>ette er</w:t>
      </w:r>
      <w:r w:rsidR="00C93A56">
        <w:t xml:space="preserve"> en</w:t>
      </w:r>
      <w:r w:rsidR="00AA7E72" w:rsidRPr="00227270">
        <w:t xml:space="preserve"> </w:t>
      </w:r>
      <w:r w:rsidR="0055592C" w:rsidRPr="00227270">
        <w:t xml:space="preserve">nedgang på </w:t>
      </w:r>
      <w:r w:rsidR="00F636CC" w:rsidRPr="00227270">
        <w:t xml:space="preserve">0,3 </w:t>
      </w:r>
      <w:r w:rsidR="006108BA" w:rsidRPr="00227270">
        <w:t xml:space="preserve">kvalifiserte </w:t>
      </w:r>
      <w:proofErr w:type="spellStart"/>
      <w:r w:rsidR="00342E33">
        <w:t>førstevalgs</w:t>
      </w:r>
      <w:r w:rsidR="006108BA" w:rsidRPr="00227270">
        <w:t>søkere</w:t>
      </w:r>
      <w:proofErr w:type="spellEnd"/>
      <w:r w:rsidR="006108BA" w:rsidRPr="00227270">
        <w:t xml:space="preserve"> per studieplass fra året før</w:t>
      </w:r>
      <w:r w:rsidR="00AA3177">
        <w:t>, og n</w:t>
      </w:r>
      <w:r w:rsidR="00341FC2">
        <w:t xml:space="preserve">edgangen er like stor </w:t>
      </w:r>
      <w:r w:rsidR="00B23517">
        <w:t>for</w:t>
      </w:r>
      <w:r w:rsidR="00B23517" w:rsidRPr="00227270">
        <w:t xml:space="preserve"> </w:t>
      </w:r>
      <w:r w:rsidR="00167D6F" w:rsidRPr="00227270">
        <w:t xml:space="preserve">de private og statlige institusjonene. </w:t>
      </w:r>
      <w:r w:rsidR="004C6811">
        <w:t xml:space="preserve">Det er </w:t>
      </w:r>
      <w:r w:rsidR="00354C33">
        <w:t xml:space="preserve">imidlertid </w:t>
      </w:r>
      <w:r w:rsidR="004C6811">
        <w:t>lang</w:t>
      </w:r>
      <w:r w:rsidR="00DE014F">
        <w:t>t</w:t>
      </w:r>
      <w:r w:rsidR="004C6811">
        <w:t xml:space="preserve"> </w:t>
      </w:r>
      <w:r w:rsidR="001954D0">
        <w:t xml:space="preserve">større konkurranse om studieplassene ved de statlige lærestedene enn ved de private, som i større grad </w:t>
      </w:r>
      <w:r w:rsidR="00DF7746">
        <w:t xml:space="preserve">søker å </w:t>
      </w:r>
      <w:r w:rsidR="001954D0">
        <w:t xml:space="preserve">tilpasse seg </w:t>
      </w:r>
      <w:r w:rsidR="00C0151E">
        <w:t>etterspørselen</w:t>
      </w:r>
      <w:r w:rsidR="000E59A3">
        <w:t xml:space="preserve"> </w:t>
      </w:r>
      <w:r w:rsidR="005461AA">
        <w:t xml:space="preserve">i utdanningsmarkedet. </w:t>
      </w:r>
      <w:r w:rsidR="00D31FBC">
        <w:t>De</w:t>
      </w:r>
      <w:r w:rsidR="00360FB7">
        <w:t xml:space="preserve"> </w:t>
      </w:r>
      <w:r w:rsidR="00BB351C">
        <w:t xml:space="preserve">statlige lærestedene har </w:t>
      </w:r>
      <w:r w:rsidR="00A477EE">
        <w:t xml:space="preserve">nå </w:t>
      </w:r>
      <w:r w:rsidR="0042262C">
        <w:t xml:space="preserve">1,9 </w:t>
      </w:r>
      <w:proofErr w:type="spellStart"/>
      <w:r w:rsidR="00F47268">
        <w:t>førstevalgssøkere</w:t>
      </w:r>
      <w:proofErr w:type="spellEnd"/>
      <w:r w:rsidR="00F47268">
        <w:t xml:space="preserve"> per studieplass</w:t>
      </w:r>
      <w:r w:rsidR="00FB07F2">
        <w:t xml:space="preserve">, mens de </w:t>
      </w:r>
      <w:r w:rsidR="006F3EC9">
        <w:t xml:space="preserve">private har </w:t>
      </w:r>
      <w:r w:rsidR="00EB6FD3">
        <w:t>1,2</w:t>
      </w:r>
      <w:r w:rsidR="006E28C3">
        <w:t>.</w:t>
      </w:r>
    </w:p>
    <w:p w14:paraId="18D15548" w14:textId="4BB3EC66" w:rsidR="00E903E3" w:rsidRDefault="00287135" w:rsidP="00FD7218">
      <w:pPr>
        <w:pStyle w:val="Bildetekst"/>
        <w:keepNext/>
        <w:keepLines/>
      </w:pPr>
      <w:bookmarkStart w:id="23" w:name="_Ref128650261"/>
      <w:bookmarkStart w:id="24" w:name="_Toc134792808"/>
      <w:r>
        <w:t xml:space="preserve">Tabell </w:t>
      </w:r>
      <w:r>
        <w:fldChar w:fldCharType="begin"/>
      </w:r>
      <w:r>
        <w:instrText>STYLEREF 1 \s</w:instrText>
      </w:r>
      <w:r>
        <w:fldChar w:fldCharType="separate"/>
      </w:r>
      <w:r w:rsidR="00F262EF">
        <w:rPr>
          <w:noProof/>
        </w:rPr>
        <w:t>2</w:t>
      </w:r>
      <w:r>
        <w:fldChar w:fldCharType="end"/>
      </w:r>
      <w:r w:rsidR="00FE01A3">
        <w:t>.</w:t>
      </w:r>
      <w:r>
        <w:fldChar w:fldCharType="begin"/>
      </w:r>
      <w:r>
        <w:instrText>SEQ Tabell \* ARABIC \s 1</w:instrText>
      </w:r>
      <w:r>
        <w:fldChar w:fldCharType="separate"/>
      </w:r>
      <w:r w:rsidR="00F262EF">
        <w:rPr>
          <w:noProof/>
        </w:rPr>
        <w:t>1</w:t>
      </w:r>
      <w:r>
        <w:fldChar w:fldCharType="end"/>
      </w:r>
      <w:bookmarkEnd w:id="23"/>
      <w:r w:rsidR="00E903E3">
        <w:t xml:space="preserve"> </w:t>
      </w:r>
      <w:r w:rsidR="00E903E3" w:rsidRPr="00E903E3">
        <w:t xml:space="preserve">Kvalifiserte </w:t>
      </w:r>
      <w:proofErr w:type="spellStart"/>
      <w:r w:rsidR="00E903E3" w:rsidRPr="00E903E3">
        <w:t>førstevalgssøkere</w:t>
      </w:r>
      <w:proofErr w:type="spellEnd"/>
      <w:r w:rsidR="00E903E3" w:rsidRPr="00E903E3">
        <w:t xml:space="preserve"> per studieplass 2018–22</w:t>
      </w:r>
      <w:bookmarkEnd w:id="24"/>
    </w:p>
    <w:tbl>
      <w:tblPr>
        <w:tblW w:w="5000" w:type="pct"/>
        <w:tblCellMar>
          <w:left w:w="70" w:type="dxa"/>
          <w:right w:w="70" w:type="dxa"/>
        </w:tblCellMar>
        <w:tblLook w:val="04A0" w:firstRow="1" w:lastRow="0" w:firstColumn="1" w:lastColumn="0" w:noHBand="0" w:noVBand="1"/>
      </w:tblPr>
      <w:tblGrid>
        <w:gridCol w:w="674"/>
        <w:gridCol w:w="672"/>
        <w:gridCol w:w="673"/>
        <w:gridCol w:w="673"/>
        <w:gridCol w:w="673"/>
        <w:gridCol w:w="674"/>
        <w:gridCol w:w="674"/>
        <w:gridCol w:w="674"/>
        <w:gridCol w:w="674"/>
        <w:gridCol w:w="674"/>
        <w:gridCol w:w="674"/>
        <w:gridCol w:w="745"/>
      </w:tblGrid>
      <w:tr w:rsidR="005219D3" w:rsidRPr="005219D3" w14:paraId="2FB90621" w14:textId="77777777" w:rsidTr="005219D3">
        <w:trPr>
          <w:trHeight w:val="433"/>
        </w:trPr>
        <w:tc>
          <w:tcPr>
            <w:tcW w:w="417" w:type="pct"/>
            <w:vMerge w:val="restart"/>
            <w:tcBorders>
              <w:top w:val="nil"/>
              <w:left w:val="single" w:sz="8" w:space="0" w:color="0079AC"/>
              <w:bottom w:val="nil"/>
              <w:right w:val="single" w:sz="8" w:space="0" w:color="2E91BB"/>
            </w:tcBorders>
            <w:shd w:val="clear" w:color="000000" w:fill="0079AC"/>
            <w:vAlign w:val="center"/>
            <w:hideMark/>
          </w:tcPr>
          <w:p w14:paraId="2C37E021" w14:textId="77777777" w:rsidR="005219D3" w:rsidRPr="005219D3" w:rsidRDefault="005219D3" w:rsidP="005219D3">
            <w:pPr>
              <w:spacing w:after="0" w:line="240" w:lineRule="auto"/>
              <w:rPr>
                <w:rFonts w:ascii="Times New Roman" w:eastAsia="Times New Roman" w:hAnsi="Times New Roman" w:cs="Times New Roman"/>
                <w:color w:val="000000"/>
                <w:lang w:eastAsia="nb-NO"/>
              </w:rPr>
            </w:pPr>
            <w:r w:rsidRPr="005219D3">
              <w:rPr>
                <w:rFonts w:ascii="Times New Roman" w:eastAsia="Times New Roman" w:hAnsi="Times New Roman" w:cs="Times New Roman"/>
                <w:color w:val="000000"/>
                <w:lang w:eastAsia="nb-NO"/>
              </w:rPr>
              <w:t> </w:t>
            </w:r>
          </w:p>
        </w:tc>
        <w:tc>
          <w:tcPr>
            <w:tcW w:w="833" w:type="pct"/>
            <w:gridSpan w:val="2"/>
            <w:tcBorders>
              <w:top w:val="nil"/>
              <w:left w:val="nil"/>
              <w:bottom w:val="single" w:sz="8" w:space="0" w:color="2E91BB"/>
              <w:right w:val="single" w:sz="8" w:space="0" w:color="2E91BB"/>
            </w:tcBorders>
            <w:shd w:val="clear" w:color="000000" w:fill="0079AC"/>
            <w:vAlign w:val="center"/>
            <w:hideMark/>
          </w:tcPr>
          <w:p w14:paraId="769E1F76"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2018</w:t>
            </w:r>
          </w:p>
        </w:tc>
        <w:tc>
          <w:tcPr>
            <w:tcW w:w="833" w:type="pct"/>
            <w:gridSpan w:val="2"/>
            <w:tcBorders>
              <w:top w:val="nil"/>
              <w:left w:val="nil"/>
              <w:bottom w:val="single" w:sz="8" w:space="0" w:color="2E91BB"/>
              <w:right w:val="single" w:sz="8" w:space="0" w:color="2E91BB"/>
            </w:tcBorders>
            <w:shd w:val="clear" w:color="000000" w:fill="0079AC"/>
            <w:vAlign w:val="center"/>
            <w:hideMark/>
          </w:tcPr>
          <w:p w14:paraId="2B29EB07"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2019</w:t>
            </w:r>
          </w:p>
        </w:tc>
        <w:tc>
          <w:tcPr>
            <w:tcW w:w="833" w:type="pct"/>
            <w:gridSpan w:val="2"/>
            <w:tcBorders>
              <w:top w:val="nil"/>
              <w:left w:val="nil"/>
              <w:bottom w:val="single" w:sz="8" w:space="0" w:color="2E91BB"/>
              <w:right w:val="single" w:sz="8" w:space="0" w:color="2E91BB"/>
            </w:tcBorders>
            <w:shd w:val="clear" w:color="000000" w:fill="0079AC"/>
            <w:vAlign w:val="center"/>
            <w:hideMark/>
          </w:tcPr>
          <w:p w14:paraId="022A3A72"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2020</w:t>
            </w:r>
          </w:p>
        </w:tc>
        <w:tc>
          <w:tcPr>
            <w:tcW w:w="833" w:type="pct"/>
            <w:gridSpan w:val="2"/>
            <w:tcBorders>
              <w:top w:val="nil"/>
              <w:left w:val="nil"/>
              <w:bottom w:val="single" w:sz="8" w:space="0" w:color="2E91BB"/>
              <w:right w:val="single" w:sz="8" w:space="0" w:color="2E91BB"/>
            </w:tcBorders>
            <w:shd w:val="clear" w:color="000000" w:fill="0079AC"/>
            <w:vAlign w:val="center"/>
            <w:hideMark/>
          </w:tcPr>
          <w:p w14:paraId="2910E528"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2021</w:t>
            </w:r>
          </w:p>
        </w:tc>
        <w:tc>
          <w:tcPr>
            <w:tcW w:w="833" w:type="pct"/>
            <w:gridSpan w:val="2"/>
            <w:tcBorders>
              <w:top w:val="nil"/>
              <w:left w:val="nil"/>
              <w:bottom w:val="single" w:sz="8" w:space="0" w:color="2E91BB"/>
              <w:right w:val="single" w:sz="8" w:space="0" w:color="2E91BB"/>
            </w:tcBorders>
            <w:shd w:val="clear" w:color="000000" w:fill="0079AC"/>
            <w:vAlign w:val="center"/>
            <w:hideMark/>
          </w:tcPr>
          <w:p w14:paraId="0833FCCA"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2022</w:t>
            </w:r>
          </w:p>
        </w:tc>
        <w:tc>
          <w:tcPr>
            <w:tcW w:w="417" w:type="pct"/>
            <w:vMerge w:val="restart"/>
            <w:tcBorders>
              <w:top w:val="nil"/>
              <w:left w:val="single" w:sz="8" w:space="0" w:color="2E91BB"/>
              <w:bottom w:val="nil"/>
              <w:right w:val="nil"/>
            </w:tcBorders>
            <w:shd w:val="clear" w:color="000000" w:fill="0079AC"/>
            <w:vAlign w:val="center"/>
            <w:hideMark/>
          </w:tcPr>
          <w:p w14:paraId="4D757FEA"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Endring 2021-2022</w:t>
            </w:r>
          </w:p>
        </w:tc>
      </w:tr>
      <w:tr w:rsidR="005219D3" w:rsidRPr="005219D3" w14:paraId="249F4721" w14:textId="77777777" w:rsidTr="005219D3">
        <w:trPr>
          <w:trHeight w:val="290"/>
        </w:trPr>
        <w:tc>
          <w:tcPr>
            <w:tcW w:w="417" w:type="pct"/>
            <w:vMerge/>
            <w:tcBorders>
              <w:top w:val="nil"/>
              <w:left w:val="single" w:sz="8" w:space="0" w:color="0079AC"/>
              <w:bottom w:val="nil"/>
              <w:right w:val="single" w:sz="8" w:space="0" w:color="2E91BB"/>
            </w:tcBorders>
            <w:vAlign w:val="center"/>
            <w:hideMark/>
          </w:tcPr>
          <w:p w14:paraId="682CFCD3" w14:textId="77777777" w:rsidR="005219D3" w:rsidRPr="005219D3" w:rsidRDefault="005219D3" w:rsidP="005219D3">
            <w:pPr>
              <w:spacing w:after="0" w:line="240" w:lineRule="auto"/>
              <w:rPr>
                <w:rFonts w:ascii="Times New Roman" w:eastAsia="Times New Roman" w:hAnsi="Times New Roman" w:cs="Times New Roman"/>
                <w:color w:val="000000"/>
                <w:lang w:eastAsia="nb-NO"/>
              </w:rPr>
            </w:pPr>
          </w:p>
        </w:tc>
        <w:tc>
          <w:tcPr>
            <w:tcW w:w="417" w:type="pct"/>
            <w:tcBorders>
              <w:top w:val="nil"/>
              <w:left w:val="nil"/>
              <w:bottom w:val="nil"/>
              <w:right w:val="nil"/>
            </w:tcBorders>
            <w:shd w:val="clear" w:color="000000" w:fill="0079AC"/>
            <w:vAlign w:val="center"/>
            <w:hideMark/>
          </w:tcPr>
          <w:p w14:paraId="20EC0684"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19C2C3F5"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5FE444DA"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53323789"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48896287"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5995B420"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5F2C1CB8"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3A56AAAB"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29DE2436"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4A1FE709" w14:textId="77777777" w:rsidR="005219D3" w:rsidRPr="005219D3" w:rsidRDefault="005219D3" w:rsidP="005219D3">
            <w:pPr>
              <w:spacing w:after="0" w:line="240" w:lineRule="auto"/>
              <w:jc w:val="center"/>
              <w:rPr>
                <w:rFonts w:ascii="Arial" w:eastAsia="Times New Roman" w:hAnsi="Arial" w:cs="Arial"/>
                <w:b/>
                <w:bCs/>
                <w:color w:val="FFFFFF"/>
                <w:sz w:val="16"/>
                <w:szCs w:val="16"/>
                <w:lang w:eastAsia="nb-NO"/>
              </w:rPr>
            </w:pPr>
            <w:r w:rsidRPr="005219D3">
              <w:rPr>
                <w:rFonts w:ascii="Arial" w:eastAsia="Times New Roman" w:hAnsi="Arial" w:cs="Arial"/>
                <w:b/>
                <w:bCs/>
                <w:color w:val="FFFFFF"/>
                <w:sz w:val="16"/>
                <w:szCs w:val="16"/>
                <w:lang w:eastAsia="nb-NO"/>
              </w:rPr>
              <w:t xml:space="preserve"> Andel </w:t>
            </w:r>
          </w:p>
        </w:tc>
        <w:tc>
          <w:tcPr>
            <w:tcW w:w="417" w:type="pct"/>
            <w:vMerge/>
            <w:tcBorders>
              <w:top w:val="nil"/>
              <w:left w:val="single" w:sz="8" w:space="0" w:color="2E91BB"/>
              <w:bottom w:val="nil"/>
              <w:right w:val="nil"/>
            </w:tcBorders>
            <w:vAlign w:val="center"/>
            <w:hideMark/>
          </w:tcPr>
          <w:p w14:paraId="44EF1FAF" w14:textId="77777777" w:rsidR="005219D3" w:rsidRPr="005219D3" w:rsidRDefault="005219D3" w:rsidP="005219D3">
            <w:pPr>
              <w:spacing w:after="0" w:line="240" w:lineRule="auto"/>
              <w:rPr>
                <w:rFonts w:ascii="Arial" w:eastAsia="Times New Roman" w:hAnsi="Arial" w:cs="Arial"/>
                <w:b/>
                <w:bCs/>
                <w:color w:val="FFFFFF"/>
                <w:sz w:val="16"/>
                <w:szCs w:val="16"/>
                <w:lang w:eastAsia="nb-NO"/>
              </w:rPr>
            </w:pPr>
          </w:p>
        </w:tc>
      </w:tr>
      <w:tr w:rsidR="005219D3" w:rsidRPr="005219D3" w14:paraId="23649E33" w14:textId="77777777" w:rsidTr="005219D3">
        <w:trPr>
          <w:trHeight w:val="290"/>
        </w:trPr>
        <w:tc>
          <w:tcPr>
            <w:tcW w:w="417" w:type="pct"/>
            <w:tcBorders>
              <w:top w:val="nil"/>
              <w:left w:val="nil"/>
              <w:bottom w:val="nil"/>
              <w:right w:val="nil"/>
            </w:tcBorders>
            <w:shd w:val="clear" w:color="000000" w:fill="EEEEEE"/>
            <w:vAlign w:val="center"/>
            <w:hideMark/>
          </w:tcPr>
          <w:p w14:paraId="0D788C91" w14:textId="77777777" w:rsidR="005219D3" w:rsidRPr="005219D3" w:rsidRDefault="005219D3" w:rsidP="005219D3">
            <w:pPr>
              <w:spacing w:after="0" w:line="240" w:lineRule="auto"/>
              <w:rPr>
                <w:rFonts w:ascii="Arial" w:eastAsia="Times New Roman" w:hAnsi="Arial" w:cs="Arial"/>
                <w:color w:val="000000"/>
                <w:sz w:val="16"/>
                <w:szCs w:val="16"/>
                <w:lang w:eastAsia="nb-NO"/>
              </w:rPr>
            </w:pPr>
            <w:bookmarkStart w:id="25" w:name="_Hlk127957752"/>
            <w:r w:rsidRPr="005219D3">
              <w:rPr>
                <w:rFonts w:ascii="Arial" w:eastAsia="Times New Roman" w:hAnsi="Arial" w:cs="Arial"/>
                <w:color w:val="000000"/>
                <w:sz w:val="16"/>
                <w:szCs w:val="16"/>
                <w:lang w:eastAsia="nb-NO"/>
              </w:rPr>
              <w:t xml:space="preserve">Statlige </w:t>
            </w:r>
            <w:proofErr w:type="spellStart"/>
            <w:r w:rsidRPr="005219D3">
              <w:rPr>
                <w:rFonts w:ascii="Arial" w:eastAsia="Times New Roman" w:hAnsi="Arial" w:cs="Arial"/>
                <w:color w:val="000000"/>
                <w:sz w:val="16"/>
                <w:szCs w:val="16"/>
                <w:lang w:eastAsia="nb-NO"/>
              </w:rPr>
              <w:t>inst</w:t>
            </w:r>
            <w:proofErr w:type="spellEnd"/>
            <w:r w:rsidRPr="005219D3">
              <w:rPr>
                <w:rFonts w:ascii="Arial" w:eastAsia="Times New Roman" w:hAnsi="Arial" w:cs="Arial"/>
                <w:color w:val="000000"/>
                <w:sz w:val="16"/>
                <w:szCs w:val="16"/>
                <w:lang w:eastAsia="nb-NO"/>
              </w:rPr>
              <w:t xml:space="preserve">. </w:t>
            </w:r>
          </w:p>
        </w:tc>
        <w:tc>
          <w:tcPr>
            <w:tcW w:w="417" w:type="pct"/>
            <w:tcBorders>
              <w:top w:val="nil"/>
              <w:left w:val="nil"/>
              <w:bottom w:val="nil"/>
              <w:right w:val="nil"/>
            </w:tcBorders>
            <w:shd w:val="clear" w:color="000000" w:fill="EEEEEE"/>
            <w:vAlign w:val="center"/>
            <w:hideMark/>
          </w:tcPr>
          <w:p w14:paraId="64B54667"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2,1</w:t>
            </w:r>
          </w:p>
        </w:tc>
        <w:tc>
          <w:tcPr>
            <w:tcW w:w="417" w:type="pct"/>
            <w:tcBorders>
              <w:top w:val="nil"/>
              <w:left w:val="nil"/>
              <w:bottom w:val="nil"/>
              <w:right w:val="nil"/>
            </w:tcBorders>
            <w:shd w:val="clear" w:color="000000" w:fill="EEEEEE"/>
            <w:vAlign w:val="center"/>
            <w:hideMark/>
          </w:tcPr>
          <w:p w14:paraId="195AD24F"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96,1</w:t>
            </w:r>
          </w:p>
        </w:tc>
        <w:tc>
          <w:tcPr>
            <w:tcW w:w="417" w:type="pct"/>
            <w:tcBorders>
              <w:top w:val="nil"/>
              <w:left w:val="nil"/>
              <w:bottom w:val="nil"/>
              <w:right w:val="nil"/>
            </w:tcBorders>
            <w:shd w:val="clear" w:color="000000" w:fill="EEEEEE"/>
            <w:vAlign w:val="center"/>
            <w:hideMark/>
          </w:tcPr>
          <w:p w14:paraId="4C42E1F6"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2,0</w:t>
            </w:r>
          </w:p>
        </w:tc>
        <w:tc>
          <w:tcPr>
            <w:tcW w:w="417" w:type="pct"/>
            <w:tcBorders>
              <w:top w:val="nil"/>
              <w:left w:val="nil"/>
              <w:bottom w:val="nil"/>
              <w:right w:val="nil"/>
            </w:tcBorders>
            <w:shd w:val="clear" w:color="000000" w:fill="EEEEEE"/>
            <w:vAlign w:val="center"/>
            <w:hideMark/>
          </w:tcPr>
          <w:p w14:paraId="3CE37C39"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96,3</w:t>
            </w:r>
          </w:p>
        </w:tc>
        <w:tc>
          <w:tcPr>
            <w:tcW w:w="417" w:type="pct"/>
            <w:tcBorders>
              <w:top w:val="nil"/>
              <w:left w:val="nil"/>
              <w:bottom w:val="nil"/>
              <w:right w:val="nil"/>
            </w:tcBorders>
            <w:shd w:val="clear" w:color="000000" w:fill="EEEEEE"/>
            <w:vAlign w:val="center"/>
            <w:hideMark/>
          </w:tcPr>
          <w:p w14:paraId="7E217916"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2,2</w:t>
            </w:r>
          </w:p>
        </w:tc>
        <w:tc>
          <w:tcPr>
            <w:tcW w:w="417" w:type="pct"/>
            <w:tcBorders>
              <w:top w:val="nil"/>
              <w:left w:val="nil"/>
              <w:bottom w:val="nil"/>
              <w:right w:val="nil"/>
            </w:tcBorders>
            <w:shd w:val="clear" w:color="000000" w:fill="EEEEEE"/>
            <w:vAlign w:val="center"/>
            <w:hideMark/>
          </w:tcPr>
          <w:p w14:paraId="652F2DC9"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96,7</w:t>
            </w:r>
          </w:p>
        </w:tc>
        <w:tc>
          <w:tcPr>
            <w:tcW w:w="417" w:type="pct"/>
            <w:tcBorders>
              <w:top w:val="nil"/>
              <w:left w:val="nil"/>
              <w:bottom w:val="nil"/>
              <w:right w:val="nil"/>
            </w:tcBorders>
            <w:shd w:val="clear" w:color="000000" w:fill="EEEEEE"/>
            <w:vAlign w:val="center"/>
            <w:hideMark/>
          </w:tcPr>
          <w:p w14:paraId="5DFC6E54"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2,2</w:t>
            </w:r>
          </w:p>
        </w:tc>
        <w:tc>
          <w:tcPr>
            <w:tcW w:w="417" w:type="pct"/>
            <w:tcBorders>
              <w:top w:val="nil"/>
              <w:left w:val="nil"/>
              <w:bottom w:val="nil"/>
              <w:right w:val="nil"/>
            </w:tcBorders>
            <w:shd w:val="clear" w:color="000000" w:fill="EEEEEE"/>
            <w:vAlign w:val="center"/>
            <w:hideMark/>
          </w:tcPr>
          <w:p w14:paraId="38218573"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95,9</w:t>
            </w:r>
          </w:p>
        </w:tc>
        <w:tc>
          <w:tcPr>
            <w:tcW w:w="417" w:type="pct"/>
            <w:tcBorders>
              <w:top w:val="nil"/>
              <w:left w:val="nil"/>
              <w:bottom w:val="nil"/>
              <w:right w:val="nil"/>
            </w:tcBorders>
            <w:shd w:val="clear" w:color="000000" w:fill="EEEEEE"/>
            <w:vAlign w:val="center"/>
            <w:hideMark/>
          </w:tcPr>
          <w:p w14:paraId="79096D0F"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1,9</w:t>
            </w:r>
          </w:p>
        </w:tc>
        <w:tc>
          <w:tcPr>
            <w:tcW w:w="417" w:type="pct"/>
            <w:tcBorders>
              <w:top w:val="nil"/>
              <w:left w:val="nil"/>
              <w:bottom w:val="nil"/>
              <w:right w:val="nil"/>
            </w:tcBorders>
            <w:shd w:val="clear" w:color="000000" w:fill="EEEEEE"/>
            <w:vAlign w:val="center"/>
            <w:hideMark/>
          </w:tcPr>
          <w:p w14:paraId="79A9C1F2"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96,2</w:t>
            </w:r>
          </w:p>
        </w:tc>
        <w:tc>
          <w:tcPr>
            <w:tcW w:w="417" w:type="pct"/>
            <w:tcBorders>
              <w:top w:val="nil"/>
              <w:left w:val="nil"/>
              <w:bottom w:val="nil"/>
              <w:right w:val="nil"/>
            </w:tcBorders>
            <w:shd w:val="clear" w:color="000000" w:fill="EEEEEE"/>
            <w:vAlign w:val="center"/>
            <w:hideMark/>
          </w:tcPr>
          <w:p w14:paraId="00825788"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-0,3</w:t>
            </w:r>
          </w:p>
        </w:tc>
      </w:tr>
      <w:tr w:rsidR="005219D3" w:rsidRPr="005219D3" w14:paraId="5CE53A54" w14:textId="77777777" w:rsidTr="005219D3">
        <w:trPr>
          <w:trHeight w:val="290"/>
        </w:trPr>
        <w:tc>
          <w:tcPr>
            <w:tcW w:w="417" w:type="pct"/>
            <w:tcBorders>
              <w:top w:val="nil"/>
              <w:left w:val="single" w:sz="8" w:space="0" w:color="EEEEEE"/>
              <w:bottom w:val="nil"/>
              <w:right w:val="nil"/>
            </w:tcBorders>
            <w:shd w:val="clear" w:color="000000" w:fill="FFFFFF"/>
            <w:vAlign w:val="center"/>
            <w:hideMark/>
          </w:tcPr>
          <w:p w14:paraId="6615E14B" w14:textId="77777777" w:rsidR="005219D3" w:rsidRPr="005219D3" w:rsidRDefault="005219D3" w:rsidP="005219D3">
            <w:pPr>
              <w:spacing w:after="0" w:line="240" w:lineRule="auto"/>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 xml:space="preserve">Private </w:t>
            </w:r>
            <w:proofErr w:type="spellStart"/>
            <w:r w:rsidRPr="005219D3">
              <w:rPr>
                <w:rFonts w:ascii="Arial" w:eastAsia="Times New Roman" w:hAnsi="Arial" w:cs="Arial"/>
                <w:color w:val="000000"/>
                <w:sz w:val="16"/>
                <w:szCs w:val="16"/>
                <w:lang w:eastAsia="nb-NO"/>
              </w:rPr>
              <w:t>inst</w:t>
            </w:r>
            <w:proofErr w:type="spellEnd"/>
            <w:r w:rsidRPr="005219D3">
              <w:rPr>
                <w:rFonts w:ascii="Arial" w:eastAsia="Times New Roman" w:hAnsi="Arial" w:cs="Arial"/>
                <w:color w:val="000000"/>
                <w:sz w:val="16"/>
                <w:szCs w:val="16"/>
                <w:lang w:eastAsia="nb-NO"/>
              </w:rPr>
              <w:t xml:space="preserve">. </w:t>
            </w:r>
          </w:p>
        </w:tc>
        <w:tc>
          <w:tcPr>
            <w:tcW w:w="417" w:type="pct"/>
            <w:tcBorders>
              <w:top w:val="nil"/>
              <w:left w:val="single" w:sz="8" w:space="0" w:color="EEEEEE"/>
              <w:bottom w:val="nil"/>
              <w:right w:val="nil"/>
            </w:tcBorders>
            <w:shd w:val="clear" w:color="000000" w:fill="FFFFFF"/>
            <w:vAlign w:val="center"/>
            <w:hideMark/>
          </w:tcPr>
          <w:p w14:paraId="7070EC9F"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1,5</w:t>
            </w:r>
          </w:p>
        </w:tc>
        <w:tc>
          <w:tcPr>
            <w:tcW w:w="417" w:type="pct"/>
            <w:tcBorders>
              <w:top w:val="nil"/>
              <w:left w:val="single" w:sz="8" w:space="0" w:color="EEEEEE"/>
              <w:bottom w:val="nil"/>
              <w:right w:val="nil"/>
            </w:tcBorders>
            <w:shd w:val="clear" w:color="000000" w:fill="FFFFFF"/>
            <w:vAlign w:val="center"/>
            <w:hideMark/>
          </w:tcPr>
          <w:p w14:paraId="37328759"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3,9</w:t>
            </w:r>
          </w:p>
        </w:tc>
        <w:tc>
          <w:tcPr>
            <w:tcW w:w="417" w:type="pct"/>
            <w:tcBorders>
              <w:top w:val="nil"/>
              <w:left w:val="single" w:sz="8" w:space="0" w:color="EEEEEE"/>
              <w:bottom w:val="nil"/>
              <w:right w:val="nil"/>
            </w:tcBorders>
            <w:shd w:val="clear" w:color="000000" w:fill="FFFFFF"/>
            <w:vAlign w:val="center"/>
            <w:hideMark/>
          </w:tcPr>
          <w:p w14:paraId="287F3747"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1,3</w:t>
            </w:r>
          </w:p>
        </w:tc>
        <w:tc>
          <w:tcPr>
            <w:tcW w:w="417" w:type="pct"/>
            <w:tcBorders>
              <w:top w:val="nil"/>
              <w:left w:val="single" w:sz="8" w:space="0" w:color="EEEEEE"/>
              <w:bottom w:val="nil"/>
              <w:right w:val="nil"/>
            </w:tcBorders>
            <w:shd w:val="clear" w:color="000000" w:fill="FFFFFF"/>
            <w:vAlign w:val="center"/>
            <w:hideMark/>
          </w:tcPr>
          <w:p w14:paraId="33785F62"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3,7</w:t>
            </w:r>
          </w:p>
        </w:tc>
        <w:tc>
          <w:tcPr>
            <w:tcW w:w="417" w:type="pct"/>
            <w:tcBorders>
              <w:top w:val="nil"/>
              <w:left w:val="single" w:sz="8" w:space="0" w:color="EEEEEE"/>
              <w:bottom w:val="nil"/>
              <w:right w:val="nil"/>
            </w:tcBorders>
            <w:shd w:val="clear" w:color="000000" w:fill="FFFFFF"/>
            <w:vAlign w:val="center"/>
            <w:hideMark/>
          </w:tcPr>
          <w:p w14:paraId="2BEFFC1C"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1,2</w:t>
            </w:r>
          </w:p>
        </w:tc>
        <w:tc>
          <w:tcPr>
            <w:tcW w:w="417" w:type="pct"/>
            <w:tcBorders>
              <w:top w:val="nil"/>
              <w:left w:val="single" w:sz="8" w:space="0" w:color="EEEEEE"/>
              <w:bottom w:val="nil"/>
              <w:right w:val="nil"/>
            </w:tcBorders>
            <w:shd w:val="clear" w:color="000000" w:fill="FFFFFF"/>
            <w:vAlign w:val="center"/>
            <w:hideMark/>
          </w:tcPr>
          <w:p w14:paraId="30A778EB"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3,3</w:t>
            </w:r>
          </w:p>
        </w:tc>
        <w:tc>
          <w:tcPr>
            <w:tcW w:w="417" w:type="pct"/>
            <w:tcBorders>
              <w:top w:val="nil"/>
              <w:left w:val="single" w:sz="8" w:space="0" w:color="EEEEEE"/>
              <w:bottom w:val="nil"/>
              <w:right w:val="nil"/>
            </w:tcBorders>
            <w:shd w:val="clear" w:color="000000" w:fill="FFFFFF"/>
            <w:vAlign w:val="center"/>
            <w:hideMark/>
          </w:tcPr>
          <w:p w14:paraId="23D6926F"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1,5</w:t>
            </w:r>
          </w:p>
        </w:tc>
        <w:tc>
          <w:tcPr>
            <w:tcW w:w="417" w:type="pct"/>
            <w:tcBorders>
              <w:top w:val="nil"/>
              <w:left w:val="single" w:sz="8" w:space="0" w:color="EEEEEE"/>
              <w:bottom w:val="nil"/>
              <w:right w:val="nil"/>
            </w:tcBorders>
            <w:shd w:val="clear" w:color="000000" w:fill="FFFFFF"/>
            <w:vAlign w:val="center"/>
            <w:hideMark/>
          </w:tcPr>
          <w:p w14:paraId="79BC759A"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4,1</w:t>
            </w:r>
          </w:p>
        </w:tc>
        <w:tc>
          <w:tcPr>
            <w:tcW w:w="417" w:type="pct"/>
            <w:tcBorders>
              <w:top w:val="nil"/>
              <w:left w:val="single" w:sz="8" w:space="0" w:color="EEEEEE"/>
              <w:bottom w:val="nil"/>
              <w:right w:val="nil"/>
            </w:tcBorders>
            <w:shd w:val="clear" w:color="000000" w:fill="FFFFFF"/>
            <w:vAlign w:val="center"/>
            <w:hideMark/>
          </w:tcPr>
          <w:p w14:paraId="4DF88783"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1,2</w:t>
            </w:r>
          </w:p>
        </w:tc>
        <w:tc>
          <w:tcPr>
            <w:tcW w:w="417" w:type="pct"/>
            <w:tcBorders>
              <w:top w:val="nil"/>
              <w:left w:val="single" w:sz="8" w:space="0" w:color="EEEEEE"/>
              <w:bottom w:val="nil"/>
              <w:right w:val="nil"/>
            </w:tcBorders>
            <w:shd w:val="clear" w:color="000000" w:fill="FFFFFF"/>
            <w:vAlign w:val="center"/>
            <w:hideMark/>
          </w:tcPr>
          <w:p w14:paraId="52737C17"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3,8</w:t>
            </w:r>
          </w:p>
        </w:tc>
        <w:tc>
          <w:tcPr>
            <w:tcW w:w="417" w:type="pct"/>
            <w:tcBorders>
              <w:top w:val="nil"/>
              <w:left w:val="single" w:sz="8" w:space="0" w:color="EEEEEE"/>
              <w:bottom w:val="nil"/>
              <w:right w:val="nil"/>
            </w:tcBorders>
            <w:shd w:val="clear" w:color="000000" w:fill="FFFFFF"/>
            <w:vAlign w:val="center"/>
            <w:hideMark/>
          </w:tcPr>
          <w:p w14:paraId="336C4D7B" w14:textId="77777777" w:rsidR="005219D3" w:rsidRPr="005219D3" w:rsidRDefault="005219D3" w:rsidP="005219D3">
            <w:pPr>
              <w:spacing w:after="0" w:line="240" w:lineRule="auto"/>
              <w:jc w:val="right"/>
              <w:rPr>
                <w:rFonts w:ascii="Arial" w:eastAsia="Times New Roman" w:hAnsi="Arial" w:cs="Arial"/>
                <w:color w:val="000000"/>
                <w:sz w:val="16"/>
                <w:szCs w:val="16"/>
                <w:lang w:eastAsia="nb-NO"/>
              </w:rPr>
            </w:pPr>
            <w:r w:rsidRPr="005219D3">
              <w:rPr>
                <w:rFonts w:ascii="Arial" w:eastAsia="Times New Roman" w:hAnsi="Arial" w:cs="Arial"/>
                <w:color w:val="000000"/>
                <w:sz w:val="16"/>
                <w:szCs w:val="16"/>
                <w:lang w:eastAsia="nb-NO"/>
              </w:rPr>
              <w:t>-0,3</w:t>
            </w:r>
          </w:p>
        </w:tc>
      </w:tr>
      <w:bookmarkEnd w:id="25"/>
      <w:tr w:rsidR="005219D3" w:rsidRPr="005219D3" w14:paraId="552A3519" w14:textId="77777777" w:rsidTr="005219D3">
        <w:trPr>
          <w:trHeight w:val="290"/>
        </w:trPr>
        <w:tc>
          <w:tcPr>
            <w:tcW w:w="417" w:type="pct"/>
            <w:tcBorders>
              <w:top w:val="nil"/>
              <w:left w:val="nil"/>
              <w:bottom w:val="nil"/>
              <w:right w:val="nil"/>
            </w:tcBorders>
            <w:shd w:val="clear" w:color="000000" w:fill="CCCCCC"/>
            <w:vAlign w:val="center"/>
            <w:hideMark/>
          </w:tcPr>
          <w:p w14:paraId="60FB8FC4" w14:textId="265BE720" w:rsidR="005219D3" w:rsidRPr="005219D3" w:rsidRDefault="0067136A" w:rsidP="005219D3">
            <w:pPr>
              <w:spacing w:after="0" w:line="240" w:lineRule="auto"/>
              <w:rPr>
                <w:rFonts w:ascii="Arial" w:eastAsia="Times New Roman" w:hAnsi="Arial" w:cs="Arial"/>
                <w:b/>
                <w:bCs/>
                <w:color w:val="000000"/>
                <w:sz w:val="16"/>
                <w:szCs w:val="16"/>
                <w:lang w:eastAsia="nb-NO"/>
              </w:rPr>
            </w:pPr>
            <w:r>
              <w:rPr>
                <w:rFonts w:ascii="Arial" w:eastAsia="Times New Roman" w:hAnsi="Arial" w:cs="Arial"/>
                <w:b/>
                <w:bCs/>
                <w:color w:val="000000"/>
                <w:sz w:val="16"/>
                <w:szCs w:val="16"/>
                <w:lang w:eastAsia="nb-NO"/>
              </w:rPr>
              <w:t>I alt</w:t>
            </w:r>
            <w:r w:rsidR="00D7689C" w:rsidRPr="005219D3">
              <w:rPr>
                <w:rFonts w:ascii="Arial" w:eastAsia="Times New Roman" w:hAnsi="Arial" w:cs="Arial"/>
                <w:b/>
                <w:bCs/>
                <w:color w:val="000000"/>
                <w:sz w:val="16"/>
                <w:szCs w:val="16"/>
                <w:lang w:eastAsia="nb-NO"/>
              </w:rPr>
              <w:t xml:space="preserve"> </w:t>
            </w:r>
          </w:p>
        </w:tc>
        <w:tc>
          <w:tcPr>
            <w:tcW w:w="417" w:type="pct"/>
            <w:tcBorders>
              <w:top w:val="nil"/>
              <w:left w:val="nil"/>
              <w:bottom w:val="nil"/>
              <w:right w:val="nil"/>
            </w:tcBorders>
            <w:shd w:val="clear" w:color="000000" w:fill="CCCCCC"/>
            <w:vAlign w:val="center"/>
            <w:hideMark/>
          </w:tcPr>
          <w:p w14:paraId="2DC73795"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2,1</w:t>
            </w:r>
          </w:p>
        </w:tc>
        <w:tc>
          <w:tcPr>
            <w:tcW w:w="417" w:type="pct"/>
            <w:tcBorders>
              <w:top w:val="nil"/>
              <w:left w:val="nil"/>
              <w:bottom w:val="nil"/>
              <w:right w:val="nil"/>
            </w:tcBorders>
            <w:shd w:val="clear" w:color="000000" w:fill="CCCCCC"/>
            <w:vAlign w:val="center"/>
            <w:hideMark/>
          </w:tcPr>
          <w:p w14:paraId="4EAC1FC0"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3C4AF3AC"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1,9</w:t>
            </w:r>
          </w:p>
        </w:tc>
        <w:tc>
          <w:tcPr>
            <w:tcW w:w="417" w:type="pct"/>
            <w:tcBorders>
              <w:top w:val="nil"/>
              <w:left w:val="nil"/>
              <w:bottom w:val="nil"/>
              <w:right w:val="nil"/>
            </w:tcBorders>
            <w:shd w:val="clear" w:color="000000" w:fill="CCCCCC"/>
            <w:vAlign w:val="center"/>
            <w:hideMark/>
          </w:tcPr>
          <w:p w14:paraId="2272EF0B"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2E493F81"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2,1</w:t>
            </w:r>
          </w:p>
        </w:tc>
        <w:tc>
          <w:tcPr>
            <w:tcW w:w="417" w:type="pct"/>
            <w:tcBorders>
              <w:top w:val="nil"/>
              <w:left w:val="nil"/>
              <w:bottom w:val="nil"/>
              <w:right w:val="nil"/>
            </w:tcBorders>
            <w:shd w:val="clear" w:color="000000" w:fill="CCCCCC"/>
            <w:vAlign w:val="center"/>
            <w:hideMark/>
          </w:tcPr>
          <w:p w14:paraId="4B160EC8"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2841DD1C"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2,1</w:t>
            </w:r>
          </w:p>
        </w:tc>
        <w:tc>
          <w:tcPr>
            <w:tcW w:w="417" w:type="pct"/>
            <w:tcBorders>
              <w:top w:val="nil"/>
              <w:left w:val="nil"/>
              <w:bottom w:val="nil"/>
              <w:right w:val="nil"/>
            </w:tcBorders>
            <w:shd w:val="clear" w:color="000000" w:fill="CCCCCC"/>
            <w:vAlign w:val="center"/>
            <w:hideMark/>
          </w:tcPr>
          <w:p w14:paraId="01CC3578"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122BFC36"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1,8</w:t>
            </w:r>
          </w:p>
        </w:tc>
        <w:tc>
          <w:tcPr>
            <w:tcW w:w="417" w:type="pct"/>
            <w:tcBorders>
              <w:top w:val="nil"/>
              <w:left w:val="nil"/>
              <w:bottom w:val="nil"/>
              <w:right w:val="nil"/>
            </w:tcBorders>
            <w:shd w:val="clear" w:color="000000" w:fill="CCCCCC"/>
            <w:vAlign w:val="center"/>
            <w:hideMark/>
          </w:tcPr>
          <w:p w14:paraId="3C775F43"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4A8E6E4C" w14:textId="77777777" w:rsidR="005219D3" w:rsidRPr="005219D3" w:rsidRDefault="005219D3" w:rsidP="005219D3">
            <w:pPr>
              <w:spacing w:after="0" w:line="240" w:lineRule="auto"/>
              <w:jc w:val="right"/>
              <w:rPr>
                <w:rFonts w:ascii="Arial" w:eastAsia="Times New Roman" w:hAnsi="Arial" w:cs="Arial"/>
                <w:b/>
                <w:bCs/>
                <w:color w:val="000000"/>
                <w:sz w:val="16"/>
                <w:szCs w:val="16"/>
                <w:lang w:eastAsia="nb-NO"/>
              </w:rPr>
            </w:pPr>
            <w:r w:rsidRPr="005219D3">
              <w:rPr>
                <w:rFonts w:ascii="Arial" w:eastAsia="Times New Roman" w:hAnsi="Arial" w:cs="Arial"/>
                <w:b/>
                <w:bCs/>
                <w:color w:val="000000"/>
                <w:sz w:val="16"/>
                <w:szCs w:val="16"/>
                <w:lang w:eastAsia="nb-NO"/>
              </w:rPr>
              <w:t>-0,3</w:t>
            </w:r>
          </w:p>
        </w:tc>
      </w:tr>
    </w:tbl>
    <w:p w14:paraId="499E8E58" w14:textId="380EFB30" w:rsidR="004F764C" w:rsidRDefault="004F764C" w:rsidP="004237BB">
      <w:pPr>
        <w:pStyle w:val="Kilde"/>
        <w:spacing w:before="120"/>
      </w:pPr>
      <w:r>
        <w:t xml:space="preserve">Kilde: </w:t>
      </w:r>
      <w:proofErr w:type="spellStart"/>
      <w:r>
        <w:t>DBH</w:t>
      </w:r>
      <w:proofErr w:type="spellEnd"/>
    </w:p>
    <w:p w14:paraId="5BC87B59" w14:textId="7D88EB1D" w:rsidR="004504B4" w:rsidRDefault="00B93162" w:rsidP="000225EF">
      <w:r w:rsidRPr="00B93162">
        <w:t xml:space="preserve">Tallet på kvalifiserte </w:t>
      </w:r>
      <w:proofErr w:type="spellStart"/>
      <w:r w:rsidRPr="00B93162">
        <w:t>førstevalgssøkere</w:t>
      </w:r>
      <w:proofErr w:type="spellEnd"/>
      <w:r w:rsidRPr="00B93162">
        <w:t xml:space="preserve"> per studieplass varierer </w:t>
      </w:r>
      <w:r w:rsidR="00905F6C">
        <w:t xml:space="preserve">vesentlig </w:t>
      </w:r>
      <w:r w:rsidRPr="00B93162">
        <w:t xml:space="preserve">mellom utdanningsinstitusjonene, se </w:t>
      </w:r>
      <w:proofErr w:type="spellStart"/>
      <w:r w:rsidRPr="00B93162">
        <w:t>vedleggstabell</w:t>
      </w:r>
      <w:proofErr w:type="spellEnd"/>
      <w:r w:rsidR="001E5F66">
        <w:t xml:space="preserve"> </w:t>
      </w:r>
      <w:hyperlink r:id="rId14" w:history="1">
        <w:r w:rsidRPr="001E5F66">
          <w:rPr>
            <w:rStyle w:val="Hyperkobling"/>
          </w:rPr>
          <w:t>V2.5</w:t>
        </w:r>
      </w:hyperlink>
      <w:r w:rsidRPr="00B93162">
        <w:t xml:space="preserve">. </w:t>
      </w:r>
      <w:r w:rsidR="00585879">
        <w:t>I likhet med</w:t>
      </w:r>
      <w:r w:rsidRPr="00B93162">
        <w:t xml:space="preserve"> tidligere år</w:t>
      </w:r>
      <w:r w:rsidR="00585879">
        <w:t>,</w:t>
      </w:r>
      <w:r w:rsidRPr="00B93162">
        <w:t xml:space="preserve"> </w:t>
      </w:r>
      <w:r w:rsidR="0069269A">
        <w:t xml:space="preserve">er det </w:t>
      </w:r>
      <w:r w:rsidR="0069269A" w:rsidRPr="0069269A">
        <w:t xml:space="preserve">flest kvalifiserte </w:t>
      </w:r>
      <w:proofErr w:type="spellStart"/>
      <w:r w:rsidR="0031281E">
        <w:t>førstevalgs</w:t>
      </w:r>
      <w:r w:rsidR="0069269A" w:rsidRPr="0069269A">
        <w:t>søkere</w:t>
      </w:r>
      <w:proofErr w:type="spellEnd"/>
      <w:r w:rsidR="0069269A" w:rsidRPr="0069269A">
        <w:t xml:space="preserve"> per studieplass </w:t>
      </w:r>
      <w:r w:rsidR="0069269A">
        <w:t>ved</w:t>
      </w:r>
      <w:r w:rsidRPr="00B93162">
        <w:t xml:space="preserve"> enkelte </w:t>
      </w:r>
      <w:r w:rsidR="0069269A">
        <w:t xml:space="preserve">av de </w:t>
      </w:r>
      <w:r w:rsidRPr="00B93162">
        <w:t>spesialiserte institusjone</w:t>
      </w:r>
      <w:r w:rsidR="0069269A">
        <w:t>ne</w:t>
      </w:r>
      <w:r w:rsidR="008710EE">
        <w:t>.</w:t>
      </w:r>
      <w:r w:rsidR="001957E2">
        <w:t xml:space="preserve"> Særlig gjelder dette </w:t>
      </w:r>
      <w:r w:rsidRPr="00C12FAA">
        <w:t>AH</w:t>
      </w:r>
      <w:r w:rsidR="00645805">
        <w:t>O</w:t>
      </w:r>
      <w:r w:rsidR="001957E2">
        <w:t xml:space="preserve">, som </w:t>
      </w:r>
      <w:r w:rsidR="00C81A8F">
        <w:t xml:space="preserve">med god margin </w:t>
      </w:r>
      <w:r w:rsidR="001957E2">
        <w:t xml:space="preserve">har </w:t>
      </w:r>
      <w:r w:rsidR="00100825" w:rsidRPr="00C12FAA">
        <w:t>doblet antall</w:t>
      </w:r>
      <w:r w:rsidR="001022D7">
        <w:t>et</w:t>
      </w:r>
      <w:r w:rsidR="00100825" w:rsidRPr="00C12FAA">
        <w:t xml:space="preserve"> </w:t>
      </w:r>
      <w:r w:rsidR="00CB1C32" w:rsidRPr="00C12FAA">
        <w:t xml:space="preserve">kvalifiserte </w:t>
      </w:r>
      <w:r w:rsidR="00100825" w:rsidRPr="00C12FAA">
        <w:t xml:space="preserve">søkere </w:t>
      </w:r>
      <w:r w:rsidR="00A147AD">
        <w:t>per studieplass</w:t>
      </w:r>
      <w:r w:rsidR="00AC359B">
        <w:t xml:space="preserve"> på ett år</w:t>
      </w:r>
      <w:r w:rsidR="00CC7D94" w:rsidRPr="00C12FAA">
        <w:t xml:space="preserve">, fra </w:t>
      </w:r>
      <w:r w:rsidR="004136CD" w:rsidRPr="00C12FAA">
        <w:t xml:space="preserve">2,4 </w:t>
      </w:r>
      <w:r w:rsidR="00C81A8F">
        <w:t xml:space="preserve">i 2021 </w:t>
      </w:r>
      <w:r w:rsidR="004136CD" w:rsidRPr="00C12FAA">
        <w:t xml:space="preserve">til </w:t>
      </w:r>
      <w:r w:rsidR="00027CEE" w:rsidRPr="00C12FAA">
        <w:t>5,4</w:t>
      </w:r>
      <w:r w:rsidR="00B15661">
        <w:t xml:space="preserve"> </w:t>
      </w:r>
      <w:r w:rsidR="00C81A8F">
        <w:t xml:space="preserve">i 2022. </w:t>
      </w:r>
      <w:r w:rsidR="00C40FA8">
        <w:t xml:space="preserve">AHO </w:t>
      </w:r>
      <w:r w:rsidR="00C32EAA">
        <w:t>har</w:t>
      </w:r>
      <w:r w:rsidR="0095251B" w:rsidRPr="0095251B">
        <w:t xml:space="preserve"> </w:t>
      </w:r>
      <w:r w:rsidR="00C81A8F">
        <w:t>dermed</w:t>
      </w:r>
      <w:r w:rsidR="0095251B" w:rsidRPr="0095251B">
        <w:t xml:space="preserve"> </w:t>
      </w:r>
      <w:r w:rsidR="00A80366">
        <w:t>størst</w:t>
      </w:r>
      <w:r w:rsidR="00A80366" w:rsidRPr="0095251B">
        <w:t xml:space="preserve"> </w:t>
      </w:r>
      <w:r w:rsidR="00975E29">
        <w:t xml:space="preserve">konkurranse om studieplassene </w:t>
      </w:r>
      <w:r w:rsidR="0095251B" w:rsidRPr="0095251B">
        <w:t>av samtlige UH-institusjoner</w:t>
      </w:r>
      <w:r w:rsidR="00B15661">
        <w:t xml:space="preserve"> </w:t>
      </w:r>
      <w:r w:rsidR="00777776">
        <w:t xml:space="preserve">i </w:t>
      </w:r>
      <w:r w:rsidR="00DE407F">
        <w:t>tallmaterialet</w:t>
      </w:r>
      <w:r w:rsidR="00027CEE" w:rsidRPr="00C12FAA">
        <w:t>.</w:t>
      </w:r>
      <w:r w:rsidR="00672651" w:rsidRPr="00C12FAA">
        <w:t xml:space="preserve"> </w:t>
      </w:r>
      <w:r w:rsidR="00030308">
        <w:t xml:space="preserve">Også </w:t>
      </w:r>
      <w:r w:rsidR="00991207">
        <w:t xml:space="preserve">NHH og NIH ligger høyt med henholdsvis </w:t>
      </w:r>
      <w:r w:rsidR="003E57DD">
        <w:t>3,9 og 3,</w:t>
      </w:r>
      <w:r w:rsidR="009F529A">
        <w:t>6</w:t>
      </w:r>
      <w:r w:rsidR="00950F10">
        <w:t xml:space="preserve"> kvalifiserte</w:t>
      </w:r>
      <w:r w:rsidR="009F529A">
        <w:t xml:space="preserve"> søkere per studieplass. </w:t>
      </w:r>
    </w:p>
    <w:p w14:paraId="5FEB15EB" w14:textId="78089EA8" w:rsidR="00A0275B" w:rsidRDefault="00B93162" w:rsidP="000225EF">
      <w:r w:rsidRPr="00B326A9">
        <w:t xml:space="preserve">Blant de </w:t>
      </w:r>
      <w:r w:rsidR="00950F10" w:rsidRPr="00B326A9">
        <w:t xml:space="preserve">store </w:t>
      </w:r>
      <w:r w:rsidR="005F627F" w:rsidRPr="00B326A9">
        <w:t>bredde</w:t>
      </w:r>
      <w:r w:rsidRPr="00B326A9">
        <w:t>institusjonene er det UiO (2,</w:t>
      </w:r>
      <w:r w:rsidR="00B326A9" w:rsidRPr="00B326A9">
        <w:t>5</w:t>
      </w:r>
      <w:r w:rsidRPr="00B326A9">
        <w:t>)</w:t>
      </w:r>
      <w:r w:rsidR="00E848B8" w:rsidRPr="00B326A9">
        <w:t xml:space="preserve"> </w:t>
      </w:r>
      <w:r w:rsidRPr="00B326A9">
        <w:t xml:space="preserve">som har </w:t>
      </w:r>
      <w:r w:rsidR="00B326A9" w:rsidRPr="00B326A9">
        <w:t>flest</w:t>
      </w:r>
      <w:r w:rsidRPr="00B326A9">
        <w:t xml:space="preserve"> kvalifiserte </w:t>
      </w:r>
      <w:proofErr w:type="spellStart"/>
      <w:r w:rsidR="0031797E">
        <w:t>førstevalgs</w:t>
      </w:r>
      <w:r w:rsidRPr="00B326A9">
        <w:t>søkere</w:t>
      </w:r>
      <w:proofErr w:type="spellEnd"/>
      <w:r w:rsidRPr="00B326A9">
        <w:t xml:space="preserve"> per studieplass.</w:t>
      </w:r>
      <w:r w:rsidR="004504B4">
        <w:t xml:space="preserve"> </w:t>
      </w:r>
      <w:r w:rsidR="005F0C69">
        <w:t>E</w:t>
      </w:r>
      <w:r w:rsidR="00C014B2">
        <w:t>nkelte små</w:t>
      </w:r>
      <w:r w:rsidR="00350F4E">
        <w:t>,</w:t>
      </w:r>
      <w:r w:rsidR="004A275E">
        <w:t xml:space="preserve"> spesialiserte institusjoner</w:t>
      </w:r>
      <w:r w:rsidR="00E80418">
        <w:t xml:space="preserve"> </w:t>
      </w:r>
      <w:r w:rsidR="005F0C69">
        <w:t>har</w:t>
      </w:r>
      <w:r w:rsidR="00F721A5">
        <w:t xml:space="preserve"> </w:t>
      </w:r>
      <w:r w:rsidR="00EC2B8D">
        <w:t xml:space="preserve">under </w:t>
      </w:r>
      <w:r w:rsidR="002B728D">
        <w:t xml:space="preserve">én </w:t>
      </w:r>
      <w:r w:rsidR="002B728D">
        <w:lastRenderedPageBreak/>
        <w:t xml:space="preserve">kvalifisert </w:t>
      </w:r>
      <w:proofErr w:type="spellStart"/>
      <w:r w:rsidR="002B728D">
        <w:t>førstevalgssøker</w:t>
      </w:r>
      <w:proofErr w:type="spellEnd"/>
      <w:r w:rsidR="002B728D">
        <w:t xml:space="preserve"> </w:t>
      </w:r>
      <w:r w:rsidR="008D543E">
        <w:t xml:space="preserve">per studieplass. </w:t>
      </w:r>
      <w:r w:rsidR="00EE6687">
        <w:t>Flertallet</w:t>
      </w:r>
      <w:r w:rsidR="004B6A97">
        <w:t xml:space="preserve"> av disse</w:t>
      </w:r>
      <w:r w:rsidR="005F0C69">
        <w:t xml:space="preserve"> er private</w:t>
      </w:r>
      <w:r w:rsidR="00865997">
        <w:t xml:space="preserve"> institusjoner med krist</w:t>
      </w:r>
      <w:r w:rsidR="00A0275B">
        <w:t xml:space="preserve">ent verdigrunnlag, som </w:t>
      </w:r>
      <w:proofErr w:type="spellStart"/>
      <w:r w:rsidR="006B1480">
        <w:t>FHI</w:t>
      </w:r>
      <w:proofErr w:type="spellEnd"/>
      <w:r w:rsidR="007E6A88">
        <w:t xml:space="preserve">, </w:t>
      </w:r>
      <w:r w:rsidR="009B7041">
        <w:t xml:space="preserve">MF, </w:t>
      </w:r>
      <w:r w:rsidR="00C01914">
        <w:t xml:space="preserve">NLA </w:t>
      </w:r>
      <w:r w:rsidR="00E30E0F">
        <w:t xml:space="preserve">og </w:t>
      </w:r>
      <w:proofErr w:type="spellStart"/>
      <w:r w:rsidR="00E30E0F">
        <w:t>DMMH</w:t>
      </w:r>
      <w:proofErr w:type="spellEnd"/>
      <w:r w:rsidR="00C95834">
        <w:t xml:space="preserve">. </w:t>
      </w:r>
      <w:r w:rsidR="00DE2225">
        <w:t xml:space="preserve">Lavest ligger </w:t>
      </w:r>
      <w:r w:rsidR="008A2321">
        <w:t xml:space="preserve">statlige </w:t>
      </w:r>
      <w:r w:rsidR="008F1E37">
        <w:t xml:space="preserve">SH </w:t>
      </w:r>
      <w:r w:rsidR="00592240">
        <w:t xml:space="preserve">med </w:t>
      </w:r>
      <w:r w:rsidR="00A547C7">
        <w:t>kun 0,2</w:t>
      </w:r>
      <w:r w:rsidR="00AA16F4" w:rsidRPr="00AA16F4">
        <w:t xml:space="preserve"> kvalifiserte </w:t>
      </w:r>
      <w:proofErr w:type="spellStart"/>
      <w:r w:rsidR="00AA16F4" w:rsidRPr="00AA16F4">
        <w:t>førstevalgssøkere</w:t>
      </w:r>
      <w:proofErr w:type="spellEnd"/>
      <w:r w:rsidR="00AA16F4" w:rsidRPr="00AA16F4">
        <w:t xml:space="preserve"> </w:t>
      </w:r>
      <w:r w:rsidR="00504E29">
        <w:t>per studieplass.</w:t>
      </w:r>
    </w:p>
    <w:p w14:paraId="73532FB1" w14:textId="00238CCA" w:rsidR="008220AB" w:rsidRDefault="00B92DF5">
      <w:bookmarkStart w:id="26" w:name="_Hlk126925545"/>
      <w:proofErr w:type="spellStart"/>
      <w:r w:rsidRPr="00B92DF5">
        <w:t>Vedleggstabell</w:t>
      </w:r>
      <w:proofErr w:type="spellEnd"/>
      <w:r w:rsidRPr="00B92DF5">
        <w:t xml:space="preserve"> </w:t>
      </w:r>
      <w:hyperlink r:id="rId15" w:history="1">
        <w:r w:rsidRPr="001E5F66">
          <w:rPr>
            <w:rStyle w:val="Hyperkobling"/>
          </w:rPr>
          <w:t>V2.6</w:t>
        </w:r>
      </w:hyperlink>
      <w:r w:rsidRPr="00B92DF5">
        <w:t xml:space="preserve"> viser poengsnitt for studenter som er tatt opp. </w:t>
      </w:r>
      <w:r w:rsidR="00BF636D">
        <w:t xml:space="preserve">Ikke </w:t>
      </w:r>
      <w:r w:rsidR="008D39D8">
        <w:t>overraskende er a</w:t>
      </w:r>
      <w:r w:rsidR="00610B0A" w:rsidRPr="00F01288">
        <w:t xml:space="preserve">ntall </w:t>
      </w:r>
      <w:r w:rsidR="00160CCF" w:rsidRPr="00F01288">
        <w:t>søkere</w:t>
      </w:r>
      <w:r w:rsidR="00610B0A" w:rsidRPr="00F01288">
        <w:t xml:space="preserve"> per studieplass </w:t>
      </w:r>
      <w:r w:rsidR="00C623E4">
        <w:t xml:space="preserve">positivt </w:t>
      </w:r>
      <w:r w:rsidR="006976B7">
        <w:t>korrelert</w:t>
      </w:r>
      <w:r w:rsidR="006660E5">
        <w:t xml:space="preserve"> </w:t>
      </w:r>
      <w:r w:rsidR="001617D5" w:rsidRPr="00F01288">
        <w:t xml:space="preserve">med </w:t>
      </w:r>
      <w:r w:rsidR="00076EEA" w:rsidRPr="00F01288">
        <w:t>inntakskvalitet</w:t>
      </w:r>
      <w:r w:rsidR="00F74A9F" w:rsidRPr="00F01288">
        <w:t xml:space="preserve"> på institusjonsniv</w:t>
      </w:r>
      <w:r w:rsidR="008F6CE9">
        <w:t>å</w:t>
      </w:r>
      <w:r w:rsidR="00076EEA" w:rsidRPr="00F01288">
        <w:t>.</w:t>
      </w:r>
      <w:r w:rsidR="00F74A9F" w:rsidRPr="00F01288">
        <w:rPr>
          <w:rStyle w:val="Fotnotereferanse"/>
        </w:rPr>
        <w:footnoteReference w:id="3"/>
      </w:r>
      <w:r w:rsidR="00076EEA">
        <w:t xml:space="preserve"> </w:t>
      </w:r>
      <w:bookmarkEnd w:id="26"/>
      <w:r w:rsidR="00C874F8" w:rsidRPr="00C874F8">
        <w:t>Som det ble påpekt i Tilstandsrapporten 2021, ligger institusjonene med høyest poengsnitt for opptak i de tre største universitetsbyene.</w:t>
      </w:r>
      <w:r w:rsidR="009A0FDE">
        <w:t xml:space="preserve"> L</w:t>
      </w:r>
      <w:r w:rsidR="00E0048A">
        <w:t xml:space="preserve">avest </w:t>
      </w:r>
      <w:r w:rsidR="00A411DB">
        <w:t>av de statlige</w:t>
      </w:r>
      <w:r w:rsidR="00E0048A">
        <w:t xml:space="preserve"> ligger </w:t>
      </w:r>
      <w:proofErr w:type="spellStart"/>
      <w:r w:rsidR="00162C2C">
        <w:t>HiM</w:t>
      </w:r>
      <w:proofErr w:type="spellEnd"/>
      <w:r w:rsidR="00162C2C">
        <w:t xml:space="preserve"> med </w:t>
      </w:r>
      <w:r w:rsidR="00FB3F63">
        <w:t xml:space="preserve">et snitt på </w:t>
      </w:r>
      <w:r w:rsidR="009047BE">
        <w:t xml:space="preserve">39,1 </w:t>
      </w:r>
      <w:r w:rsidR="009E3986">
        <w:t>karakter</w:t>
      </w:r>
      <w:r w:rsidR="00FB3F63">
        <w:t xml:space="preserve">poeng og </w:t>
      </w:r>
      <w:r w:rsidR="00CC7DDA">
        <w:t>N</w:t>
      </w:r>
      <w:r w:rsidR="00943055">
        <w:t>U</w:t>
      </w:r>
      <w:r w:rsidR="00CC7DDA">
        <w:t xml:space="preserve"> </w:t>
      </w:r>
      <w:r w:rsidR="00FB3F63">
        <w:t xml:space="preserve">med </w:t>
      </w:r>
      <w:r w:rsidR="001D3D07">
        <w:t>40</w:t>
      </w:r>
      <w:r w:rsidR="0035575C">
        <w:t xml:space="preserve"> poeng</w:t>
      </w:r>
      <w:r w:rsidR="00B159C2">
        <w:t xml:space="preserve"> per </w:t>
      </w:r>
      <w:r w:rsidR="003A4DAB">
        <w:t xml:space="preserve">opptatt </w:t>
      </w:r>
      <w:r w:rsidR="00B159C2">
        <w:t>student</w:t>
      </w:r>
      <w:r w:rsidR="001D3D07">
        <w:t>.</w:t>
      </w:r>
    </w:p>
    <w:p w14:paraId="6E27DFA5" w14:textId="2EE453CB" w:rsidR="00A8178C" w:rsidRDefault="0020375A">
      <w:r>
        <w:t>De</w:t>
      </w:r>
      <w:r w:rsidR="003A769E" w:rsidRPr="003F1778">
        <w:t xml:space="preserve"> siste to</w:t>
      </w:r>
      <w:r w:rsidR="00AA074F" w:rsidRPr="003F1778">
        <w:t xml:space="preserve"> årene har det vært</w:t>
      </w:r>
      <w:r w:rsidR="00467C8E" w:rsidRPr="003F1778">
        <w:t xml:space="preserve"> </w:t>
      </w:r>
      <w:r w:rsidR="000E5419">
        <w:t xml:space="preserve">en </w:t>
      </w:r>
      <w:r w:rsidR="002629C8">
        <w:t>reduksjon</w:t>
      </w:r>
      <w:r w:rsidR="00AA074F" w:rsidRPr="003F1778">
        <w:t xml:space="preserve"> i antallet studenter som møter til studiestart</w:t>
      </w:r>
      <w:r w:rsidR="007B1F52">
        <w:t>, og a</w:t>
      </w:r>
      <w:r w:rsidR="007B1F52" w:rsidRPr="007B1F52">
        <w:t xml:space="preserve">ntallet er nå det laveste siden 2017. </w:t>
      </w:r>
      <w:r w:rsidR="006F683A" w:rsidRPr="00B93ACE">
        <w:t>Fallet</w:t>
      </w:r>
      <w:r w:rsidR="006F683A">
        <w:t xml:space="preserve"> i </w:t>
      </w:r>
      <w:r w:rsidR="00937F37">
        <w:t>frammøte</w:t>
      </w:r>
      <w:r w:rsidR="00B93ACE" w:rsidRPr="00B93ACE">
        <w:t xml:space="preserve"> kommer etter kontinuerlig vekst fram til toppåret 2020. </w:t>
      </w:r>
      <w:r w:rsidR="002665FE" w:rsidRPr="002665FE">
        <w:t>Samlet n</w:t>
      </w:r>
      <w:r w:rsidR="00FE0220" w:rsidRPr="002665FE">
        <w:t>edgang</w:t>
      </w:r>
      <w:r w:rsidR="002665FE" w:rsidRPr="002665FE">
        <w:t xml:space="preserve"> </w:t>
      </w:r>
      <w:r w:rsidR="002C0EDF">
        <w:t xml:space="preserve">de </w:t>
      </w:r>
      <w:r w:rsidR="002665FE" w:rsidRPr="002665FE">
        <w:t>siste to år</w:t>
      </w:r>
      <w:r w:rsidR="002C0EDF">
        <w:t>ene</w:t>
      </w:r>
      <w:r w:rsidR="002665FE" w:rsidRPr="002665FE">
        <w:t xml:space="preserve"> (2020</w:t>
      </w:r>
      <w:r w:rsidR="005358A5">
        <w:t>–</w:t>
      </w:r>
      <w:r w:rsidR="002665FE" w:rsidRPr="002665FE">
        <w:t>2022)</w:t>
      </w:r>
      <w:r w:rsidR="00FE0220" w:rsidRPr="002665FE">
        <w:t xml:space="preserve"> er på </w:t>
      </w:r>
      <w:r w:rsidR="00731212">
        <w:t>9</w:t>
      </w:r>
      <w:r w:rsidR="00FE0220" w:rsidRPr="002665FE">
        <w:t xml:space="preserve"> prosent. </w:t>
      </w:r>
      <w:r w:rsidR="00CF68AB" w:rsidRPr="00FC115B">
        <w:t>Den relative n</w:t>
      </w:r>
      <w:r w:rsidR="00FB55FD" w:rsidRPr="00FC115B">
        <w:t xml:space="preserve">edgangen </w:t>
      </w:r>
      <w:r w:rsidR="00625EA2" w:rsidRPr="00FC115B">
        <w:t xml:space="preserve">er </w:t>
      </w:r>
      <w:r w:rsidR="003F2042" w:rsidRPr="00FC115B">
        <w:t>størst blant de private i</w:t>
      </w:r>
      <w:r w:rsidR="00892ED8" w:rsidRPr="00FC115B">
        <w:t>n</w:t>
      </w:r>
      <w:r w:rsidR="003F2042" w:rsidRPr="00FC115B">
        <w:t>stitusjonene</w:t>
      </w:r>
      <w:r w:rsidR="00625EA2" w:rsidRPr="00FC115B">
        <w:t xml:space="preserve">, med </w:t>
      </w:r>
      <w:r w:rsidR="00BE3CAE" w:rsidRPr="00FC115B">
        <w:t>1</w:t>
      </w:r>
      <w:r w:rsidR="007B430A" w:rsidRPr="00FC115B">
        <w:t>6</w:t>
      </w:r>
      <w:r w:rsidR="00892ED8" w:rsidRPr="00FC115B">
        <w:t xml:space="preserve"> prosent </w:t>
      </w:r>
      <w:r w:rsidR="00840F79" w:rsidRPr="00FC115B">
        <w:t>færre møtte</w:t>
      </w:r>
      <w:r w:rsidR="00206A05" w:rsidRPr="00FC115B">
        <w:t xml:space="preserve"> studenter</w:t>
      </w:r>
      <w:r w:rsidR="00840F79" w:rsidRPr="00FC115B">
        <w:t xml:space="preserve"> i 2022 enn </w:t>
      </w:r>
      <w:r w:rsidR="00BE3CAE" w:rsidRPr="00FC115B">
        <w:t>to år tidligere</w:t>
      </w:r>
      <w:r w:rsidR="005B6B9C" w:rsidRPr="00FC115B">
        <w:t>. T</w:t>
      </w:r>
      <w:r w:rsidR="00840F79" w:rsidRPr="00FC115B">
        <w:t xml:space="preserve">ilsvarende </w:t>
      </w:r>
      <w:r w:rsidR="00055637" w:rsidRPr="00FC115B">
        <w:t xml:space="preserve">nedgang </w:t>
      </w:r>
      <w:r w:rsidR="00892ED8" w:rsidRPr="00FC115B">
        <w:t>hos de statlige utdanningsinstitusjonene</w:t>
      </w:r>
      <w:r w:rsidR="005B6B9C" w:rsidRPr="00FC115B">
        <w:t xml:space="preserve"> er </w:t>
      </w:r>
      <w:r w:rsidR="00701A20">
        <w:t>8</w:t>
      </w:r>
      <w:r w:rsidR="005B6B9C" w:rsidRPr="00FC115B">
        <w:t xml:space="preserve"> prosent</w:t>
      </w:r>
      <w:r w:rsidR="00650BA0" w:rsidRPr="00FC115B">
        <w:t>, det samme som for sektoren samlet</w:t>
      </w:r>
      <w:r w:rsidR="00892ED8" w:rsidRPr="00FC115B">
        <w:t>.</w:t>
      </w:r>
      <w:r w:rsidR="00892ED8">
        <w:t xml:space="preserve"> </w:t>
      </w:r>
    </w:p>
    <w:p w14:paraId="2174FE97" w14:textId="7E107E3D" w:rsidR="002B1CD4" w:rsidRDefault="00203B00" w:rsidP="002B1CD4">
      <w:r>
        <w:t>Etter</w:t>
      </w:r>
      <w:r w:rsidR="00C31A83">
        <w:t xml:space="preserve"> opptaket til </w:t>
      </w:r>
      <w:r w:rsidR="00873200">
        <w:t>universiteter og høyskoler i Samordna opptak</w:t>
      </w:r>
      <w:r w:rsidR="00A0237D">
        <w:t xml:space="preserve">, står det hvert år igjen en gruppe kvalifiserte søkere som ikke får studieplass. SSB har </w:t>
      </w:r>
      <w:r w:rsidR="005B191A">
        <w:t>i 2</w:t>
      </w:r>
      <w:r w:rsidR="005C7317">
        <w:t xml:space="preserve">023 </w:t>
      </w:r>
      <w:r w:rsidR="00CD5AA7">
        <w:t>presentert en rapport som tar for seg kjennetegn ved denne gruppe</w:t>
      </w:r>
      <w:r w:rsidR="0049235B">
        <w:t xml:space="preserve">n og følger den videre i tiden etterpå </w:t>
      </w:r>
      <w:r w:rsidR="0098211A">
        <w:fldChar w:fldCharType="begin"/>
      </w:r>
      <w:r w:rsidR="0098211A">
        <w:instrText xml:space="preserve"> ADDIN EN.CITE &lt;EndNote&gt;&lt;Cite&gt;&lt;Author&gt;Lervåg&lt;/Author&gt;&lt;Year&gt;2023&lt;/Year&gt;&lt;RecNum&gt;1855&lt;/RecNum&gt;&lt;DisplayText&gt;(Lervåg &amp;amp; Fazli, 2023)&lt;/DisplayText&gt;&lt;record&gt;&lt;rec-number&gt;1855&lt;/rec-number&gt;&lt;foreign-keys&gt;&lt;key app="EN" db-id="s09wp0wxtwz9aue509w52eagvset90vxefrw" timestamp="1683214915" guid="4f5dccbb-f878-450f-8bc3-dbf43ef42660"&gt;1855&lt;/key&gt;&lt;/foreign-keys&gt;&lt;ref-type name="Report"&gt;27&lt;/ref-type&gt;&lt;contributors&gt;&lt;authors&gt;&lt;author&gt;Lervåg, Maj-Lisa&lt;/author&gt;&lt;author&gt;Fazli, Nawid&lt;/author&gt;&lt;/authors&gt;&lt;tertiary-authors&gt;&lt;author&gt;SSB&lt;/author&gt;&lt;/tertiary-authors&gt;&lt;/contributors&gt;&lt;titles&gt;&lt;title&gt;Kvalifiserte søkere uten tilbud om studieplass&lt;/title&gt;&lt;/titles&gt;&lt;dates&gt;&lt;year&gt;2023&lt;/year&gt;&lt;/dates&gt;&lt;publisher&gt;SSB&lt;/publisher&gt;&lt;isbn&gt;SSB Rapporter 2023/18&lt;/isbn&gt;&lt;urls&gt;&lt;related-urls&gt;&lt;url&gt;https://www.ssb.no/utdanning/hoyere-utdanning/artikler/kvalifiserte-sokere-uten-tilbud-om-studieplass&lt;/url&gt;&lt;/related-urls&gt;&lt;/urls&gt;&lt;/record&gt;&lt;/Cite&gt;&lt;/EndNote&gt;</w:instrText>
      </w:r>
      <w:r w:rsidR="0098211A">
        <w:fldChar w:fldCharType="separate"/>
      </w:r>
      <w:r w:rsidR="0098211A">
        <w:rPr>
          <w:noProof/>
        </w:rPr>
        <w:t>(Lervåg &amp; Fazli, 2023)</w:t>
      </w:r>
      <w:r w:rsidR="0098211A">
        <w:fldChar w:fldCharType="end"/>
      </w:r>
      <w:r w:rsidR="0098211A">
        <w:t xml:space="preserve">. </w:t>
      </w:r>
      <w:r w:rsidR="0001195F">
        <w:t xml:space="preserve">Analysen viser at kvalifiserte søkere som ikke </w:t>
      </w:r>
      <w:r w:rsidR="005E3551">
        <w:t>fikk</w:t>
      </w:r>
      <w:r w:rsidR="0001195F">
        <w:t xml:space="preserve"> studieplass </w:t>
      </w:r>
      <w:r w:rsidR="005E3551">
        <w:t>var</w:t>
      </w:r>
      <w:r w:rsidR="0001195F">
        <w:t xml:space="preserve"> </w:t>
      </w:r>
      <w:r w:rsidR="000D5183">
        <w:t xml:space="preserve">noe eldre og </w:t>
      </w:r>
      <w:r w:rsidR="00AD2397">
        <w:t xml:space="preserve">i mindre grad </w:t>
      </w:r>
      <w:r w:rsidR="005E3551">
        <w:t>hadde</w:t>
      </w:r>
      <w:r w:rsidR="00295169">
        <w:t xml:space="preserve"> </w:t>
      </w:r>
      <w:r w:rsidR="00AD2397">
        <w:t xml:space="preserve">foreldre med høyere utdanning. </w:t>
      </w:r>
      <w:r w:rsidR="002B1CD4">
        <w:t xml:space="preserve">Kvalifisere søkere med </w:t>
      </w:r>
      <w:r w:rsidR="00C5252B">
        <w:t>innvandrerbakgrunn</w:t>
      </w:r>
      <w:r w:rsidR="002B1CD4">
        <w:t xml:space="preserve"> </w:t>
      </w:r>
      <w:r w:rsidR="005E3551">
        <w:t>fikk</w:t>
      </w:r>
      <w:r w:rsidR="002B1CD4">
        <w:t xml:space="preserve"> i mindre grad tilbud om studieplass enn den øvrige befolkningen. </w:t>
      </w:r>
      <w:r w:rsidR="0056391B">
        <w:t xml:space="preserve">Videre </w:t>
      </w:r>
      <w:r w:rsidR="0065130E">
        <w:t>viser</w:t>
      </w:r>
      <w:r w:rsidR="0056391B">
        <w:t xml:space="preserve"> analysen at</w:t>
      </w:r>
      <w:r w:rsidR="0096041D">
        <w:t xml:space="preserve"> 4 av 10 </w:t>
      </w:r>
      <w:r w:rsidR="00695356">
        <w:t xml:space="preserve">i </w:t>
      </w:r>
      <w:r w:rsidR="00B145FA">
        <w:t>utvalget</w:t>
      </w:r>
      <w:r w:rsidR="00695356">
        <w:t xml:space="preserve"> </w:t>
      </w:r>
      <w:r w:rsidR="00FE10C0">
        <w:t>var registrert i høyere utdanning selv om de ikke fikk tilbud om</w:t>
      </w:r>
      <w:r w:rsidR="00CD202F">
        <w:t xml:space="preserve"> studieplass</w:t>
      </w:r>
      <w:r w:rsidR="00FE10C0">
        <w:t xml:space="preserve"> </w:t>
      </w:r>
      <w:r w:rsidR="00B15186">
        <w:t xml:space="preserve">gjennom Samordna opptak, mens omtrent like mange var registrert som </w:t>
      </w:r>
      <w:r w:rsidR="00117F73">
        <w:t>sysselsatt.</w:t>
      </w:r>
      <w:r w:rsidR="00B64A08">
        <w:t xml:space="preserve"> Halvparten av dem som ikke fikk tilbud om plass det ene året, søkte på nytt igjen året etter. </w:t>
      </w:r>
      <w:r w:rsidR="00782FF5">
        <w:t>Av disse fikk 60 prosent tilbud om studieplass.</w:t>
      </w:r>
      <w:r w:rsidR="003860E1" w:rsidRPr="003860E1">
        <w:rPr>
          <w:rStyle w:val="Fotnotereferanse"/>
        </w:rPr>
        <w:t xml:space="preserve"> </w:t>
      </w:r>
    </w:p>
    <w:p w14:paraId="2A35EE1E" w14:textId="0623C5BE" w:rsidR="00DE1EFF" w:rsidRPr="00875BF7" w:rsidRDefault="00DE1EFF">
      <w:r>
        <w:br w:type="page"/>
      </w:r>
    </w:p>
    <w:p w14:paraId="2E1B1B6B" w14:textId="256DC8A8" w:rsidR="003C7E26" w:rsidRDefault="003C7E26" w:rsidP="00AE4B98">
      <w:pPr>
        <w:pStyle w:val="Overskrift3"/>
      </w:pPr>
      <w:bookmarkStart w:id="27" w:name="_Studenter"/>
      <w:bookmarkStart w:id="28" w:name="_Ref127969318"/>
      <w:bookmarkStart w:id="29" w:name="_Toc134792718"/>
      <w:bookmarkEnd w:id="27"/>
      <w:r w:rsidRPr="003C7E26">
        <w:lastRenderedPageBreak/>
        <w:t>Studenter</w:t>
      </w:r>
      <w:bookmarkEnd w:id="28"/>
      <w:bookmarkEnd w:id="29"/>
    </w:p>
    <w:p w14:paraId="0D45A777" w14:textId="7F4D7AA0" w:rsidR="00D25F0F" w:rsidRDefault="007641CB" w:rsidP="00C44F8F">
      <w:r>
        <w:t xml:space="preserve">I 2022 </w:t>
      </w:r>
      <w:r w:rsidR="00BE3922">
        <w:t>var det</w:t>
      </w:r>
      <w:r>
        <w:t xml:space="preserve"> </w:t>
      </w:r>
      <w:r w:rsidR="00CE4CD7">
        <w:t>29</w:t>
      </w:r>
      <w:r w:rsidR="005D4E81">
        <w:t>8</w:t>
      </w:r>
      <w:r w:rsidR="00D84FBA">
        <w:t xml:space="preserve"> 000 registrerte studenter i </w:t>
      </w:r>
      <w:r w:rsidR="001419B5">
        <w:t>høyere utdanning</w:t>
      </w:r>
      <w:r w:rsidR="009579A8">
        <w:t xml:space="preserve"> ifølge tall fra Statistisk sentralbyrå (SSB)</w:t>
      </w:r>
      <w:r w:rsidR="00A40B8E">
        <w:t>,</w:t>
      </w:r>
      <w:r w:rsidR="00A40B8E" w:rsidRPr="00A40B8E">
        <w:t xml:space="preserve"> </w:t>
      </w:r>
      <w:r w:rsidR="00A40B8E">
        <w:t>se</w:t>
      </w:r>
      <w:r w:rsidR="00E82E1D">
        <w:t xml:space="preserve"> </w:t>
      </w:r>
      <w:r w:rsidR="00E82E1D">
        <w:fldChar w:fldCharType="begin"/>
      </w:r>
      <w:r w:rsidR="00E82E1D">
        <w:instrText xml:space="preserve"> REF  _Ref133165666 \* Lower \h </w:instrText>
      </w:r>
      <w:r w:rsidR="00E82E1D">
        <w:fldChar w:fldCharType="separate"/>
      </w:r>
      <w:r w:rsidR="00F262EF">
        <w:t xml:space="preserve">figur </w:t>
      </w:r>
      <w:r w:rsidR="00F262EF">
        <w:rPr>
          <w:noProof/>
        </w:rPr>
        <w:t>2</w:t>
      </w:r>
      <w:r w:rsidR="00F262EF">
        <w:t>.</w:t>
      </w:r>
      <w:r w:rsidR="00F262EF">
        <w:rPr>
          <w:noProof/>
        </w:rPr>
        <w:t>1</w:t>
      </w:r>
      <w:r w:rsidR="00E82E1D">
        <w:fldChar w:fldCharType="end"/>
      </w:r>
      <w:r w:rsidR="001419B5">
        <w:t xml:space="preserve">. </w:t>
      </w:r>
      <w:r w:rsidR="005E4763">
        <w:t xml:space="preserve">Dette tilsvarer </w:t>
      </w:r>
      <w:r w:rsidR="00121B81">
        <w:t xml:space="preserve">en nedgang på </w:t>
      </w:r>
      <w:r w:rsidR="005918C2">
        <w:t>7 000 studenter,</w:t>
      </w:r>
      <w:r w:rsidR="00C9268B">
        <w:t xml:space="preserve"> </w:t>
      </w:r>
      <w:r w:rsidR="00790E6E">
        <w:t xml:space="preserve">eller </w:t>
      </w:r>
      <w:r w:rsidR="00254EC4">
        <w:t xml:space="preserve">2 prosent, </w:t>
      </w:r>
      <w:r w:rsidR="00C9268B">
        <w:t>fra året før</w:t>
      </w:r>
      <w:r w:rsidR="007E5A29">
        <w:t xml:space="preserve">. Nedgangen kommer etter </w:t>
      </w:r>
      <w:r w:rsidR="00931CD0" w:rsidRPr="00A40B8E">
        <w:t xml:space="preserve">kraftig vekst i studentpopulasjonen </w:t>
      </w:r>
      <w:r w:rsidR="00F66634">
        <w:t>de to foregående årene</w:t>
      </w:r>
      <w:r w:rsidR="008E4A22">
        <w:t xml:space="preserve"> </w:t>
      </w:r>
      <w:r w:rsidR="00F66634">
        <w:t xml:space="preserve">og kan sies å være </w:t>
      </w:r>
      <w:r w:rsidR="005E4763" w:rsidRPr="005E4763">
        <w:t>en justering i retning av nivået før pandemien</w:t>
      </w:r>
      <w:r w:rsidR="00D02CE9">
        <w:t xml:space="preserve">. </w:t>
      </w:r>
      <w:r w:rsidR="00414BDA">
        <w:t xml:space="preserve">Tallet inkluderer </w:t>
      </w:r>
      <w:r w:rsidR="00AD5785">
        <w:t xml:space="preserve">også </w:t>
      </w:r>
      <w:r w:rsidR="00E9705F">
        <w:t>studenter på høyere utdanningsinst</w:t>
      </w:r>
      <w:r w:rsidR="00487F69">
        <w:t>it</w:t>
      </w:r>
      <w:r w:rsidR="00E9705F">
        <w:t xml:space="preserve">usjoner som </w:t>
      </w:r>
      <w:r w:rsidR="00AD5785">
        <w:t>ikke finansieres over Kunnskaps</w:t>
      </w:r>
      <w:r w:rsidR="00351B25">
        <w:t xml:space="preserve">departementets budsjett, som </w:t>
      </w:r>
      <w:r w:rsidR="00414BDA">
        <w:t xml:space="preserve">Forsvarets høgskole og Politihøgskolen. </w:t>
      </w:r>
    </w:p>
    <w:p w14:paraId="5193D205" w14:textId="222BFD06" w:rsidR="001E1C7E" w:rsidRDefault="00CE7C90" w:rsidP="00C44F8F">
      <w:r w:rsidRPr="00AB19DE">
        <w:t xml:space="preserve">Tall fra </w:t>
      </w:r>
      <w:proofErr w:type="spellStart"/>
      <w:r w:rsidRPr="00AB19DE">
        <w:t>DBH</w:t>
      </w:r>
      <w:proofErr w:type="spellEnd"/>
      <w:r w:rsidRPr="00AB19DE">
        <w:t xml:space="preserve"> viser at det var </w:t>
      </w:r>
      <w:r w:rsidR="00561093">
        <w:t>i overkant av</w:t>
      </w:r>
      <w:r w:rsidRPr="00AB19DE">
        <w:t xml:space="preserve"> </w:t>
      </w:r>
      <w:r w:rsidR="00AB19DE">
        <w:t>278</w:t>
      </w:r>
      <w:r w:rsidR="00561093">
        <w:t> 000</w:t>
      </w:r>
      <w:r w:rsidRPr="00AB19DE">
        <w:t xml:space="preserve"> studenter finansiert over Kunnskapsdepartementets budsjett</w:t>
      </w:r>
      <w:r w:rsidR="004070D8" w:rsidRPr="004070D8">
        <w:t xml:space="preserve"> høsten 2022</w:t>
      </w:r>
      <w:r w:rsidRPr="00AB19DE">
        <w:t xml:space="preserve">. Dette </w:t>
      </w:r>
      <w:r w:rsidR="00D30BCE">
        <w:t>tilsvarer</w:t>
      </w:r>
      <w:r w:rsidRPr="00AB19DE">
        <w:t xml:space="preserve"> </w:t>
      </w:r>
      <w:r w:rsidR="000570C8">
        <w:t xml:space="preserve">6 000 </w:t>
      </w:r>
      <w:r w:rsidR="007D63C8">
        <w:t xml:space="preserve">færre </w:t>
      </w:r>
      <w:r w:rsidR="0067222E">
        <w:t>studenter</w:t>
      </w:r>
      <w:r w:rsidR="000570C8">
        <w:t xml:space="preserve"> </w:t>
      </w:r>
      <w:r w:rsidR="007D63C8">
        <w:t>enn</w:t>
      </w:r>
      <w:r w:rsidRPr="00AB19DE">
        <w:t xml:space="preserve"> året før</w:t>
      </w:r>
      <w:r w:rsidR="004B2022">
        <w:t xml:space="preserve"> og </w:t>
      </w:r>
      <w:r w:rsidR="00A61119">
        <w:t xml:space="preserve">er </w:t>
      </w:r>
      <w:r w:rsidR="00DC4A6B">
        <w:t xml:space="preserve">forenlig med </w:t>
      </w:r>
      <w:r w:rsidR="00547440">
        <w:t>nedgangen i søkertal</w:t>
      </w:r>
      <w:r w:rsidR="00A63035">
        <w:t>l</w:t>
      </w:r>
      <w:r w:rsidR="00FD04E2">
        <w:t xml:space="preserve"> </w:t>
      </w:r>
      <w:r w:rsidR="008601C9">
        <w:t xml:space="preserve">omtalt </w:t>
      </w:r>
      <w:r w:rsidR="00FD04E2">
        <w:t xml:space="preserve">i </w:t>
      </w:r>
      <w:r w:rsidR="00D52B39">
        <w:t xml:space="preserve">kapittel </w:t>
      </w:r>
      <w:r w:rsidR="002E0795">
        <w:fldChar w:fldCharType="begin"/>
      </w:r>
      <w:r w:rsidR="002E0795">
        <w:instrText xml:space="preserve"> REF _Ref127475187 \r \h </w:instrText>
      </w:r>
      <w:r w:rsidR="002E0795">
        <w:fldChar w:fldCharType="separate"/>
      </w:r>
      <w:r w:rsidR="00F262EF">
        <w:t>2.1</w:t>
      </w:r>
      <w:r w:rsidR="002E0795">
        <w:fldChar w:fldCharType="end"/>
      </w:r>
      <w:r w:rsidR="00CD4F72" w:rsidRPr="00CD4F72">
        <w:t xml:space="preserve">. </w:t>
      </w:r>
      <w:r w:rsidR="00663B2D">
        <w:t>N</w:t>
      </w:r>
      <w:r w:rsidR="00A6453C">
        <w:t>edgangen</w:t>
      </w:r>
      <w:r w:rsidR="0088594F" w:rsidRPr="0088594F">
        <w:t xml:space="preserve"> kommer </w:t>
      </w:r>
      <w:r w:rsidR="000B2FCD">
        <w:t>på</w:t>
      </w:r>
      <w:r w:rsidR="0088594F" w:rsidRPr="0088594F">
        <w:t xml:space="preserve"> tross </w:t>
      </w:r>
      <w:r w:rsidR="000B2FCD">
        <w:t>av</w:t>
      </w:r>
      <w:r w:rsidR="0088594F" w:rsidRPr="0088594F">
        <w:t xml:space="preserve"> at </w:t>
      </w:r>
      <w:r w:rsidR="006A0FBF">
        <w:t xml:space="preserve">tiltakspakken </w:t>
      </w:r>
      <w:r w:rsidR="006D5980" w:rsidRPr="006D5980">
        <w:t>Utdanningsløftet</w:t>
      </w:r>
      <w:r w:rsidR="00AF5549">
        <w:t xml:space="preserve">, </w:t>
      </w:r>
      <w:r w:rsidR="00B536C4">
        <w:t xml:space="preserve">med </w:t>
      </w:r>
      <w:r w:rsidR="009919EA">
        <w:t>sin</w:t>
      </w:r>
      <w:r w:rsidR="0088594F" w:rsidRPr="0088594F">
        <w:t xml:space="preserve"> store opptrapping av </w:t>
      </w:r>
      <w:r w:rsidR="0088594F" w:rsidRPr="0044270A">
        <w:t xml:space="preserve">studieplasser i høyere utdanning </w:t>
      </w:r>
      <w:r w:rsidR="00C8007B" w:rsidRPr="0044270A">
        <w:t>i forbindelse med</w:t>
      </w:r>
      <w:r w:rsidR="006D5980" w:rsidRPr="0044270A">
        <w:t xml:space="preserve"> pandemien</w:t>
      </w:r>
      <w:r w:rsidR="000D67DC" w:rsidRPr="0044270A">
        <w:t xml:space="preserve">, </w:t>
      </w:r>
      <w:r w:rsidR="0088594F" w:rsidRPr="0044270A">
        <w:t>ble videreført i 2022</w:t>
      </w:r>
      <w:r w:rsidR="00DD785E" w:rsidRPr="0044270A">
        <w:t xml:space="preserve">. </w:t>
      </w:r>
      <w:r w:rsidR="003A2DA5">
        <w:t xml:space="preserve">Nedgangen kommer også </w:t>
      </w:r>
      <w:r w:rsidR="00372557">
        <w:t>til</w:t>
      </w:r>
      <w:r w:rsidR="003A2DA5">
        <w:t xml:space="preserve"> tross </w:t>
      </w:r>
      <w:r w:rsidR="00372557">
        <w:t>for</w:t>
      </w:r>
      <w:r w:rsidR="003A2DA5">
        <w:t xml:space="preserve"> </w:t>
      </w:r>
      <w:r w:rsidR="00F374C1">
        <w:t xml:space="preserve">de </w:t>
      </w:r>
      <w:r w:rsidR="008250C8">
        <w:t>over 500</w:t>
      </w:r>
      <w:r w:rsidR="002D1FA2">
        <w:t xml:space="preserve"> </w:t>
      </w:r>
      <w:r w:rsidR="00D90A36">
        <w:t xml:space="preserve">nye </w:t>
      </w:r>
      <w:r w:rsidR="00D90A36" w:rsidRPr="00012AAC">
        <w:t>studieplasse</w:t>
      </w:r>
      <w:r w:rsidR="00F374C1">
        <w:t xml:space="preserve">ne som ble </w:t>
      </w:r>
      <w:r w:rsidR="003857BD">
        <w:t xml:space="preserve">opprettet </w:t>
      </w:r>
      <w:r w:rsidR="00D90A36" w:rsidRPr="00012AAC">
        <w:t>spesielt for ukrainske studenter</w:t>
      </w:r>
      <w:r w:rsidR="00F13E21">
        <w:t xml:space="preserve"> høsten 2022</w:t>
      </w:r>
      <w:r w:rsidR="00BB79D1">
        <w:t>.</w:t>
      </w:r>
      <w:r w:rsidR="00FF64A6">
        <w:t xml:space="preserve"> </w:t>
      </w:r>
    </w:p>
    <w:p w14:paraId="797F83CE" w14:textId="5A7FD6F1" w:rsidR="00CB591E" w:rsidRPr="00802810" w:rsidRDefault="00506F26" w:rsidP="00C44F8F">
      <w:r>
        <w:rPr>
          <w:rFonts w:eastAsia="Times New Roman"/>
        </w:rPr>
        <w:t xml:space="preserve">Forskjellen </w:t>
      </w:r>
      <w:r w:rsidR="00D56C87">
        <w:rPr>
          <w:rFonts w:eastAsia="Times New Roman"/>
        </w:rPr>
        <w:t>i</w:t>
      </w:r>
      <w:r>
        <w:rPr>
          <w:rFonts w:eastAsia="Times New Roman"/>
        </w:rPr>
        <w:t xml:space="preserve"> </w:t>
      </w:r>
      <w:r w:rsidR="00D56C87">
        <w:rPr>
          <w:rFonts w:eastAsia="Times New Roman"/>
        </w:rPr>
        <w:t>antall registrerte studenter</w:t>
      </w:r>
      <w:r w:rsidR="000738D7">
        <w:rPr>
          <w:rFonts w:eastAsia="Times New Roman"/>
        </w:rPr>
        <w:t xml:space="preserve"> </w:t>
      </w:r>
      <w:r w:rsidR="00D56C87">
        <w:rPr>
          <w:rFonts w:eastAsia="Times New Roman"/>
        </w:rPr>
        <w:t>mellom</w:t>
      </w:r>
      <w:r w:rsidR="000738D7">
        <w:rPr>
          <w:rFonts w:eastAsia="Times New Roman"/>
        </w:rPr>
        <w:t xml:space="preserve"> </w:t>
      </w:r>
      <w:r w:rsidR="00CB591E" w:rsidRPr="009579A8">
        <w:rPr>
          <w:rFonts w:eastAsia="Times New Roman"/>
        </w:rPr>
        <w:t>SSB</w:t>
      </w:r>
      <w:r w:rsidR="000738D7">
        <w:rPr>
          <w:rFonts w:eastAsia="Times New Roman"/>
        </w:rPr>
        <w:t xml:space="preserve"> og </w:t>
      </w:r>
      <w:proofErr w:type="spellStart"/>
      <w:r w:rsidR="000738D7">
        <w:rPr>
          <w:rFonts w:eastAsia="Times New Roman"/>
        </w:rPr>
        <w:t>DBH</w:t>
      </w:r>
      <w:proofErr w:type="spellEnd"/>
      <w:r w:rsidR="000738D7">
        <w:rPr>
          <w:rFonts w:eastAsia="Times New Roman"/>
        </w:rPr>
        <w:t xml:space="preserve"> </w:t>
      </w:r>
      <w:r w:rsidR="003521A8">
        <w:rPr>
          <w:rFonts w:eastAsia="Times New Roman"/>
        </w:rPr>
        <w:t xml:space="preserve">forklares </w:t>
      </w:r>
      <w:r w:rsidR="00E967F0">
        <w:rPr>
          <w:rFonts w:eastAsia="Times New Roman"/>
        </w:rPr>
        <w:t xml:space="preserve">delvis </w:t>
      </w:r>
      <w:r w:rsidR="003521A8">
        <w:rPr>
          <w:rFonts w:eastAsia="Times New Roman"/>
        </w:rPr>
        <w:t>av</w:t>
      </w:r>
      <w:r w:rsidR="00CB591E" w:rsidRPr="009579A8">
        <w:rPr>
          <w:rFonts w:eastAsia="Times New Roman"/>
        </w:rPr>
        <w:t xml:space="preserve"> </w:t>
      </w:r>
      <w:r w:rsidR="009F22A1">
        <w:rPr>
          <w:rFonts w:eastAsia="Times New Roman"/>
        </w:rPr>
        <w:t xml:space="preserve">hvilke institusjoner </w:t>
      </w:r>
      <w:r w:rsidR="00E967F0">
        <w:rPr>
          <w:rFonts w:eastAsia="Times New Roman"/>
        </w:rPr>
        <w:t>statistikken omfatter</w:t>
      </w:r>
      <w:r w:rsidR="009F22A1">
        <w:rPr>
          <w:rFonts w:eastAsia="Times New Roman"/>
        </w:rPr>
        <w:t xml:space="preserve">. </w:t>
      </w:r>
      <w:r w:rsidR="000C5B7D">
        <w:rPr>
          <w:rFonts w:eastAsia="Times New Roman"/>
        </w:rPr>
        <w:t xml:space="preserve">En annen forskjell </w:t>
      </w:r>
      <w:r w:rsidR="005C4EEE">
        <w:rPr>
          <w:rFonts w:eastAsia="Times New Roman"/>
        </w:rPr>
        <w:t xml:space="preserve">på de to datakildene </w:t>
      </w:r>
      <w:r w:rsidR="000C5B7D">
        <w:rPr>
          <w:rFonts w:eastAsia="Times New Roman"/>
        </w:rPr>
        <w:t xml:space="preserve">er at SSB </w:t>
      </w:r>
      <w:r w:rsidR="00434133">
        <w:rPr>
          <w:rFonts w:eastAsia="Times New Roman"/>
        </w:rPr>
        <w:t xml:space="preserve">kun teller </w:t>
      </w:r>
      <w:r w:rsidR="000107C1">
        <w:rPr>
          <w:rFonts w:eastAsia="Times New Roman"/>
        </w:rPr>
        <w:t xml:space="preserve">en student </w:t>
      </w:r>
      <w:r w:rsidR="0002092F">
        <w:rPr>
          <w:rFonts w:eastAsia="Times New Roman"/>
        </w:rPr>
        <w:t>é</w:t>
      </w:r>
      <w:r w:rsidR="000107C1">
        <w:rPr>
          <w:rFonts w:eastAsia="Times New Roman"/>
        </w:rPr>
        <w:t xml:space="preserve">n gang, mens </w:t>
      </w:r>
      <w:proofErr w:type="spellStart"/>
      <w:r w:rsidR="000107C1">
        <w:rPr>
          <w:rFonts w:eastAsia="Times New Roman"/>
        </w:rPr>
        <w:t>DBH</w:t>
      </w:r>
      <w:proofErr w:type="spellEnd"/>
      <w:r w:rsidR="000107C1">
        <w:rPr>
          <w:rFonts w:eastAsia="Times New Roman"/>
        </w:rPr>
        <w:t xml:space="preserve"> </w:t>
      </w:r>
      <w:r w:rsidR="00701DD7">
        <w:rPr>
          <w:rFonts w:eastAsia="Times New Roman"/>
        </w:rPr>
        <w:t>teller</w:t>
      </w:r>
      <w:r w:rsidR="000C4826">
        <w:rPr>
          <w:rFonts w:eastAsia="Times New Roman"/>
        </w:rPr>
        <w:t xml:space="preserve"> </w:t>
      </w:r>
      <w:r w:rsidR="00952900" w:rsidRPr="009579A8">
        <w:rPr>
          <w:rFonts w:eastAsia="Times New Roman"/>
        </w:rPr>
        <w:t>student</w:t>
      </w:r>
      <w:r w:rsidR="005E5731">
        <w:rPr>
          <w:rFonts w:eastAsia="Times New Roman"/>
        </w:rPr>
        <w:t>er</w:t>
      </w:r>
      <w:r w:rsidR="00952900" w:rsidRPr="009579A8">
        <w:rPr>
          <w:rFonts w:eastAsia="Times New Roman"/>
        </w:rPr>
        <w:t xml:space="preserve"> </w:t>
      </w:r>
      <w:r w:rsidR="00026974">
        <w:rPr>
          <w:rFonts w:eastAsia="Times New Roman"/>
        </w:rPr>
        <w:t xml:space="preserve">ved hver institusjon de </w:t>
      </w:r>
      <w:r w:rsidR="00701DD7">
        <w:rPr>
          <w:rFonts w:eastAsia="Times New Roman"/>
        </w:rPr>
        <w:t>er</w:t>
      </w:r>
      <w:r w:rsidR="00952900" w:rsidRPr="009579A8">
        <w:rPr>
          <w:rFonts w:eastAsia="Times New Roman"/>
        </w:rPr>
        <w:t xml:space="preserve"> registrert ved</w:t>
      </w:r>
      <w:r w:rsidR="00AA5B35">
        <w:rPr>
          <w:rFonts w:eastAsia="Times New Roman"/>
        </w:rPr>
        <w:t xml:space="preserve">. </w:t>
      </w:r>
      <w:r w:rsidR="00786DC4">
        <w:rPr>
          <w:rFonts w:eastAsia="Times New Roman"/>
        </w:rPr>
        <w:t xml:space="preserve">SSB </w:t>
      </w:r>
      <w:r w:rsidR="009B136A">
        <w:rPr>
          <w:rFonts w:eastAsia="Times New Roman"/>
        </w:rPr>
        <w:t>gi</w:t>
      </w:r>
      <w:r w:rsidR="00886FF3">
        <w:rPr>
          <w:rFonts w:eastAsia="Times New Roman"/>
        </w:rPr>
        <w:t xml:space="preserve">r derfor </w:t>
      </w:r>
      <w:r w:rsidR="009B136A">
        <w:rPr>
          <w:rFonts w:eastAsia="Times New Roman"/>
        </w:rPr>
        <w:t xml:space="preserve">et </w:t>
      </w:r>
      <w:r w:rsidR="00E54D7F">
        <w:rPr>
          <w:rFonts w:eastAsia="Times New Roman"/>
        </w:rPr>
        <w:t>korrekt</w:t>
      </w:r>
      <w:r w:rsidR="00CB591E" w:rsidRPr="009579A8">
        <w:rPr>
          <w:rFonts w:eastAsia="Times New Roman"/>
        </w:rPr>
        <w:t xml:space="preserve"> bilde</w:t>
      </w:r>
      <w:r w:rsidR="00506E11">
        <w:rPr>
          <w:rFonts w:eastAsia="Times New Roman"/>
        </w:rPr>
        <w:t xml:space="preserve"> </w:t>
      </w:r>
      <w:r w:rsidR="00CB591E" w:rsidRPr="009579A8">
        <w:rPr>
          <w:rFonts w:eastAsia="Times New Roman"/>
        </w:rPr>
        <w:t xml:space="preserve">av antall registrerte studenter på nasjonalt nivå, men ikke per lærested. </w:t>
      </w:r>
      <w:r w:rsidR="00AE6F7E">
        <w:rPr>
          <w:rFonts w:eastAsia="Times New Roman"/>
        </w:rPr>
        <w:t xml:space="preserve">Motsatt gir </w:t>
      </w:r>
      <w:proofErr w:type="spellStart"/>
      <w:r w:rsidR="00CB591E" w:rsidRPr="009579A8">
        <w:rPr>
          <w:rFonts w:eastAsia="Times New Roman"/>
        </w:rPr>
        <w:t>DBH</w:t>
      </w:r>
      <w:proofErr w:type="spellEnd"/>
      <w:r w:rsidR="00CB591E" w:rsidRPr="009579A8">
        <w:rPr>
          <w:rFonts w:eastAsia="Times New Roman"/>
        </w:rPr>
        <w:t xml:space="preserve"> et riktig bilde av antall registrerte studenter per lærested, men ikke </w:t>
      </w:r>
      <w:r w:rsidR="00E26BAF">
        <w:rPr>
          <w:rFonts w:eastAsia="Times New Roman"/>
        </w:rPr>
        <w:t xml:space="preserve">det </w:t>
      </w:r>
      <w:r w:rsidR="00F05ACD">
        <w:rPr>
          <w:rFonts w:eastAsia="Times New Roman"/>
        </w:rPr>
        <w:t xml:space="preserve">nøyaktige </w:t>
      </w:r>
      <w:r w:rsidR="00E26BAF">
        <w:rPr>
          <w:rFonts w:eastAsia="Times New Roman"/>
        </w:rPr>
        <w:t xml:space="preserve">antallet </w:t>
      </w:r>
      <w:r w:rsidR="00CB591E" w:rsidRPr="009579A8">
        <w:rPr>
          <w:rFonts w:eastAsia="Times New Roman"/>
        </w:rPr>
        <w:t>på nasjonalt nivå.</w:t>
      </w:r>
    </w:p>
    <w:p w14:paraId="02A06A66" w14:textId="6D110F1F" w:rsidR="00C44F8F" w:rsidRPr="00157D87" w:rsidRDefault="00DF5A42" w:rsidP="00DF5A42">
      <w:pPr>
        <w:pStyle w:val="Bildetekst"/>
      </w:pPr>
      <w:bookmarkStart w:id="30" w:name="_Ref133165666"/>
      <w:bookmarkStart w:id="31" w:name="_Toc134792762"/>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w:t>
      </w:r>
      <w:r>
        <w:fldChar w:fldCharType="end"/>
      </w:r>
      <w:bookmarkEnd w:id="30"/>
      <w:r>
        <w:t xml:space="preserve"> </w:t>
      </w:r>
      <w:r w:rsidRPr="00155D66">
        <w:t>Totalt antall studenter 2013</w:t>
      </w:r>
      <w:r w:rsidR="003E2BB9">
        <w:t>–</w:t>
      </w:r>
      <w:r w:rsidRPr="00155D66">
        <w:t>22</w:t>
      </w:r>
      <w:bookmarkEnd w:id="31"/>
    </w:p>
    <w:p w14:paraId="66447847" w14:textId="2D030202" w:rsidR="00157D87" w:rsidRDefault="005965D3" w:rsidP="00605924">
      <w:pPr>
        <w:keepNext/>
      </w:pPr>
      <w:r>
        <w:rPr>
          <w:noProof/>
        </w:rPr>
        <w:drawing>
          <wp:inline distT="0" distB="0" distL="0" distR="0" wp14:anchorId="6770DACB" wp14:editId="438E2D0B">
            <wp:extent cx="5186477" cy="2847975"/>
            <wp:effectExtent l="0" t="0" r="14605" b="9525"/>
            <wp:docPr id="33" name="Diagram 33">
              <a:extLst xmlns:a="http://schemas.openxmlformats.org/drawingml/2006/main">
                <a:ext uri="{FF2B5EF4-FFF2-40B4-BE49-F238E27FC236}">
                  <a16:creationId xmlns:a16="http://schemas.microsoft.com/office/drawing/2014/main" id="{1C9E8A21-A7DD-A947-0CC8-68CD3CF48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6BB984" w14:textId="06024E7D" w:rsidR="00224315" w:rsidRDefault="00157D87" w:rsidP="00605924">
      <w:pPr>
        <w:pStyle w:val="Merknad"/>
        <w:keepNext/>
      </w:pPr>
      <w:r w:rsidRPr="00157D87">
        <w:t xml:space="preserve">Figuren viser tall for alle institusjoner, også de som ikke rapporterer til </w:t>
      </w:r>
      <w:proofErr w:type="spellStart"/>
      <w:r w:rsidRPr="00157D87">
        <w:t>DBH</w:t>
      </w:r>
      <w:proofErr w:type="spellEnd"/>
      <w:r w:rsidRPr="00157D87">
        <w:t xml:space="preserve"> (jf. </w:t>
      </w:r>
      <w:proofErr w:type="spellStart"/>
      <w:r w:rsidRPr="00157D87">
        <w:t>vedleggstabell</w:t>
      </w:r>
      <w:proofErr w:type="spellEnd"/>
      <w:r w:rsidRPr="00157D87">
        <w:t xml:space="preserve"> </w:t>
      </w:r>
      <w:hyperlink r:id="rId17" w:history="1">
        <w:r w:rsidRPr="004946FC">
          <w:rPr>
            <w:rStyle w:val="Hyperkobling"/>
          </w:rPr>
          <w:t>V2.7</w:t>
        </w:r>
      </w:hyperlink>
      <w:r w:rsidR="00E91DF7">
        <w:t>)</w:t>
      </w:r>
      <w:r w:rsidR="003B05C3">
        <w:t>.</w:t>
      </w:r>
    </w:p>
    <w:p w14:paraId="6D5C2335" w14:textId="03C47B3A" w:rsidR="00E91DF7" w:rsidRPr="00157D87" w:rsidRDefault="00E91DF7" w:rsidP="00605924">
      <w:pPr>
        <w:pStyle w:val="Kilde"/>
        <w:keepNext/>
      </w:pPr>
      <w:r>
        <w:t>Kilde: Statistisk sentralbyrå, utdanningsstatistikk</w:t>
      </w:r>
    </w:p>
    <w:p w14:paraId="0394324B" w14:textId="5A64F025" w:rsidR="00AB15B1" w:rsidRDefault="00220329" w:rsidP="00605924">
      <w:pPr>
        <w:widowControl w:val="0"/>
      </w:pPr>
      <w:proofErr w:type="spellStart"/>
      <w:r>
        <w:t>Vedleggstabell</w:t>
      </w:r>
      <w:proofErr w:type="spellEnd"/>
      <w:r>
        <w:t xml:space="preserve"> </w:t>
      </w:r>
      <w:hyperlink r:id="rId18" w:history="1">
        <w:r w:rsidRPr="004946FC">
          <w:rPr>
            <w:rStyle w:val="Hyperkobling"/>
          </w:rPr>
          <w:t>V2.7</w:t>
        </w:r>
      </w:hyperlink>
      <w:r>
        <w:t xml:space="preserve"> viser antall studenter per institusjon for alle universiteter og høyskoler og </w:t>
      </w:r>
      <w:hyperlink r:id="rId19" w:history="1">
        <w:r w:rsidRPr="004946FC">
          <w:rPr>
            <w:rStyle w:val="Hyperkobling"/>
          </w:rPr>
          <w:t>V2.8</w:t>
        </w:r>
      </w:hyperlink>
      <w:r>
        <w:t xml:space="preserve"> viser antall studenter per institusjon finansiert over Kunnskapsdepartementets budsjetter. </w:t>
      </w:r>
      <w:r w:rsidR="00934DB3" w:rsidRPr="00934DB3">
        <w:t>NTNU er fremdeles den klart største utdanningsinstitusjonen i Norge med over 40</w:t>
      </w:r>
      <w:r w:rsidR="00F56110">
        <w:t> </w:t>
      </w:r>
      <w:r w:rsidR="00934DB3" w:rsidRPr="00934DB3">
        <w:t>000 registrerte studenter. Dernest følger UiO med over 25</w:t>
      </w:r>
      <w:r w:rsidR="00E12F0A">
        <w:t> </w:t>
      </w:r>
      <w:r w:rsidR="00934DB3" w:rsidRPr="00934DB3">
        <w:t>000 studenter og BI med 20</w:t>
      </w:r>
      <w:r w:rsidR="00E53C65">
        <w:t> </w:t>
      </w:r>
      <w:r w:rsidR="00934DB3" w:rsidRPr="00934DB3">
        <w:t xml:space="preserve">500 studenter. </w:t>
      </w:r>
    </w:p>
    <w:p w14:paraId="4976D576" w14:textId="158FBB27" w:rsidR="00985EBB" w:rsidRDefault="00934DB3" w:rsidP="00E13980">
      <w:r w:rsidRPr="00934DB3">
        <w:t>BI har samtidig størst</w:t>
      </w:r>
      <w:r w:rsidR="00D22FF6">
        <w:t xml:space="preserve"> absolutt</w:t>
      </w:r>
      <w:r w:rsidRPr="00934DB3">
        <w:t xml:space="preserve"> nedgang, med 1</w:t>
      </w:r>
      <w:r w:rsidR="00F65340">
        <w:t> </w:t>
      </w:r>
      <w:r w:rsidRPr="00934DB3">
        <w:t xml:space="preserve">200 færre studenter enn året før. </w:t>
      </w:r>
      <w:r w:rsidR="004773FE" w:rsidRPr="004773FE">
        <w:t xml:space="preserve">Også HK, som de foregående ti årene har hatt en studentvekst på hele 460 prosent, opplever en </w:t>
      </w:r>
      <w:r w:rsidR="004773FE" w:rsidRPr="004773FE">
        <w:lastRenderedPageBreak/>
        <w:t xml:space="preserve">nedgang på </w:t>
      </w:r>
      <w:r w:rsidR="004200C9">
        <w:t xml:space="preserve">2 </w:t>
      </w:r>
      <w:r w:rsidR="004773FE" w:rsidRPr="004773FE">
        <w:t>prosent siste år.</w:t>
      </w:r>
      <w:r w:rsidR="009D0FF1">
        <w:t xml:space="preserve"> </w:t>
      </w:r>
      <w:r w:rsidR="004303E4">
        <w:t>D</w:t>
      </w:r>
      <w:r w:rsidRPr="00934DB3">
        <w:t xml:space="preserve">e </w:t>
      </w:r>
      <w:r w:rsidR="007D5B39">
        <w:t xml:space="preserve">fleste </w:t>
      </w:r>
      <w:r w:rsidRPr="00934DB3">
        <w:t xml:space="preserve">statlige institusjonene har nedgang, som </w:t>
      </w:r>
      <w:proofErr w:type="spellStart"/>
      <w:r w:rsidR="000C6A96">
        <w:t>USN</w:t>
      </w:r>
      <w:proofErr w:type="spellEnd"/>
      <w:r w:rsidRPr="00934DB3">
        <w:t xml:space="preserve"> med nær 900 færre studenter og </w:t>
      </w:r>
      <w:r w:rsidR="000C6A96">
        <w:t>UiB</w:t>
      </w:r>
      <w:r w:rsidRPr="00934DB3">
        <w:t xml:space="preserve"> med nær 700 færre. </w:t>
      </w:r>
    </w:p>
    <w:p w14:paraId="0C8D5794" w14:textId="051501B3" w:rsidR="00934DB3" w:rsidRDefault="00934DB3" w:rsidP="00E13980">
      <w:r w:rsidRPr="00934DB3">
        <w:t xml:space="preserve">Til tross for </w:t>
      </w:r>
      <w:r w:rsidR="00C15B2C">
        <w:t xml:space="preserve">at </w:t>
      </w:r>
      <w:r w:rsidRPr="00934DB3">
        <w:t>det overordnede</w:t>
      </w:r>
      <w:r w:rsidR="00C15B2C">
        <w:t xml:space="preserve"> institusjons</w:t>
      </w:r>
      <w:r w:rsidRPr="00934DB3">
        <w:t xml:space="preserve">bildet </w:t>
      </w:r>
      <w:r w:rsidR="00C15B2C">
        <w:t>viser</w:t>
      </w:r>
      <w:r w:rsidRPr="00934DB3">
        <w:t xml:space="preserve"> nedgang </w:t>
      </w:r>
      <w:r w:rsidR="00C15B2C">
        <w:t>eller</w:t>
      </w:r>
      <w:r w:rsidRPr="00934DB3">
        <w:t xml:space="preserve"> nullvekst</w:t>
      </w:r>
      <w:r w:rsidR="00376865">
        <w:t xml:space="preserve"> siste år</w:t>
      </w:r>
      <w:r w:rsidRPr="00934DB3">
        <w:t xml:space="preserve">, er det også enkelte </w:t>
      </w:r>
      <w:r w:rsidR="00985EBB">
        <w:t>læresteder</w:t>
      </w:r>
      <w:r w:rsidRPr="00934DB3">
        <w:t xml:space="preserve"> som vokser. Størst </w:t>
      </w:r>
      <w:r w:rsidR="00875EE1">
        <w:t xml:space="preserve">vekst i antall studenter </w:t>
      </w:r>
      <w:r w:rsidRPr="00934DB3">
        <w:t>har NIH, med 244 flere studenter enn i 2021</w:t>
      </w:r>
      <w:r w:rsidR="00596AF8">
        <w:t xml:space="preserve">, </w:t>
      </w:r>
      <w:r w:rsidRPr="00934DB3">
        <w:t xml:space="preserve">en økning på </w:t>
      </w:r>
      <w:r w:rsidR="00336E00">
        <w:t>22</w:t>
      </w:r>
      <w:r w:rsidRPr="00934DB3">
        <w:t xml:space="preserve"> prosent. Blant de private høyskolene øker VID mest</w:t>
      </w:r>
      <w:r w:rsidR="00206667">
        <w:t>,</w:t>
      </w:r>
      <w:r w:rsidRPr="00934DB3">
        <w:t xml:space="preserve"> med 201 flere studenter</w:t>
      </w:r>
      <w:r w:rsidR="00206667">
        <w:t xml:space="preserve"> </w:t>
      </w:r>
      <w:r w:rsidR="00397ED0">
        <w:t>eller</w:t>
      </w:r>
      <w:r w:rsidR="00206667">
        <w:t xml:space="preserve"> </w:t>
      </w:r>
      <w:r w:rsidR="006E60F3">
        <w:t>fire</w:t>
      </w:r>
      <w:r w:rsidR="00FF16EA">
        <w:t xml:space="preserve"> prosent</w:t>
      </w:r>
      <w:r w:rsidR="009275CB">
        <w:t xml:space="preserve"> </w:t>
      </w:r>
      <w:r w:rsidR="00F6001A">
        <w:t xml:space="preserve">i forhold til </w:t>
      </w:r>
      <w:r w:rsidR="009275CB">
        <w:t>året før</w:t>
      </w:r>
      <w:r w:rsidR="00FF16EA">
        <w:t>.</w:t>
      </w:r>
      <w:r w:rsidR="004A4CC9" w:rsidRPr="004A4CC9">
        <w:t xml:space="preserve"> </w:t>
      </w:r>
      <w:r w:rsidR="0003408A" w:rsidRPr="0003408A">
        <w:t>Flertallet av studentene i Norge, 82 prosent, er registrert ved de statlige institusjonene.</w:t>
      </w:r>
      <w:r w:rsidR="002471D9">
        <w:t xml:space="preserve"> </w:t>
      </w:r>
      <w:r w:rsidR="00F60D01">
        <w:t xml:space="preserve">Dette er </w:t>
      </w:r>
      <w:r w:rsidR="00EC6FED">
        <w:t xml:space="preserve">3 </w:t>
      </w:r>
      <w:r w:rsidR="00F60D01">
        <w:t>prosentpoeng lavere enn for ti år siden.</w:t>
      </w:r>
    </w:p>
    <w:p w14:paraId="39F711AD" w14:textId="71CF9218" w:rsidR="006855AA" w:rsidRDefault="00893AF5" w:rsidP="009002F5">
      <w:r>
        <w:t>Den relative n</w:t>
      </w:r>
      <w:r w:rsidR="00791FF2">
        <w:t xml:space="preserve">edgangen </w:t>
      </w:r>
      <w:r w:rsidR="00E17530">
        <w:t xml:space="preserve">i studenttall </w:t>
      </w:r>
      <w:r w:rsidR="002E41C6">
        <w:t>siste år</w:t>
      </w:r>
      <w:r w:rsidR="003A799B">
        <w:t xml:space="preserve"> </w:t>
      </w:r>
      <w:r w:rsidR="00144626">
        <w:t>e</w:t>
      </w:r>
      <w:r w:rsidR="00791FF2">
        <w:t xml:space="preserve">r </w:t>
      </w:r>
      <w:r>
        <w:t>nokså</w:t>
      </w:r>
      <w:r w:rsidR="00791FF2">
        <w:t xml:space="preserve"> lik for statlige</w:t>
      </w:r>
      <w:r w:rsidR="00B16C89">
        <w:t xml:space="preserve"> </w:t>
      </w:r>
      <w:r w:rsidR="00791FF2">
        <w:t>og private institusjoner</w:t>
      </w:r>
      <w:r w:rsidR="00B16C89">
        <w:t xml:space="preserve">, henholdsvis </w:t>
      </w:r>
      <w:r w:rsidR="00F332D9">
        <w:t xml:space="preserve">2 </w:t>
      </w:r>
      <w:r w:rsidR="00B16C89">
        <w:t xml:space="preserve">og </w:t>
      </w:r>
      <w:r w:rsidR="00F332D9">
        <w:t xml:space="preserve">3 </w:t>
      </w:r>
      <w:r w:rsidR="00B16C89">
        <w:t xml:space="preserve">prosent. </w:t>
      </w:r>
      <w:r w:rsidR="00D62E47">
        <w:t xml:space="preserve">Dette til tross for at </w:t>
      </w:r>
      <w:r w:rsidR="00684C3F">
        <w:t>de</w:t>
      </w:r>
      <w:r w:rsidR="005F2686">
        <w:t xml:space="preserve"> private utdanningsinstitusjonene har </w:t>
      </w:r>
      <w:r w:rsidR="00F2414C">
        <w:t xml:space="preserve">hatt en </w:t>
      </w:r>
      <w:r w:rsidR="00160788">
        <w:t>betydelig sterkere</w:t>
      </w:r>
      <w:r w:rsidR="00E11366">
        <w:t xml:space="preserve"> økning i </w:t>
      </w:r>
      <w:r w:rsidR="00272355">
        <w:t>studenter</w:t>
      </w:r>
      <w:r w:rsidR="00E11366">
        <w:t xml:space="preserve"> </w:t>
      </w:r>
      <w:r w:rsidR="00667404">
        <w:t xml:space="preserve">de </w:t>
      </w:r>
      <w:r w:rsidR="00451821">
        <w:t xml:space="preserve">to </w:t>
      </w:r>
      <w:r w:rsidR="002F10B4">
        <w:t>foregående</w:t>
      </w:r>
      <w:r w:rsidR="00BB223B">
        <w:t xml:space="preserve"> </w:t>
      </w:r>
      <w:r w:rsidR="00667404">
        <w:t>årene enn de statlige</w:t>
      </w:r>
      <w:r w:rsidR="004942B7">
        <w:t xml:space="preserve">. </w:t>
      </w:r>
      <w:r w:rsidR="00F76C51">
        <w:t>F</w:t>
      </w:r>
      <w:r w:rsidR="004942B7">
        <w:t>ra 2019 til 2021</w:t>
      </w:r>
      <w:r w:rsidR="0050338E">
        <w:t xml:space="preserve"> </w:t>
      </w:r>
      <w:r w:rsidR="00945D30">
        <w:t>økte antall studenter ved</w:t>
      </w:r>
      <w:r w:rsidR="0050338E">
        <w:t xml:space="preserve"> de private </w:t>
      </w:r>
      <w:r w:rsidR="00003092">
        <w:t>høyskolene</w:t>
      </w:r>
      <w:r w:rsidR="00AB3783">
        <w:t xml:space="preserve"> </w:t>
      </w:r>
      <w:r w:rsidR="008B7111">
        <w:t>med 20 prosent</w:t>
      </w:r>
      <w:r w:rsidR="00003092">
        <w:t xml:space="preserve">, mot </w:t>
      </w:r>
      <w:r w:rsidR="00CC3B42">
        <w:t>5</w:t>
      </w:r>
      <w:r w:rsidR="00003092">
        <w:t xml:space="preserve"> prosent ved de statlige </w:t>
      </w:r>
      <w:r w:rsidR="006B03DB">
        <w:t>UH-</w:t>
      </w:r>
      <w:r w:rsidR="00003092">
        <w:t>institusjonene.</w:t>
      </w:r>
      <w:r w:rsidR="00673A29">
        <w:t xml:space="preserve"> </w:t>
      </w:r>
      <w:r w:rsidR="006855AA" w:rsidRPr="006855AA">
        <w:t xml:space="preserve">Mens de statlige lærestedene har </w:t>
      </w:r>
      <w:r w:rsidR="00A80354">
        <w:t>om lag</w:t>
      </w:r>
      <w:r w:rsidR="006855AA" w:rsidRPr="006855AA">
        <w:t xml:space="preserve"> 8</w:t>
      </w:r>
      <w:r w:rsidR="006E6B6D">
        <w:t> </w:t>
      </w:r>
      <w:r w:rsidR="006855AA" w:rsidRPr="006855AA">
        <w:t xml:space="preserve">200 flere studenter </w:t>
      </w:r>
      <w:r w:rsidR="00DA778A">
        <w:t>i 2022</w:t>
      </w:r>
      <w:r w:rsidR="006855AA" w:rsidRPr="006855AA">
        <w:t xml:space="preserve"> enn </w:t>
      </w:r>
      <w:r w:rsidR="00DA778A">
        <w:t>de hadde</w:t>
      </w:r>
      <w:r w:rsidR="006855AA" w:rsidRPr="006855AA">
        <w:t xml:space="preserve"> før pandemien i 2019, er tilvarende tall for de private om lag 8</w:t>
      </w:r>
      <w:r w:rsidR="00E12F0A">
        <w:t> </w:t>
      </w:r>
      <w:r w:rsidR="006855AA" w:rsidRPr="006855AA">
        <w:t>600 flere studenter. D</w:t>
      </w:r>
      <w:r w:rsidR="006804FF">
        <w:t>ette innebærer at d</w:t>
      </w:r>
      <w:r w:rsidR="006855AA" w:rsidRPr="006855AA">
        <w:t xml:space="preserve">e private lærestedene nå står for en større andel av det samlede høyere utdanningstilbudet enn de gjorde før pandemien. </w:t>
      </w:r>
      <w:r w:rsidR="00BD19E3">
        <w:t>HK står for m</w:t>
      </w:r>
      <w:r w:rsidR="00F93F46">
        <w:t>esteparten</w:t>
      </w:r>
      <w:r w:rsidR="00F93F46" w:rsidRPr="00350B3D">
        <w:t xml:space="preserve"> av denne veksten</w:t>
      </w:r>
      <w:r w:rsidR="00F93F46">
        <w:t xml:space="preserve">, </w:t>
      </w:r>
      <w:r w:rsidR="00F93F46" w:rsidRPr="00350B3D">
        <w:t xml:space="preserve">med en økning </w:t>
      </w:r>
      <w:r w:rsidR="00B071F6">
        <w:t xml:space="preserve">i studentmassen </w:t>
      </w:r>
      <w:r w:rsidR="00F93F46" w:rsidRPr="00350B3D">
        <w:t xml:space="preserve">på 74 prosent, fra </w:t>
      </w:r>
      <w:r w:rsidR="00F93F46">
        <w:t xml:space="preserve">om lag </w:t>
      </w:r>
      <w:r w:rsidR="00F93F46" w:rsidRPr="00E77B1D">
        <w:t>9</w:t>
      </w:r>
      <w:r w:rsidR="00F93F46">
        <w:t> </w:t>
      </w:r>
      <w:r w:rsidR="00F93F46" w:rsidRPr="00E77B1D">
        <w:t>5</w:t>
      </w:r>
      <w:r w:rsidR="00F93F46">
        <w:t>00</w:t>
      </w:r>
      <w:r w:rsidR="00F93F46" w:rsidRPr="00E77B1D">
        <w:t xml:space="preserve"> </w:t>
      </w:r>
      <w:r w:rsidR="00F93F46">
        <w:t xml:space="preserve">studenter </w:t>
      </w:r>
      <w:r w:rsidR="00F93F46" w:rsidRPr="00E77B1D">
        <w:t xml:space="preserve">i 2019 til </w:t>
      </w:r>
      <w:r w:rsidR="00F93F46">
        <w:t xml:space="preserve">over </w:t>
      </w:r>
      <w:r w:rsidR="00F93F46" w:rsidRPr="00E77B1D">
        <w:t>16</w:t>
      </w:r>
      <w:r w:rsidR="00F93F46">
        <w:t> </w:t>
      </w:r>
      <w:r w:rsidR="00F93F46" w:rsidRPr="00E77B1D">
        <w:t>6</w:t>
      </w:r>
      <w:r w:rsidR="00F93F46">
        <w:t>00</w:t>
      </w:r>
      <w:r w:rsidR="00F93F46" w:rsidRPr="00E77B1D">
        <w:t xml:space="preserve"> to år senere.</w:t>
      </w:r>
      <w:r w:rsidR="00C23A5D">
        <w:t xml:space="preserve"> </w:t>
      </w:r>
      <w:r w:rsidR="007C64E5">
        <w:t>Flere</w:t>
      </w:r>
      <w:r w:rsidR="00D75C5C">
        <w:t xml:space="preserve"> av de mindre</w:t>
      </w:r>
      <w:r w:rsidR="00B1199A">
        <w:t>,</w:t>
      </w:r>
      <w:r w:rsidR="00D75C5C">
        <w:t xml:space="preserve"> </w:t>
      </w:r>
      <w:r w:rsidR="00834E06">
        <w:t xml:space="preserve">private høyskolene </w:t>
      </w:r>
      <w:r w:rsidR="00A345F4">
        <w:t xml:space="preserve">gikk </w:t>
      </w:r>
      <w:r w:rsidR="00313354">
        <w:t>derimot</w:t>
      </w:r>
      <w:r w:rsidR="003472DF">
        <w:t xml:space="preserve"> </w:t>
      </w:r>
      <w:r w:rsidR="00A345F4">
        <w:t xml:space="preserve">ned i </w:t>
      </w:r>
      <w:r w:rsidR="00FD6C4A">
        <w:t>student</w:t>
      </w:r>
      <w:r w:rsidR="00A345F4">
        <w:t>tall under pandemien.</w:t>
      </w:r>
    </w:p>
    <w:p w14:paraId="44149A1B" w14:textId="3E17E438" w:rsidR="00B745D1" w:rsidRDefault="00E633A6">
      <w:pPr>
        <w:rPr>
          <w:rFonts w:asciiTheme="majorHAnsi" w:eastAsiaTheme="majorEastAsia" w:hAnsiTheme="majorHAnsi" w:cstheme="majorBidi"/>
          <w:b/>
          <w:color w:val="362683"/>
          <w:sz w:val="24"/>
          <w:szCs w:val="26"/>
        </w:rPr>
      </w:pPr>
      <w:r>
        <w:t xml:space="preserve">Veksten i </w:t>
      </w:r>
      <w:r w:rsidR="00F44888">
        <w:t xml:space="preserve">det private høyere utdanningsmarkedet </w:t>
      </w:r>
      <w:r>
        <w:t>er</w:t>
      </w:r>
      <w:r w:rsidR="00B55568">
        <w:t xml:space="preserve"> </w:t>
      </w:r>
      <w:r w:rsidR="00FC2058">
        <w:t xml:space="preserve">del av en </w:t>
      </w:r>
      <w:r w:rsidR="001138F6">
        <w:t>utvikling som har pågått over flere år</w:t>
      </w:r>
      <w:r w:rsidR="00B80DEA">
        <w:t xml:space="preserve"> og som</w:t>
      </w:r>
      <w:r w:rsidR="00E33F8C">
        <w:t xml:space="preserve"> altså</w:t>
      </w:r>
      <w:r w:rsidR="00B80DEA">
        <w:t xml:space="preserve"> skjøt </w:t>
      </w:r>
      <w:r w:rsidR="001621FB">
        <w:t xml:space="preserve">særlig </w:t>
      </w:r>
      <w:r w:rsidR="00B80DEA">
        <w:t>fart under pandemien</w:t>
      </w:r>
      <w:r w:rsidR="00177765">
        <w:t xml:space="preserve">. </w:t>
      </w:r>
      <w:r w:rsidR="0017477D">
        <w:t>Selv om u</w:t>
      </w:r>
      <w:r w:rsidR="007742BA">
        <w:t xml:space="preserve">tviklingen </w:t>
      </w:r>
      <w:r w:rsidR="00E448A3">
        <w:t xml:space="preserve">delvis kan tilskrives </w:t>
      </w:r>
      <w:r w:rsidR="003300AA">
        <w:t xml:space="preserve">den </w:t>
      </w:r>
      <w:r w:rsidR="00CE00E3">
        <w:t>eksepsjonelle</w:t>
      </w:r>
      <w:r w:rsidR="003300AA">
        <w:t xml:space="preserve"> studentveksten ved </w:t>
      </w:r>
      <w:r w:rsidR="00A85F72">
        <w:t>HK</w:t>
      </w:r>
      <w:r w:rsidR="003300AA">
        <w:t xml:space="preserve">, har også </w:t>
      </w:r>
      <w:r w:rsidR="00E448A3">
        <w:t xml:space="preserve">mange andre private institusjoner </w:t>
      </w:r>
      <w:r w:rsidR="00110FEE">
        <w:t xml:space="preserve">doblet </w:t>
      </w:r>
      <w:r w:rsidR="00D623A9">
        <w:t xml:space="preserve">studenttallet sitt i </w:t>
      </w:r>
      <w:r w:rsidR="00722E3A">
        <w:t>tiårs</w:t>
      </w:r>
      <w:r w:rsidR="00D623A9">
        <w:t>perioden.</w:t>
      </w:r>
      <w:r w:rsidR="00A85F72">
        <w:t xml:space="preserve"> </w:t>
      </w:r>
      <w:r w:rsidR="002E4409" w:rsidRPr="002E4409">
        <w:t xml:space="preserve">Mens de statlige institusjonene </w:t>
      </w:r>
      <w:r w:rsidR="00514E83">
        <w:t>totalt</w:t>
      </w:r>
      <w:r w:rsidR="002E4409" w:rsidRPr="002E4409">
        <w:t xml:space="preserve"> har 1</w:t>
      </w:r>
      <w:r w:rsidR="009845C8">
        <w:t>5</w:t>
      </w:r>
      <w:r w:rsidR="002E4409" w:rsidRPr="002E4409">
        <w:t xml:space="preserve"> prosent flere studenter </w:t>
      </w:r>
      <w:r w:rsidR="00514E83">
        <w:t xml:space="preserve">nå </w:t>
      </w:r>
      <w:r w:rsidR="002E4409" w:rsidRPr="002E4409">
        <w:t xml:space="preserve">enn for ti år siden, har de private institusjonene økt studenttallet med </w:t>
      </w:r>
      <w:r w:rsidR="00AE30A6">
        <w:t>44</w:t>
      </w:r>
      <w:r w:rsidR="002E4409" w:rsidRPr="002E4409">
        <w:t xml:space="preserve"> prosent i samme periode. </w:t>
      </w:r>
      <w:r w:rsidR="00854393">
        <w:t>D</w:t>
      </w:r>
      <w:r w:rsidR="001A31F6">
        <w:t xml:space="preserve">e private </w:t>
      </w:r>
      <w:r w:rsidR="00884319">
        <w:t>lærestedene</w:t>
      </w:r>
      <w:r w:rsidR="009002F5">
        <w:t xml:space="preserve"> </w:t>
      </w:r>
      <w:r w:rsidR="00BC162D">
        <w:t>har</w:t>
      </w:r>
      <w:r w:rsidR="009002F5">
        <w:t xml:space="preserve"> </w:t>
      </w:r>
      <w:r w:rsidR="008B04AF">
        <w:t xml:space="preserve">imidlertid </w:t>
      </w:r>
      <w:r w:rsidR="009002F5" w:rsidRPr="009002F5">
        <w:t xml:space="preserve">langt større fluktuasjoner i studenttall </w:t>
      </w:r>
      <w:r w:rsidR="009002F5">
        <w:t>fra år til år enn de statlig</w:t>
      </w:r>
      <w:r w:rsidR="007A7F28">
        <w:t>e</w:t>
      </w:r>
      <w:r w:rsidR="00723005">
        <w:t xml:space="preserve"> institusjonene har</w:t>
      </w:r>
      <w:r w:rsidR="00E5043F">
        <w:t xml:space="preserve">. </w:t>
      </w:r>
      <w:r w:rsidR="00075104">
        <w:t xml:space="preserve">Disse </w:t>
      </w:r>
      <w:r w:rsidR="00E93D2E">
        <w:t>fluktuasjonene</w:t>
      </w:r>
      <w:r w:rsidR="008C3CA4">
        <w:t xml:space="preserve"> </w:t>
      </w:r>
      <w:r w:rsidR="00075104">
        <w:t>følger</w:t>
      </w:r>
      <w:r w:rsidR="006501AC">
        <w:t xml:space="preserve"> </w:t>
      </w:r>
      <w:r w:rsidR="00E93D2E">
        <w:t xml:space="preserve">til dels </w:t>
      </w:r>
      <w:r w:rsidR="00E61CF8" w:rsidRPr="00E61CF8">
        <w:t>konjunkturendringe</w:t>
      </w:r>
      <w:r w:rsidR="00E93D2E">
        <w:t>r</w:t>
      </w:r>
      <w:r w:rsidR="00E61CF8" w:rsidRPr="00E61CF8">
        <w:t xml:space="preserve"> </w:t>
      </w:r>
      <w:r w:rsidR="00E369D3">
        <w:t>i samfunnet</w:t>
      </w:r>
      <w:r w:rsidR="00CD78E5">
        <w:t>, med</w:t>
      </w:r>
      <w:r w:rsidR="00E93D2E">
        <w:t xml:space="preserve"> </w:t>
      </w:r>
      <w:r w:rsidR="00C97FBF">
        <w:t>oppgang</w:t>
      </w:r>
      <w:r w:rsidR="00E93D2E">
        <w:t xml:space="preserve"> under </w:t>
      </w:r>
      <w:r w:rsidR="00697832" w:rsidRPr="000F6291">
        <w:t xml:space="preserve">det </w:t>
      </w:r>
      <w:r w:rsidR="004F0A42" w:rsidRPr="000F6291">
        <w:t>kraftig</w:t>
      </w:r>
      <w:r w:rsidR="00697832" w:rsidRPr="000F6291">
        <w:t>e</w:t>
      </w:r>
      <w:r w:rsidR="009430F2" w:rsidRPr="000F6291">
        <w:t xml:space="preserve"> </w:t>
      </w:r>
      <w:r w:rsidR="004F0A42" w:rsidRPr="000F6291">
        <w:t>oljepris</w:t>
      </w:r>
      <w:r w:rsidR="009430F2" w:rsidRPr="000F6291">
        <w:t>fallet</w:t>
      </w:r>
      <w:r w:rsidR="004F0A42" w:rsidRPr="000F6291">
        <w:t xml:space="preserve"> </w:t>
      </w:r>
      <w:r w:rsidR="0005679E" w:rsidRPr="000F6291">
        <w:t>i 2014</w:t>
      </w:r>
      <w:r w:rsidR="00876B27" w:rsidRPr="000F6291">
        <w:t xml:space="preserve">, </w:t>
      </w:r>
      <w:r w:rsidR="00CB7598">
        <w:t xml:space="preserve">etterfulgt av </w:t>
      </w:r>
      <w:r w:rsidR="00CF00F7">
        <w:t xml:space="preserve">lavere </w:t>
      </w:r>
      <w:r w:rsidR="00FB239A">
        <w:t xml:space="preserve">studenttall under </w:t>
      </w:r>
      <w:r w:rsidR="006F6715">
        <w:t>høy</w:t>
      </w:r>
      <w:r w:rsidR="005229B4" w:rsidRPr="000F6291">
        <w:t>konjunktur</w:t>
      </w:r>
      <w:r w:rsidR="00FD1399">
        <w:t>e</w:t>
      </w:r>
      <w:r w:rsidR="00CA6F70">
        <w:t>n</w:t>
      </w:r>
      <w:r w:rsidR="00172E99" w:rsidRPr="000F6291">
        <w:t xml:space="preserve"> i </w:t>
      </w:r>
      <w:r w:rsidR="00E14E09" w:rsidRPr="000F6291">
        <w:t>2017</w:t>
      </w:r>
      <w:r w:rsidR="00A16B62">
        <w:t>–</w:t>
      </w:r>
      <w:r w:rsidR="005229B4" w:rsidRPr="000F6291">
        <w:t xml:space="preserve"> </w:t>
      </w:r>
      <w:r w:rsidR="00D022D6" w:rsidRPr="000F6291">
        <w:t>2019</w:t>
      </w:r>
      <w:r w:rsidR="00BD319C">
        <w:t xml:space="preserve">, og endelig opp- og nedgang </w:t>
      </w:r>
      <w:r w:rsidR="005747AC">
        <w:t>som følge av pandemien</w:t>
      </w:r>
      <w:r w:rsidR="00202C1E">
        <w:t xml:space="preserve"> </w:t>
      </w:r>
      <w:r w:rsidR="005C5C55">
        <w:t>i</w:t>
      </w:r>
      <w:r w:rsidR="00202C1E">
        <w:t xml:space="preserve"> 2020</w:t>
      </w:r>
      <w:r w:rsidR="005C5C55">
        <w:t xml:space="preserve"> og 2021</w:t>
      </w:r>
      <w:r w:rsidR="0064706A">
        <w:t xml:space="preserve">. </w:t>
      </w:r>
    </w:p>
    <w:p w14:paraId="4BA8BAF4" w14:textId="77777777" w:rsidR="00D26ACE" w:rsidRDefault="00D26ACE">
      <w:pPr>
        <w:rPr>
          <w:rFonts w:asciiTheme="majorHAnsi" w:eastAsiaTheme="majorEastAsia" w:hAnsiTheme="majorHAnsi" w:cstheme="majorBidi"/>
          <w:b/>
          <w:color w:val="362683"/>
          <w:sz w:val="24"/>
          <w:szCs w:val="26"/>
        </w:rPr>
      </w:pPr>
      <w:r>
        <w:br w:type="page"/>
      </w:r>
    </w:p>
    <w:p w14:paraId="3918C670" w14:textId="28186A0A" w:rsidR="00DE1EFF" w:rsidRDefault="00771F1D" w:rsidP="00AE4B98">
      <w:pPr>
        <w:pStyle w:val="Overskrift3"/>
      </w:pPr>
      <w:bookmarkStart w:id="32" w:name="_Toc134792719"/>
      <w:r>
        <w:lastRenderedPageBreak/>
        <w:t xml:space="preserve">Studenter etter </w:t>
      </w:r>
      <w:r w:rsidR="002C33A5">
        <w:t>kjønn</w:t>
      </w:r>
      <w:r w:rsidR="009F2BF8">
        <w:t>,</w:t>
      </w:r>
      <w:r w:rsidR="002C33A5">
        <w:t xml:space="preserve"> alder</w:t>
      </w:r>
      <w:r w:rsidR="009F2BF8">
        <w:t xml:space="preserve"> og fag</w:t>
      </w:r>
      <w:bookmarkEnd w:id="32"/>
    </w:p>
    <w:p w14:paraId="396DAD62" w14:textId="3A711A1D" w:rsidR="00B321F4" w:rsidRDefault="0067088E">
      <w:r>
        <w:t>Til tross for endring</w:t>
      </w:r>
      <w:r w:rsidR="00910E2F">
        <w:t>ene i studenttallene fra år til år</w:t>
      </w:r>
      <w:r w:rsidR="0095001D">
        <w:t>,</w:t>
      </w:r>
      <w:r w:rsidR="00910E2F">
        <w:t xml:space="preserve"> </w:t>
      </w:r>
      <w:r w:rsidR="004166F7">
        <w:t>endres k</w:t>
      </w:r>
      <w:r w:rsidR="00A10D36">
        <w:t xml:space="preserve">jønnsbalansen i studentmassen </w:t>
      </w:r>
      <w:r w:rsidR="007E0EA6">
        <w:t xml:space="preserve">lite over tid. </w:t>
      </w:r>
      <w:r w:rsidR="005F701A">
        <w:t>Også i 2022 var det en fordeling på 60/40 mellom kvinner og menn</w:t>
      </w:r>
      <w:r w:rsidR="000979CB">
        <w:t xml:space="preserve">, </w:t>
      </w:r>
      <w:r w:rsidR="005F701A">
        <w:t xml:space="preserve">se </w:t>
      </w:r>
      <w:hyperlink r:id="rId20" w:history="1">
        <w:r w:rsidR="005F701A" w:rsidRPr="002E34CC">
          <w:rPr>
            <w:rStyle w:val="Hyperkobling"/>
          </w:rPr>
          <w:t>V2.9</w:t>
        </w:r>
      </w:hyperlink>
      <w:r w:rsidR="00D508C3">
        <w:t xml:space="preserve">, </w:t>
      </w:r>
      <w:r w:rsidR="00FB3C65">
        <w:t xml:space="preserve">og bildet er </w:t>
      </w:r>
      <w:r w:rsidR="003A3A59">
        <w:t xml:space="preserve">stort sett </w:t>
      </w:r>
      <w:r w:rsidR="00FB3C65">
        <w:t xml:space="preserve">det samme i </w:t>
      </w:r>
      <w:r w:rsidR="003A3A59">
        <w:t>alle land i vår del av verden.</w:t>
      </w:r>
      <w:r w:rsidR="008C1E9B">
        <w:t xml:space="preserve"> F</w:t>
      </w:r>
      <w:r w:rsidR="00826178">
        <w:t xml:space="preserve">ordelingen </w:t>
      </w:r>
      <w:r w:rsidR="00746A45">
        <w:t xml:space="preserve">av kvinner og menn på </w:t>
      </w:r>
      <w:r w:rsidR="00DC4FD0">
        <w:t>fag</w:t>
      </w:r>
      <w:r w:rsidR="00626716">
        <w:t>områder</w:t>
      </w:r>
      <w:r w:rsidR="008C1E9B">
        <w:t xml:space="preserve"> i norsk høyere utdanning </w:t>
      </w:r>
      <w:r w:rsidR="00CD271D">
        <w:t>er også stabil over tid.</w:t>
      </w:r>
    </w:p>
    <w:p w14:paraId="273481D3" w14:textId="0F65BCC6" w:rsidR="00E12AE1" w:rsidRDefault="0029049C">
      <w:r>
        <w:fldChar w:fldCharType="begin"/>
      </w:r>
      <w:r>
        <w:instrText xml:space="preserve"> REF _Ref130801629 \h </w:instrText>
      </w:r>
      <w:r>
        <w:fldChar w:fldCharType="separate"/>
      </w:r>
      <w:r w:rsidR="00F262EF">
        <w:t xml:space="preserve">Figur </w:t>
      </w:r>
      <w:r w:rsidR="00F262EF">
        <w:rPr>
          <w:noProof/>
        </w:rPr>
        <w:t>2</w:t>
      </w:r>
      <w:r w:rsidR="00F262EF">
        <w:t>.</w:t>
      </w:r>
      <w:r w:rsidR="00F262EF">
        <w:rPr>
          <w:noProof/>
        </w:rPr>
        <w:t>2</w:t>
      </w:r>
      <w:r>
        <w:fldChar w:fldCharType="end"/>
      </w:r>
      <w:r>
        <w:t xml:space="preserve"> </w:t>
      </w:r>
      <w:r w:rsidR="00B83826">
        <w:t xml:space="preserve">viser </w:t>
      </w:r>
      <w:r w:rsidR="0021496E">
        <w:t xml:space="preserve">kjønnsfordelingen </w:t>
      </w:r>
      <w:r w:rsidR="005B1A60">
        <w:t xml:space="preserve">innenfor ulike fagområder. </w:t>
      </w:r>
      <w:r w:rsidR="001324C3">
        <w:t xml:space="preserve">Mens mannlige studenter er i flertall </w:t>
      </w:r>
      <w:r w:rsidR="005655D9">
        <w:t>innenfor natu</w:t>
      </w:r>
      <w:r w:rsidR="00714BD5">
        <w:t xml:space="preserve">rvitenskapelige </w:t>
      </w:r>
      <w:r w:rsidR="008E6ED1">
        <w:t>og tekniske fa</w:t>
      </w:r>
      <w:r w:rsidR="002B1166">
        <w:t>g og blant de drøyt 3</w:t>
      </w:r>
      <w:r w:rsidR="00017C21">
        <w:t> 000 studentene i samferdsels- og sikkerhets</w:t>
      </w:r>
      <w:r w:rsidR="003966AB">
        <w:t xml:space="preserve">fag, </w:t>
      </w:r>
      <w:r w:rsidR="00B96072">
        <w:t xml:space="preserve">er kvinnelige studenter i flertall på </w:t>
      </w:r>
      <w:r w:rsidR="000F2E94">
        <w:t xml:space="preserve">øvrige fagområder. </w:t>
      </w:r>
      <w:r w:rsidR="0052469D">
        <w:t xml:space="preserve">Nærmest </w:t>
      </w:r>
      <w:r w:rsidR="004C67D4">
        <w:t xml:space="preserve">balanse mellom kjønnene kommer </w:t>
      </w:r>
      <w:r w:rsidR="00836AA1">
        <w:t>økonomiske og administrative fag</w:t>
      </w:r>
      <w:r w:rsidR="004C67D4">
        <w:t xml:space="preserve"> </w:t>
      </w:r>
      <w:r w:rsidR="00063554">
        <w:t xml:space="preserve">med 53 prosent kvinner. </w:t>
      </w:r>
      <w:r w:rsidR="000B42E9">
        <w:t xml:space="preserve">Sett i forhold til deres andel av </w:t>
      </w:r>
      <w:r w:rsidR="006968C5">
        <w:t xml:space="preserve">den </w:t>
      </w:r>
      <w:r w:rsidR="000933A5">
        <w:t xml:space="preserve">totale </w:t>
      </w:r>
      <w:r w:rsidR="000B42E9">
        <w:t xml:space="preserve">studentmassen er mannlige studenter </w:t>
      </w:r>
      <w:r w:rsidR="00977B99">
        <w:t xml:space="preserve">med 47 prosent </w:t>
      </w:r>
      <w:r w:rsidR="000B42E9">
        <w:t>noe overrepresentert i disse fagene. For</w:t>
      </w:r>
      <w:r w:rsidR="00836AA1">
        <w:t xml:space="preserve"> </w:t>
      </w:r>
      <w:r w:rsidR="001152AA">
        <w:t xml:space="preserve">primærnæringsfag, humanistiske og estetiske fag og </w:t>
      </w:r>
      <w:r w:rsidR="00134DA8">
        <w:t xml:space="preserve">samfunnsfag og juridiske fag </w:t>
      </w:r>
      <w:r w:rsidR="008E126F">
        <w:t xml:space="preserve">er kjønnsfordelingen relativt nært </w:t>
      </w:r>
      <w:r w:rsidR="001176C0">
        <w:t xml:space="preserve">fordelingen </w:t>
      </w:r>
      <w:r w:rsidR="008D15EF">
        <w:t xml:space="preserve">i studentmassen samlet. </w:t>
      </w:r>
      <w:r w:rsidR="00B454CF">
        <w:t xml:space="preserve">Innenfor lærerutdanning og pedagogikk og framfor alt innen helse- sosial- og idrettsfag </w:t>
      </w:r>
      <w:r w:rsidR="00324231">
        <w:t xml:space="preserve">er andelen kvinner </w:t>
      </w:r>
      <w:r w:rsidR="00E224EB">
        <w:t xml:space="preserve">vesentlig høyere enn i </w:t>
      </w:r>
      <w:r w:rsidR="00EE142D">
        <w:t>studentmassen t</w:t>
      </w:r>
      <w:r w:rsidR="003A5458">
        <w:t>otalt</w:t>
      </w:r>
      <w:r w:rsidR="00B76A3D">
        <w:t xml:space="preserve">, med henholdsvis </w:t>
      </w:r>
      <w:r w:rsidR="00286045">
        <w:t>73 og 79 prosent</w:t>
      </w:r>
      <w:r w:rsidR="001501A1">
        <w:t>.</w:t>
      </w:r>
      <w:r w:rsidR="00C7322E">
        <w:t xml:space="preserve"> </w:t>
      </w:r>
      <w:r w:rsidR="00FC6C4B">
        <w:t>Kjønnsbalansen ved institusjoner henger tett sammen med institusjonenes faglige profil</w:t>
      </w:r>
      <w:r w:rsidR="00FF36EC">
        <w:t xml:space="preserve">. </w:t>
      </w:r>
      <w:proofErr w:type="spellStart"/>
      <w:r w:rsidR="00B92CA6">
        <w:t>V</w:t>
      </w:r>
      <w:r w:rsidR="000E5265">
        <w:t>edleggstabell</w:t>
      </w:r>
      <w:proofErr w:type="spellEnd"/>
      <w:r w:rsidR="000E5265">
        <w:t xml:space="preserve"> </w:t>
      </w:r>
      <w:hyperlink r:id="rId21" w:history="1">
        <w:r w:rsidR="000E5265" w:rsidRPr="002E34CC">
          <w:rPr>
            <w:rStyle w:val="Hyperkobling"/>
          </w:rPr>
          <w:t>V2.9</w:t>
        </w:r>
      </w:hyperlink>
      <w:r w:rsidR="000E5265">
        <w:t xml:space="preserve"> viser </w:t>
      </w:r>
      <w:r w:rsidR="002868DA">
        <w:t>studenter per institusjon etter alderskategori og kjønn.</w:t>
      </w:r>
      <w:r w:rsidR="00214667">
        <w:t xml:space="preserve"> </w:t>
      </w:r>
      <w:r w:rsidR="00C7322E">
        <w:t>Sett i et</w:t>
      </w:r>
      <w:r w:rsidR="00863F50">
        <w:t xml:space="preserve"> tiårs</w:t>
      </w:r>
      <w:r w:rsidR="00D239F0">
        <w:t>pers</w:t>
      </w:r>
      <w:r w:rsidR="00C353B1">
        <w:t>pekti</w:t>
      </w:r>
      <w:r w:rsidR="00904C8D">
        <w:t xml:space="preserve">v er den største endringen </w:t>
      </w:r>
      <w:r w:rsidR="006D6894">
        <w:t xml:space="preserve">at </w:t>
      </w:r>
      <w:r w:rsidR="0011590A">
        <w:t>kjønnsbalansen</w:t>
      </w:r>
      <w:r w:rsidR="00CF3269">
        <w:t xml:space="preserve"> </w:t>
      </w:r>
      <w:r w:rsidR="00F24A3A">
        <w:t xml:space="preserve">nå </w:t>
      </w:r>
      <w:r w:rsidR="00CF3269">
        <w:t xml:space="preserve">er noe mindre </w:t>
      </w:r>
      <w:r w:rsidR="0011590A">
        <w:t>ujevn</w:t>
      </w:r>
      <w:r w:rsidR="00CF3269">
        <w:t xml:space="preserve"> i </w:t>
      </w:r>
      <w:r w:rsidR="00233C47">
        <w:t xml:space="preserve">lærerutdanninger og pedagogikk </w:t>
      </w:r>
      <w:r w:rsidR="002E44CF">
        <w:t>og</w:t>
      </w:r>
      <w:r w:rsidR="00902EA4">
        <w:t xml:space="preserve"> </w:t>
      </w:r>
      <w:r w:rsidR="00243913">
        <w:t xml:space="preserve">i </w:t>
      </w:r>
      <w:r w:rsidR="00885007">
        <w:t>naturvitenskapelige og tekniske utdanninger</w:t>
      </w:r>
      <w:r w:rsidR="00257637">
        <w:t xml:space="preserve">. Endringene er imidlertid </w:t>
      </w:r>
      <w:r w:rsidR="006A6635">
        <w:t>relativt små</w:t>
      </w:r>
      <w:r w:rsidR="00FC6C4B">
        <w:t>.</w:t>
      </w:r>
      <w:r w:rsidR="00F35762">
        <w:t xml:space="preserve"> </w:t>
      </w:r>
    </w:p>
    <w:p w14:paraId="15ABD804" w14:textId="505E169A" w:rsidR="005B59C7" w:rsidRDefault="005B59C7" w:rsidP="005B59C7">
      <w:pPr>
        <w:pStyle w:val="Bildetekst"/>
        <w:keepNext/>
      </w:pPr>
      <w:bookmarkStart w:id="33" w:name="_Ref127793049"/>
      <w:bookmarkStart w:id="34" w:name="_Ref130801629"/>
      <w:bookmarkStart w:id="35" w:name="_Toc134792763"/>
      <w:r>
        <w:t xml:space="preserve">Figur </w:t>
      </w:r>
      <w:bookmarkEnd w:id="33"/>
      <w:r w:rsidR="004F2208">
        <w:fldChar w:fldCharType="begin"/>
      </w:r>
      <w:r w:rsidR="004F2208">
        <w:instrText xml:space="preserve"> STYLEREF 1 \s </w:instrText>
      </w:r>
      <w:r w:rsidR="004F2208">
        <w:fldChar w:fldCharType="separate"/>
      </w:r>
      <w:r w:rsidR="00F262EF">
        <w:rPr>
          <w:noProof/>
        </w:rPr>
        <w:t>2</w:t>
      </w:r>
      <w:r w:rsidR="004F2208">
        <w:fldChar w:fldCharType="end"/>
      </w:r>
      <w:r w:rsidR="004F2208">
        <w:t>.</w:t>
      </w:r>
      <w:r>
        <w:fldChar w:fldCharType="begin"/>
      </w:r>
      <w:r>
        <w:instrText>SEQ Figur \* ARABIC \s 1</w:instrText>
      </w:r>
      <w:r>
        <w:fldChar w:fldCharType="separate"/>
      </w:r>
      <w:r w:rsidR="00F262EF">
        <w:rPr>
          <w:noProof/>
        </w:rPr>
        <w:t>2</w:t>
      </w:r>
      <w:r>
        <w:fldChar w:fldCharType="end"/>
      </w:r>
      <w:bookmarkEnd w:id="34"/>
      <w:r>
        <w:t xml:space="preserve"> Studenter etter kjønn og fagområde, 2022. Prosent</w:t>
      </w:r>
      <w:bookmarkEnd w:id="35"/>
    </w:p>
    <w:p w14:paraId="446176A3" w14:textId="36BF9B4A" w:rsidR="00396D11" w:rsidRDefault="003D0F62">
      <w:r>
        <w:rPr>
          <w:noProof/>
        </w:rPr>
        <w:drawing>
          <wp:inline distT="0" distB="0" distL="0" distR="0" wp14:anchorId="6FB526B1" wp14:editId="0FDCD629">
            <wp:extent cx="5184140" cy="3166745"/>
            <wp:effectExtent l="0" t="0" r="16510" b="14605"/>
            <wp:docPr id="20" name="Diagram 2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E2EDAF" w14:textId="77777777" w:rsidR="009D0B89" w:rsidRDefault="00B44750" w:rsidP="00B44750">
      <w:pPr>
        <w:pStyle w:val="Merknad"/>
      </w:pPr>
      <w:r>
        <w:t>Kategorien «</w:t>
      </w:r>
      <w:r w:rsidR="009A5D8A">
        <w:t>U</w:t>
      </w:r>
      <w:r>
        <w:t xml:space="preserve">oppgitt» </w:t>
      </w:r>
      <w:r w:rsidR="009A5D8A">
        <w:t xml:space="preserve">(emnestudenter) er </w:t>
      </w:r>
      <w:r w:rsidR="006852C1">
        <w:t>utelatt fra figuren</w:t>
      </w:r>
      <w:r w:rsidR="009D0B89">
        <w:t>.</w:t>
      </w:r>
    </w:p>
    <w:p w14:paraId="76FF992D" w14:textId="77777777" w:rsidR="009D0B89" w:rsidRDefault="009D0B89" w:rsidP="004237BB">
      <w:pPr>
        <w:pStyle w:val="Kilde"/>
      </w:pPr>
      <w:r>
        <w:t xml:space="preserve">Kilde: </w:t>
      </w:r>
      <w:proofErr w:type="spellStart"/>
      <w:r>
        <w:t>DBH</w:t>
      </w:r>
      <w:proofErr w:type="spellEnd"/>
    </w:p>
    <w:p w14:paraId="6B78408A" w14:textId="76D1A490" w:rsidR="00B43FCB" w:rsidRDefault="00CA24D3" w:rsidP="009D0B89">
      <w:r>
        <w:t xml:space="preserve">I 2022 var </w:t>
      </w:r>
      <w:r w:rsidR="00A75C0F">
        <w:t>om lag</w:t>
      </w:r>
      <w:r w:rsidR="0012753F">
        <w:t xml:space="preserve"> halvparten </w:t>
      </w:r>
      <w:r w:rsidR="00594C86">
        <w:t>av studentene mellom 20 og 24 år,</w:t>
      </w:r>
      <w:r w:rsidR="0012753F">
        <w:t xml:space="preserve"> </w:t>
      </w:r>
      <w:r w:rsidR="001212F4">
        <w:t>i overkant av e</w:t>
      </w:r>
      <w:r w:rsidR="0012753F">
        <w:t xml:space="preserve">n femdel </w:t>
      </w:r>
      <w:r w:rsidR="00CE2A40">
        <w:t xml:space="preserve">mellom 25 og 29 </w:t>
      </w:r>
      <w:r w:rsidR="00DA2AB6">
        <w:t xml:space="preserve">år </w:t>
      </w:r>
      <w:r w:rsidR="00CE2A40">
        <w:t xml:space="preserve">og </w:t>
      </w:r>
      <w:r w:rsidR="00430340">
        <w:t xml:space="preserve">omkring </w:t>
      </w:r>
      <w:r w:rsidR="00045381">
        <w:t xml:space="preserve">en firedel </w:t>
      </w:r>
      <w:r w:rsidR="00CE2A40">
        <w:t>30 år</w:t>
      </w:r>
      <w:r w:rsidR="003F26C7">
        <w:t xml:space="preserve"> </w:t>
      </w:r>
      <w:r w:rsidR="0063260F">
        <w:t>eller eldre</w:t>
      </w:r>
      <w:r w:rsidR="00CE2A40">
        <w:t xml:space="preserve">. </w:t>
      </w:r>
      <w:r w:rsidR="00045381">
        <w:t xml:space="preserve">Går vi ti år tilbake, er </w:t>
      </w:r>
      <w:r w:rsidR="00DC2729">
        <w:t>fordelingen på aldersgrupper omtrent den samme</w:t>
      </w:r>
      <w:r w:rsidR="00EE6F16">
        <w:t xml:space="preserve">. </w:t>
      </w:r>
      <w:r w:rsidR="00AF2505">
        <w:t xml:space="preserve">Studentenes alder varierer </w:t>
      </w:r>
      <w:r w:rsidR="004D2264">
        <w:t xml:space="preserve">imidlertid </w:t>
      </w:r>
      <w:r w:rsidR="00AF2505">
        <w:t>mye mellom institusjoner og de</w:t>
      </w:r>
      <w:r w:rsidR="00611D14">
        <w:t xml:space="preserve"> utdanningstypene og fagområdene institusjonene tilbyr.</w:t>
      </w:r>
    </w:p>
    <w:p w14:paraId="4EA4703D" w14:textId="08483ADF" w:rsidR="009F25C9" w:rsidRDefault="009F25C9" w:rsidP="009F25C9">
      <w:pPr>
        <w:pStyle w:val="Bildetekst"/>
        <w:keepNext/>
      </w:pPr>
      <w:bookmarkStart w:id="36" w:name="_Ref128136240"/>
      <w:bookmarkStart w:id="37" w:name="_Ref132270193"/>
      <w:bookmarkStart w:id="38" w:name="_Toc134792764"/>
      <w:r>
        <w:lastRenderedPageBreak/>
        <w:t xml:space="preserve">Figur </w:t>
      </w:r>
      <w:bookmarkEnd w:id="36"/>
      <w:r w:rsidR="004F2208">
        <w:fldChar w:fldCharType="begin"/>
      </w:r>
      <w:r w:rsidR="004F2208">
        <w:instrText xml:space="preserve"> STYLEREF 1 \s </w:instrText>
      </w:r>
      <w:r w:rsidR="004F2208">
        <w:fldChar w:fldCharType="separate"/>
      </w:r>
      <w:r w:rsidR="00F262EF">
        <w:rPr>
          <w:noProof/>
        </w:rPr>
        <w:t>2</w:t>
      </w:r>
      <w:r w:rsidR="004F2208">
        <w:fldChar w:fldCharType="end"/>
      </w:r>
      <w:r w:rsidR="004F2208">
        <w:t>.</w:t>
      </w:r>
      <w:r>
        <w:fldChar w:fldCharType="begin"/>
      </w:r>
      <w:r>
        <w:instrText>SEQ Figur \* ARABIC \s 1</w:instrText>
      </w:r>
      <w:r>
        <w:fldChar w:fldCharType="separate"/>
      </w:r>
      <w:r w:rsidR="00F262EF">
        <w:rPr>
          <w:noProof/>
        </w:rPr>
        <w:t>3</w:t>
      </w:r>
      <w:r>
        <w:fldChar w:fldCharType="end"/>
      </w:r>
      <w:bookmarkEnd w:id="37"/>
      <w:r>
        <w:t xml:space="preserve"> Studenter etter alderskategori 2022. Statlige institusjoner. Prosent</w:t>
      </w:r>
      <w:bookmarkEnd w:id="38"/>
    </w:p>
    <w:p w14:paraId="1572B160" w14:textId="77777777" w:rsidR="009F25C9" w:rsidRDefault="009F25C9" w:rsidP="009F25C9">
      <w:r>
        <w:rPr>
          <w:noProof/>
        </w:rPr>
        <w:drawing>
          <wp:inline distT="0" distB="0" distL="0" distR="0" wp14:anchorId="0BB5C7F5" wp14:editId="30B3BA99">
            <wp:extent cx="5186477" cy="3597910"/>
            <wp:effectExtent l="0" t="0" r="14605" b="2540"/>
            <wp:docPr id="9" name="Diagram 9">
              <a:extLst xmlns:a="http://schemas.openxmlformats.org/drawingml/2006/main">
                <a:ext uri="{FF2B5EF4-FFF2-40B4-BE49-F238E27FC236}">
                  <a16:creationId xmlns:a16="http://schemas.microsoft.com/office/drawing/2014/main" id="{7E1B9147-AB21-20AB-F770-E0D6EF47D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0B61DA" w14:textId="77777777" w:rsidR="009F25C9" w:rsidRDefault="009F25C9" w:rsidP="004237BB">
      <w:pPr>
        <w:pStyle w:val="Kilde"/>
      </w:pPr>
      <w:r>
        <w:t xml:space="preserve">Kilde: </w:t>
      </w:r>
      <w:proofErr w:type="spellStart"/>
      <w:r>
        <w:t>DBH</w:t>
      </w:r>
      <w:proofErr w:type="spellEnd"/>
    </w:p>
    <w:p w14:paraId="2582ACEC" w14:textId="16701C31" w:rsidR="00A37A90" w:rsidRDefault="00BD6D1F" w:rsidP="009D0B89">
      <w:r>
        <w:fldChar w:fldCharType="begin"/>
      </w:r>
      <w:r>
        <w:instrText xml:space="preserve"> REF _Ref132270193 \h </w:instrText>
      </w:r>
      <w:r>
        <w:fldChar w:fldCharType="separate"/>
      </w:r>
      <w:r w:rsidR="00F262EF">
        <w:t xml:space="preserve">Figur </w:t>
      </w:r>
      <w:r w:rsidR="00F262EF">
        <w:rPr>
          <w:noProof/>
        </w:rPr>
        <w:t>2</w:t>
      </w:r>
      <w:r w:rsidR="00F262EF">
        <w:t>.</w:t>
      </w:r>
      <w:r w:rsidR="00F262EF">
        <w:rPr>
          <w:noProof/>
        </w:rPr>
        <w:t>3</w:t>
      </w:r>
      <w:r>
        <w:fldChar w:fldCharType="end"/>
      </w:r>
      <w:r w:rsidR="00AA3FE2">
        <w:t xml:space="preserve"> </w:t>
      </w:r>
      <w:r w:rsidR="0027564C">
        <w:fldChar w:fldCharType="begin"/>
      </w:r>
      <w:r w:rsidR="0027564C">
        <w:instrText xml:space="preserve"> REF _Ref128136240 \h </w:instrText>
      </w:r>
      <w:r w:rsidR="009025D8">
        <w:instrText xml:space="preserve"> \* MERGEFORMAT </w:instrText>
      </w:r>
      <w:r w:rsidR="0027564C">
        <w:fldChar w:fldCharType="separate"/>
      </w:r>
      <w:r w:rsidR="00F262EF">
        <w:t xml:space="preserve">Figur </w:t>
      </w:r>
      <w:r w:rsidR="0027564C">
        <w:fldChar w:fldCharType="end"/>
      </w:r>
      <w:r w:rsidR="0027564C">
        <w:t>viser hvordan studentene fordeler seg på alderskategorier ved de statlige institusjonene.</w:t>
      </w:r>
      <w:r w:rsidR="007D4F5F">
        <w:t xml:space="preserve"> </w:t>
      </w:r>
      <w:r w:rsidR="00250345">
        <w:t>Institusjoner med stort innslag av profesjonsutdanninger</w:t>
      </w:r>
      <w:r w:rsidR="00BA72E3">
        <w:t xml:space="preserve"> har gjennomgående eldre studente</w:t>
      </w:r>
      <w:r w:rsidR="00D96CC7">
        <w:t>r enn andre institusjoner.</w:t>
      </w:r>
      <w:r w:rsidR="0000475C">
        <w:t xml:space="preserve"> </w:t>
      </w:r>
      <w:r w:rsidR="00E43C90">
        <w:t xml:space="preserve">Ser vi på </w:t>
      </w:r>
      <w:r w:rsidR="0054437D">
        <w:t>andel studenter i 30-årene eller eldre, har S</w:t>
      </w:r>
      <w:r w:rsidR="00584159">
        <w:t>H høy</w:t>
      </w:r>
      <w:r w:rsidR="0000475C">
        <w:t xml:space="preserve">este andel med 67 prosent, etterfulgt av </w:t>
      </w:r>
      <w:r w:rsidR="00F04415">
        <w:t xml:space="preserve">HVO med 43 prosent, </w:t>
      </w:r>
      <w:proofErr w:type="spellStart"/>
      <w:r w:rsidR="00F04415">
        <w:t>HINN</w:t>
      </w:r>
      <w:proofErr w:type="spellEnd"/>
      <w:r w:rsidR="00F04415">
        <w:t xml:space="preserve"> med </w:t>
      </w:r>
      <w:r w:rsidR="00AB5A6C">
        <w:t>37 prosent</w:t>
      </w:r>
      <w:r w:rsidR="008B7A28">
        <w:t xml:space="preserve"> og</w:t>
      </w:r>
      <w:r w:rsidR="00AB5A6C">
        <w:t xml:space="preserve"> </w:t>
      </w:r>
      <w:proofErr w:type="spellStart"/>
      <w:r w:rsidR="00AB5A6C">
        <w:t>HiM</w:t>
      </w:r>
      <w:proofErr w:type="spellEnd"/>
      <w:r w:rsidR="00AB5A6C">
        <w:t xml:space="preserve"> og NU</w:t>
      </w:r>
      <w:r w:rsidR="008B7A28">
        <w:t xml:space="preserve">, begge </w:t>
      </w:r>
      <w:r w:rsidR="00AB5A6C">
        <w:t>med 36 prosent</w:t>
      </w:r>
      <w:r w:rsidR="008B7A28">
        <w:t>.</w:t>
      </w:r>
      <w:r w:rsidR="001659BE">
        <w:t xml:space="preserve"> Også ved </w:t>
      </w:r>
      <w:proofErr w:type="spellStart"/>
      <w:r w:rsidR="001659BE">
        <w:t>USN</w:t>
      </w:r>
      <w:proofErr w:type="spellEnd"/>
      <w:r w:rsidR="00566C39">
        <w:t>, UiT</w:t>
      </w:r>
      <w:r w:rsidR="001659BE">
        <w:t xml:space="preserve"> og </w:t>
      </w:r>
      <w:proofErr w:type="spellStart"/>
      <w:r w:rsidR="001659BE">
        <w:t>OsloMet</w:t>
      </w:r>
      <w:proofErr w:type="spellEnd"/>
      <w:r w:rsidR="001659BE">
        <w:t xml:space="preserve"> utgjør </w:t>
      </w:r>
      <w:r w:rsidR="0064596D">
        <w:t xml:space="preserve">studenter i denne aldersgruppen nær en tredel. </w:t>
      </w:r>
      <w:proofErr w:type="spellStart"/>
      <w:r w:rsidR="004761DE">
        <w:t>HVL</w:t>
      </w:r>
      <w:proofErr w:type="spellEnd"/>
      <w:r w:rsidR="0064596D">
        <w:t xml:space="preserve">, derimot, skiller seg </w:t>
      </w:r>
      <w:r w:rsidR="009B0B3E">
        <w:t>noe</w:t>
      </w:r>
      <w:r w:rsidR="00563AEA">
        <w:t xml:space="preserve"> ut blant institusjoner med liknende faglig profil </w:t>
      </w:r>
      <w:r w:rsidR="0083618A">
        <w:t xml:space="preserve">ved at bare </w:t>
      </w:r>
      <w:r w:rsidR="0035382D">
        <w:t>24 prosent av studentene er 30 år eller eldre.</w:t>
      </w:r>
    </w:p>
    <w:p w14:paraId="0EDE449C" w14:textId="5B6102D9" w:rsidR="00487F92" w:rsidRDefault="00DE4EC2" w:rsidP="009D0B89">
      <w:r>
        <w:t xml:space="preserve">Det er </w:t>
      </w:r>
      <w:r w:rsidR="00E81DC5">
        <w:t>intere</w:t>
      </w:r>
      <w:r w:rsidR="002674C3">
        <w:t>ssant å se dette i sammenheng med studietilbudet</w:t>
      </w:r>
      <w:r w:rsidR="00AA532F">
        <w:t xml:space="preserve"> ved institusjonene, og hvilken grad studenter følger fleksible utdanning</w:t>
      </w:r>
      <w:r w:rsidR="00EE7220">
        <w:t>er</w:t>
      </w:r>
      <w:r w:rsidR="00015C4E">
        <w:t xml:space="preserve"> eller er deltidsstudenter.</w:t>
      </w:r>
      <w:r w:rsidR="0012346B">
        <w:t xml:space="preserve"> </w:t>
      </w:r>
      <w:r w:rsidR="004255DF">
        <w:t>Hovedmønsteret er</w:t>
      </w:r>
      <w:r w:rsidR="000A6551">
        <w:t xml:space="preserve"> at institusjonene med flest eldre studenter også har </w:t>
      </w:r>
      <w:r w:rsidR="003A3ACD">
        <w:t>relativt mange studenter på fleksible pro</w:t>
      </w:r>
      <w:r w:rsidR="009C2EAE">
        <w:t xml:space="preserve">gram og/eller deltidsprogram. </w:t>
      </w:r>
      <w:r w:rsidR="00DD7C2A">
        <w:t xml:space="preserve">Ved HVO er 59 prosent av studentene registrerte på </w:t>
      </w:r>
      <w:r w:rsidR="00383450">
        <w:t xml:space="preserve">fleksible programmer eller deltidsprogrammer, </w:t>
      </w:r>
      <w:r w:rsidR="003438B4">
        <w:t xml:space="preserve">ved SH </w:t>
      </w:r>
      <w:r w:rsidR="00737872">
        <w:t xml:space="preserve">56 prosent og ved </w:t>
      </w:r>
      <w:proofErr w:type="spellStart"/>
      <w:r w:rsidR="00737872">
        <w:t>HINN</w:t>
      </w:r>
      <w:proofErr w:type="spellEnd"/>
      <w:r w:rsidR="00737872">
        <w:t xml:space="preserve"> 49 prosent. </w:t>
      </w:r>
      <w:r w:rsidR="00B3410A">
        <w:t xml:space="preserve">Forskjellen til </w:t>
      </w:r>
      <w:proofErr w:type="spellStart"/>
      <w:r w:rsidR="00B3410A">
        <w:t>HVL</w:t>
      </w:r>
      <w:proofErr w:type="spellEnd"/>
      <w:r w:rsidR="00B3410A">
        <w:t xml:space="preserve"> er stor, der tilsvarende tall var 29 prosent. </w:t>
      </w:r>
      <w:r w:rsidR="006F7AF4">
        <w:t>F</w:t>
      </w:r>
      <w:r w:rsidR="00501C77">
        <w:t xml:space="preserve">leksible </w:t>
      </w:r>
      <w:r w:rsidR="00DE7041">
        <w:t xml:space="preserve">utdanningstilbud </w:t>
      </w:r>
      <w:r w:rsidR="006F7AF4">
        <w:t>omtales i</w:t>
      </w:r>
      <w:r w:rsidR="00DE7041">
        <w:t xml:space="preserve"> mer detalj</w:t>
      </w:r>
      <w:r w:rsidR="006F7AF4">
        <w:t xml:space="preserve"> i kapittel </w:t>
      </w:r>
      <w:r w:rsidR="006F7AF4">
        <w:fldChar w:fldCharType="begin"/>
      </w:r>
      <w:r w:rsidR="006F7AF4">
        <w:instrText xml:space="preserve"> REF _Ref132269656 \r \h </w:instrText>
      </w:r>
      <w:r w:rsidR="006F7AF4">
        <w:fldChar w:fldCharType="separate"/>
      </w:r>
      <w:r w:rsidR="00F262EF">
        <w:t>2.11</w:t>
      </w:r>
      <w:r w:rsidR="006F7AF4">
        <w:fldChar w:fldCharType="end"/>
      </w:r>
      <w:r w:rsidR="00FE1668">
        <w:t>.</w:t>
      </w:r>
    </w:p>
    <w:p w14:paraId="34E1E97E" w14:textId="0B08AA79" w:rsidR="00942427" w:rsidRDefault="0016107E" w:rsidP="009D0B89">
      <w:r>
        <w:fldChar w:fldCharType="begin"/>
      </w:r>
      <w:r>
        <w:instrText xml:space="preserve"> REF _Ref132270193 \h </w:instrText>
      </w:r>
      <w:r>
        <w:fldChar w:fldCharType="separate"/>
      </w:r>
      <w:r w:rsidR="00F262EF">
        <w:t xml:space="preserve">Figur </w:t>
      </w:r>
      <w:r w:rsidR="00F262EF">
        <w:rPr>
          <w:noProof/>
        </w:rPr>
        <w:t>2</w:t>
      </w:r>
      <w:r w:rsidR="00F262EF">
        <w:t>.</w:t>
      </w:r>
      <w:r w:rsidR="00F262EF">
        <w:rPr>
          <w:noProof/>
        </w:rPr>
        <w:t>3</w:t>
      </w:r>
      <w:r>
        <w:fldChar w:fldCharType="end"/>
      </w:r>
      <w:r>
        <w:t xml:space="preserve"> </w:t>
      </w:r>
      <w:r w:rsidR="00297A07">
        <w:t xml:space="preserve">viser </w:t>
      </w:r>
      <w:r w:rsidR="0072538E">
        <w:t xml:space="preserve">også </w:t>
      </w:r>
      <w:r w:rsidR="00BD6546">
        <w:t>en sammenheng mellom geo</w:t>
      </w:r>
      <w:r w:rsidR="003D1591">
        <w:t xml:space="preserve">grafi og </w:t>
      </w:r>
      <w:r w:rsidR="008D1955">
        <w:t xml:space="preserve">aldersfordeling blant studentene. </w:t>
      </w:r>
      <w:r w:rsidR="005079EE">
        <w:t xml:space="preserve">Institusjoner med yngre studenter ligger i hovedsak i eller </w:t>
      </w:r>
      <w:r w:rsidR="00784922">
        <w:t xml:space="preserve">nært </w:t>
      </w:r>
      <w:r w:rsidR="005079EE">
        <w:t xml:space="preserve">de største byene, </w:t>
      </w:r>
      <w:r w:rsidR="00346AAE">
        <w:t>mens</w:t>
      </w:r>
      <w:r w:rsidR="00C100CC">
        <w:t xml:space="preserve"> institusjoner med eldre studenter uten unntak er plassert i mindre sentrale </w:t>
      </w:r>
      <w:r w:rsidR="00B82FF7">
        <w:t>områder.</w:t>
      </w:r>
    </w:p>
    <w:p w14:paraId="12B892AF" w14:textId="78E4729C" w:rsidR="00CD138B" w:rsidRDefault="00C062F2" w:rsidP="009D0B89">
      <w:r>
        <w:t xml:space="preserve">Færrest eldre studenter blant de </w:t>
      </w:r>
      <w:r w:rsidR="00B97AD6">
        <w:t>statlige institusjonene har NHH,</w:t>
      </w:r>
      <w:r w:rsidR="008A685C">
        <w:t xml:space="preserve"> hvor knappe 5 prosent var 30 år eller eldre</w:t>
      </w:r>
      <w:r w:rsidR="008E672F">
        <w:t xml:space="preserve">, og hele 72 prosent var yngre enn 25 år. </w:t>
      </w:r>
      <w:r w:rsidR="008F4CF9">
        <w:t xml:space="preserve">Nærmest </w:t>
      </w:r>
      <w:r w:rsidR="009B49F6">
        <w:t xml:space="preserve">NHH </w:t>
      </w:r>
      <w:r w:rsidR="008F4CF9">
        <w:t xml:space="preserve">i aldersprofil </w:t>
      </w:r>
      <w:r w:rsidR="00654DB2">
        <w:t xml:space="preserve">blant </w:t>
      </w:r>
      <w:r w:rsidR="00B12EA1">
        <w:t xml:space="preserve">de statlige institusjonene </w:t>
      </w:r>
      <w:r w:rsidR="00654DB2">
        <w:t>kommer NTNU</w:t>
      </w:r>
      <w:r w:rsidR="000D11F0">
        <w:t>,</w:t>
      </w:r>
      <w:r w:rsidR="00E818B1">
        <w:t xml:space="preserve"> som har nest færrest eldre</w:t>
      </w:r>
      <w:r w:rsidR="00F500E8">
        <w:t xml:space="preserve"> </w:t>
      </w:r>
      <w:r w:rsidR="00E818B1">
        <w:t xml:space="preserve">studenter og nest høyeste andel under 25 år. </w:t>
      </w:r>
      <w:r w:rsidR="00DF0451">
        <w:t xml:space="preserve">Her er det trolig </w:t>
      </w:r>
      <w:r w:rsidR="00FD394C">
        <w:t xml:space="preserve">primært </w:t>
      </w:r>
      <w:r w:rsidR="00A93941">
        <w:t>teknologiutdanningene som</w:t>
      </w:r>
      <w:r w:rsidR="00FD394C">
        <w:t xml:space="preserve"> bidrar til denne aldersprofilen.</w:t>
      </w:r>
      <w:r w:rsidR="00087641">
        <w:t xml:space="preserve"> </w:t>
      </w:r>
      <w:r w:rsidR="00800DA7">
        <w:t xml:space="preserve">Dette fagområdet har de yngste studentene, etterfulgt av </w:t>
      </w:r>
      <w:r w:rsidR="00BF3767">
        <w:lastRenderedPageBreak/>
        <w:t>primærnæringsfag og samfunnsfag og ju</w:t>
      </w:r>
      <w:r w:rsidR="002121BC">
        <w:t>ridiske fag</w:t>
      </w:r>
      <w:r w:rsidR="00BB2EEB">
        <w:t xml:space="preserve">. </w:t>
      </w:r>
      <w:hyperlink r:id="rId24" w:history="1">
        <w:r w:rsidR="009550AB" w:rsidRPr="002E34CC">
          <w:rPr>
            <w:rStyle w:val="Hyperkobling"/>
          </w:rPr>
          <w:t>V2.9</w:t>
        </w:r>
      </w:hyperlink>
      <w:r w:rsidR="009550AB">
        <w:t xml:space="preserve"> viser studenter per institusjon etter alder og kjønn</w:t>
      </w:r>
      <w:r w:rsidR="00277DDB">
        <w:t xml:space="preserve"> mens </w:t>
      </w:r>
      <w:hyperlink r:id="rId25" w:history="1">
        <w:r w:rsidR="00277DDB" w:rsidRPr="002E34CC">
          <w:rPr>
            <w:rStyle w:val="Hyperkobling"/>
          </w:rPr>
          <w:t>V2.12</w:t>
        </w:r>
      </w:hyperlink>
      <w:r w:rsidR="00277DDB">
        <w:t xml:space="preserve"> </w:t>
      </w:r>
      <w:r w:rsidR="00803D56">
        <w:t>viser studenter per fagområde etter ald</w:t>
      </w:r>
      <w:r w:rsidR="00396ABD">
        <w:t>e</w:t>
      </w:r>
      <w:r w:rsidR="00803D56">
        <w:t xml:space="preserve">r og kjønn. </w:t>
      </w:r>
    </w:p>
    <w:p w14:paraId="1F7AA088" w14:textId="359EE0CC" w:rsidR="00E1469D" w:rsidRDefault="00C370BA" w:rsidP="00C370BA">
      <w:pPr>
        <w:pStyle w:val="Bildetekst"/>
      </w:pPr>
      <w:bookmarkStart w:id="39" w:name="_Ref133165983"/>
      <w:bookmarkStart w:id="40" w:name="_Toc134792809"/>
      <w:r>
        <w:t xml:space="preserve">Tabell </w:t>
      </w:r>
      <w:r>
        <w:fldChar w:fldCharType="begin"/>
      </w:r>
      <w:r>
        <w:instrText>STYLEREF 1 \s</w:instrText>
      </w:r>
      <w:r>
        <w:fldChar w:fldCharType="separate"/>
      </w:r>
      <w:r w:rsidR="00F262EF">
        <w:rPr>
          <w:noProof/>
        </w:rPr>
        <w:t>2</w:t>
      </w:r>
      <w:r>
        <w:fldChar w:fldCharType="end"/>
      </w:r>
      <w:r w:rsidR="00FE01A3">
        <w:t>.</w:t>
      </w:r>
      <w:r>
        <w:fldChar w:fldCharType="begin"/>
      </w:r>
      <w:r>
        <w:instrText>SEQ Tabell \* ARABIC \s 1</w:instrText>
      </w:r>
      <w:r>
        <w:fldChar w:fldCharType="separate"/>
      </w:r>
      <w:r w:rsidR="00F262EF">
        <w:rPr>
          <w:noProof/>
        </w:rPr>
        <w:t>2</w:t>
      </w:r>
      <w:r>
        <w:fldChar w:fldCharType="end"/>
      </w:r>
      <w:bookmarkEnd w:id="39"/>
      <w:r>
        <w:t xml:space="preserve"> </w:t>
      </w:r>
      <w:r w:rsidRPr="006A3871">
        <w:t>Antall studenter fordelt på fagområder 2013, 2017, 2022</w:t>
      </w:r>
      <w:bookmarkEnd w:id="40"/>
    </w:p>
    <w:tbl>
      <w:tblPr>
        <w:tblW w:w="5036" w:type="pct"/>
        <w:tblCellMar>
          <w:left w:w="70" w:type="dxa"/>
          <w:right w:w="70" w:type="dxa"/>
        </w:tblCellMar>
        <w:tblLook w:val="04A0" w:firstRow="1" w:lastRow="0" w:firstColumn="1" w:lastColumn="0" w:noHBand="0" w:noVBand="1"/>
      </w:tblPr>
      <w:tblGrid>
        <w:gridCol w:w="4103"/>
        <w:gridCol w:w="1027"/>
        <w:gridCol w:w="1028"/>
        <w:gridCol w:w="1027"/>
        <w:gridCol w:w="1028"/>
      </w:tblGrid>
      <w:tr w:rsidR="00635DDA" w:rsidRPr="0035526C" w14:paraId="56CAD5D1" w14:textId="77777777" w:rsidTr="00555385">
        <w:trPr>
          <w:trHeight w:val="390"/>
        </w:trPr>
        <w:tc>
          <w:tcPr>
            <w:tcW w:w="2498" w:type="pct"/>
            <w:tcBorders>
              <w:top w:val="nil"/>
              <w:left w:val="single" w:sz="8" w:space="0" w:color="0079AC"/>
              <w:bottom w:val="nil"/>
              <w:right w:val="nil"/>
            </w:tcBorders>
            <w:shd w:val="clear" w:color="000000" w:fill="0079AC"/>
            <w:vAlign w:val="center"/>
            <w:hideMark/>
          </w:tcPr>
          <w:p w14:paraId="39A8EB9A" w14:textId="77777777" w:rsidR="0035526C" w:rsidRPr="0035526C" w:rsidRDefault="0035526C" w:rsidP="006C5DE7">
            <w:pPr>
              <w:keepNext/>
              <w:keepLines/>
              <w:spacing w:after="0" w:line="240" w:lineRule="auto"/>
              <w:rPr>
                <w:rFonts w:ascii="Times New Roman" w:eastAsia="Times New Roman" w:hAnsi="Times New Roman" w:cs="Times New Roman"/>
                <w:color w:val="000000"/>
                <w:lang w:eastAsia="nb-NO"/>
              </w:rPr>
            </w:pPr>
            <w:r w:rsidRPr="0035526C">
              <w:rPr>
                <w:rFonts w:ascii="Times New Roman" w:eastAsia="Times New Roman" w:hAnsi="Times New Roman" w:cs="Times New Roman"/>
                <w:color w:val="000000"/>
                <w:lang w:eastAsia="nb-NO"/>
              </w:rPr>
              <w:t> </w:t>
            </w:r>
          </w:p>
        </w:tc>
        <w:tc>
          <w:tcPr>
            <w:tcW w:w="625" w:type="pct"/>
            <w:tcBorders>
              <w:top w:val="nil"/>
              <w:left w:val="single" w:sz="8" w:space="0" w:color="2E91BB"/>
              <w:bottom w:val="single" w:sz="8" w:space="0" w:color="2E91BB"/>
              <w:right w:val="nil"/>
            </w:tcBorders>
            <w:shd w:val="clear" w:color="000000" w:fill="0079AC"/>
            <w:vAlign w:val="center"/>
            <w:hideMark/>
          </w:tcPr>
          <w:p w14:paraId="20634FA2" w14:textId="77777777" w:rsidR="0035526C" w:rsidRPr="0035526C" w:rsidRDefault="0035526C" w:rsidP="004D3836">
            <w:pPr>
              <w:keepNext/>
              <w:keepLines/>
              <w:spacing w:after="0" w:line="240" w:lineRule="auto"/>
              <w:jc w:val="right"/>
              <w:rPr>
                <w:rFonts w:ascii="Arial" w:eastAsia="Times New Roman" w:hAnsi="Arial" w:cs="Arial"/>
                <w:b/>
                <w:bCs/>
                <w:color w:val="FFFFFF"/>
                <w:sz w:val="16"/>
                <w:szCs w:val="16"/>
                <w:lang w:eastAsia="nb-NO"/>
              </w:rPr>
            </w:pPr>
            <w:r w:rsidRPr="0035526C">
              <w:rPr>
                <w:rFonts w:ascii="Arial" w:eastAsia="Times New Roman" w:hAnsi="Arial" w:cs="Arial"/>
                <w:b/>
                <w:bCs/>
                <w:color w:val="FFFFFF"/>
                <w:sz w:val="16"/>
                <w:szCs w:val="16"/>
                <w:lang w:eastAsia="nb-NO"/>
              </w:rPr>
              <w:t>2013</w:t>
            </w:r>
          </w:p>
        </w:tc>
        <w:tc>
          <w:tcPr>
            <w:tcW w:w="626" w:type="pct"/>
            <w:tcBorders>
              <w:top w:val="nil"/>
              <w:left w:val="single" w:sz="8" w:space="0" w:color="2E91BB"/>
              <w:bottom w:val="single" w:sz="8" w:space="0" w:color="2E91BB"/>
              <w:right w:val="nil"/>
            </w:tcBorders>
            <w:shd w:val="clear" w:color="000000" w:fill="0079AC"/>
            <w:vAlign w:val="center"/>
            <w:hideMark/>
          </w:tcPr>
          <w:p w14:paraId="1CF2C7C8" w14:textId="77777777" w:rsidR="0035526C" w:rsidRPr="0035526C" w:rsidRDefault="0035526C" w:rsidP="004D3836">
            <w:pPr>
              <w:keepNext/>
              <w:keepLines/>
              <w:spacing w:after="0" w:line="240" w:lineRule="auto"/>
              <w:jc w:val="right"/>
              <w:rPr>
                <w:rFonts w:ascii="Arial" w:eastAsia="Times New Roman" w:hAnsi="Arial" w:cs="Arial"/>
                <w:b/>
                <w:bCs/>
                <w:color w:val="FFFFFF"/>
                <w:sz w:val="16"/>
                <w:szCs w:val="16"/>
                <w:lang w:eastAsia="nb-NO"/>
              </w:rPr>
            </w:pPr>
            <w:r w:rsidRPr="0035526C">
              <w:rPr>
                <w:rFonts w:ascii="Arial" w:eastAsia="Times New Roman" w:hAnsi="Arial" w:cs="Arial"/>
                <w:b/>
                <w:bCs/>
                <w:color w:val="FFFFFF"/>
                <w:sz w:val="16"/>
                <w:szCs w:val="16"/>
                <w:lang w:eastAsia="nb-NO"/>
              </w:rPr>
              <w:t>2017</w:t>
            </w:r>
          </w:p>
        </w:tc>
        <w:tc>
          <w:tcPr>
            <w:tcW w:w="625" w:type="pct"/>
            <w:tcBorders>
              <w:top w:val="nil"/>
              <w:left w:val="single" w:sz="8" w:space="0" w:color="2E91BB"/>
              <w:bottom w:val="single" w:sz="8" w:space="0" w:color="2E91BB"/>
              <w:right w:val="nil"/>
            </w:tcBorders>
            <w:shd w:val="clear" w:color="000000" w:fill="0079AC"/>
            <w:vAlign w:val="center"/>
            <w:hideMark/>
          </w:tcPr>
          <w:p w14:paraId="28E6F38A" w14:textId="77777777" w:rsidR="0035526C" w:rsidRPr="0035526C" w:rsidRDefault="0035526C" w:rsidP="004D3836">
            <w:pPr>
              <w:keepNext/>
              <w:keepLines/>
              <w:spacing w:after="0" w:line="240" w:lineRule="auto"/>
              <w:jc w:val="right"/>
              <w:rPr>
                <w:rFonts w:ascii="Arial" w:eastAsia="Times New Roman" w:hAnsi="Arial" w:cs="Arial"/>
                <w:b/>
                <w:bCs/>
                <w:color w:val="FFFFFF"/>
                <w:sz w:val="16"/>
                <w:szCs w:val="16"/>
                <w:lang w:eastAsia="nb-NO"/>
              </w:rPr>
            </w:pPr>
            <w:r w:rsidRPr="0035526C">
              <w:rPr>
                <w:rFonts w:ascii="Arial" w:eastAsia="Times New Roman" w:hAnsi="Arial" w:cs="Arial"/>
                <w:b/>
                <w:bCs/>
                <w:color w:val="FFFFFF"/>
                <w:sz w:val="16"/>
                <w:szCs w:val="16"/>
                <w:lang w:eastAsia="nb-NO"/>
              </w:rPr>
              <w:t>2022</w:t>
            </w:r>
          </w:p>
        </w:tc>
        <w:tc>
          <w:tcPr>
            <w:tcW w:w="626" w:type="pct"/>
            <w:tcBorders>
              <w:top w:val="nil"/>
              <w:left w:val="single" w:sz="8" w:space="0" w:color="2E91BB"/>
              <w:bottom w:val="single" w:sz="8" w:space="0" w:color="2E91BB"/>
              <w:right w:val="nil"/>
            </w:tcBorders>
            <w:shd w:val="clear" w:color="000000" w:fill="0079AC"/>
            <w:vAlign w:val="center"/>
            <w:hideMark/>
          </w:tcPr>
          <w:p w14:paraId="3F19AB3B" w14:textId="77777777" w:rsidR="0035526C" w:rsidRPr="0035526C" w:rsidRDefault="0035526C" w:rsidP="004D3836">
            <w:pPr>
              <w:keepNext/>
              <w:keepLines/>
              <w:spacing w:after="0" w:line="240" w:lineRule="auto"/>
              <w:jc w:val="right"/>
              <w:rPr>
                <w:rFonts w:ascii="Arial" w:eastAsia="Times New Roman" w:hAnsi="Arial" w:cs="Arial"/>
                <w:b/>
                <w:bCs/>
                <w:color w:val="FFFFFF"/>
                <w:sz w:val="16"/>
                <w:szCs w:val="16"/>
                <w:lang w:eastAsia="nb-NO"/>
              </w:rPr>
            </w:pPr>
            <w:r w:rsidRPr="0035526C">
              <w:rPr>
                <w:rFonts w:ascii="Arial" w:eastAsia="Times New Roman" w:hAnsi="Arial" w:cs="Arial"/>
                <w:b/>
                <w:bCs/>
                <w:color w:val="FFFFFF"/>
                <w:sz w:val="16"/>
                <w:szCs w:val="16"/>
                <w:lang w:eastAsia="nb-NO"/>
              </w:rPr>
              <w:t xml:space="preserve"> % endring 2013-22 </w:t>
            </w:r>
          </w:p>
        </w:tc>
      </w:tr>
      <w:tr w:rsidR="0035526C" w:rsidRPr="0035526C" w14:paraId="7F37CA82" w14:textId="77777777" w:rsidTr="00555385">
        <w:trPr>
          <w:trHeight w:val="357"/>
        </w:trPr>
        <w:tc>
          <w:tcPr>
            <w:tcW w:w="2498" w:type="pct"/>
            <w:tcBorders>
              <w:top w:val="nil"/>
              <w:left w:val="nil"/>
              <w:bottom w:val="nil"/>
              <w:right w:val="nil"/>
            </w:tcBorders>
            <w:shd w:val="clear" w:color="000000" w:fill="EEEEEE"/>
            <w:vAlign w:val="center"/>
            <w:hideMark/>
          </w:tcPr>
          <w:p w14:paraId="3E799588"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Helse-, sosial- og idrettsfag </w:t>
            </w:r>
          </w:p>
        </w:tc>
        <w:tc>
          <w:tcPr>
            <w:tcW w:w="625" w:type="pct"/>
            <w:tcBorders>
              <w:top w:val="nil"/>
              <w:left w:val="nil"/>
              <w:bottom w:val="nil"/>
              <w:right w:val="nil"/>
            </w:tcBorders>
            <w:shd w:val="clear" w:color="000000" w:fill="EEEEEE"/>
            <w:vAlign w:val="center"/>
            <w:hideMark/>
          </w:tcPr>
          <w:p w14:paraId="596A5DBE"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46 142</w:t>
            </w:r>
          </w:p>
        </w:tc>
        <w:tc>
          <w:tcPr>
            <w:tcW w:w="626" w:type="pct"/>
            <w:tcBorders>
              <w:top w:val="nil"/>
              <w:left w:val="nil"/>
              <w:bottom w:val="nil"/>
              <w:right w:val="nil"/>
            </w:tcBorders>
            <w:shd w:val="clear" w:color="000000" w:fill="EEEEEE"/>
            <w:vAlign w:val="center"/>
            <w:hideMark/>
          </w:tcPr>
          <w:p w14:paraId="609B2BF8"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50 632</w:t>
            </w:r>
          </w:p>
        </w:tc>
        <w:tc>
          <w:tcPr>
            <w:tcW w:w="625" w:type="pct"/>
            <w:tcBorders>
              <w:top w:val="nil"/>
              <w:left w:val="nil"/>
              <w:bottom w:val="nil"/>
              <w:right w:val="nil"/>
            </w:tcBorders>
            <w:shd w:val="clear" w:color="000000" w:fill="EEEEEE"/>
            <w:vAlign w:val="center"/>
            <w:hideMark/>
          </w:tcPr>
          <w:p w14:paraId="3BF2C327"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56 699</w:t>
            </w:r>
          </w:p>
        </w:tc>
        <w:tc>
          <w:tcPr>
            <w:tcW w:w="626" w:type="pct"/>
            <w:tcBorders>
              <w:top w:val="nil"/>
              <w:left w:val="nil"/>
              <w:bottom w:val="nil"/>
              <w:right w:val="nil"/>
            </w:tcBorders>
            <w:shd w:val="clear" w:color="000000" w:fill="EEEEEE"/>
            <w:vAlign w:val="center"/>
            <w:hideMark/>
          </w:tcPr>
          <w:p w14:paraId="6B3584E2"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23</w:t>
            </w:r>
          </w:p>
        </w:tc>
      </w:tr>
      <w:tr w:rsidR="0035526C" w:rsidRPr="0035526C" w14:paraId="2C44FC14" w14:textId="77777777" w:rsidTr="00555385">
        <w:trPr>
          <w:trHeight w:val="357"/>
        </w:trPr>
        <w:tc>
          <w:tcPr>
            <w:tcW w:w="2498" w:type="pct"/>
            <w:tcBorders>
              <w:top w:val="nil"/>
              <w:left w:val="single" w:sz="8" w:space="0" w:color="EEEEEE"/>
              <w:bottom w:val="nil"/>
              <w:right w:val="nil"/>
            </w:tcBorders>
            <w:shd w:val="clear" w:color="000000" w:fill="FFFFFF"/>
            <w:vAlign w:val="center"/>
            <w:hideMark/>
          </w:tcPr>
          <w:p w14:paraId="1A60D989"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Økonomiske og administrative fag </w:t>
            </w:r>
          </w:p>
        </w:tc>
        <w:tc>
          <w:tcPr>
            <w:tcW w:w="625" w:type="pct"/>
            <w:tcBorders>
              <w:top w:val="nil"/>
              <w:left w:val="single" w:sz="8" w:space="0" w:color="EEEEEE"/>
              <w:bottom w:val="nil"/>
              <w:right w:val="nil"/>
            </w:tcBorders>
            <w:shd w:val="clear" w:color="000000" w:fill="FFFFFF"/>
            <w:vAlign w:val="center"/>
            <w:hideMark/>
          </w:tcPr>
          <w:p w14:paraId="10861D70"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46 086</w:t>
            </w:r>
          </w:p>
        </w:tc>
        <w:tc>
          <w:tcPr>
            <w:tcW w:w="626" w:type="pct"/>
            <w:tcBorders>
              <w:top w:val="nil"/>
              <w:left w:val="single" w:sz="8" w:space="0" w:color="EEEEEE"/>
              <w:bottom w:val="nil"/>
              <w:right w:val="nil"/>
            </w:tcBorders>
            <w:shd w:val="clear" w:color="000000" w:fill="FFFFFF"/>
            <w:vAlign w:val="center"/>
            <w:hideMark/>
          </w:tcPr>
          <w:p w14:paraId="0423FBCD"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50 209</w:t>
            </w:r>
          </w:p>
        </w:tc>
        <w:tc>
          <w:tcPr>
            <w:tcW w:w="625" w:type="pct"/>
            <w:tcBorders>
              <w:top w:val="nil"/>
              <w:left w:val="single" w:sz="8" w:space="0" w:color="EEEEEE"/>
              <w:bottom w:val="nil"/>
              <w:right w:val="nil"/>
            </w:tcBorders>
            <w:shd w:val="clear" w:color="000000" w:fill="FFFFFF"/>
            <w:vAlign w:val="center"/>
            <w:hideMark/>
          </w:tcPr>
          <w:p w14:paraId="737F9E18"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56 666</w:t>
            </w:r>
          </w:p>
        </w:tc>
        <w:tc>
          <w:tcPr>
            <w:tcW w:w="626" w:type="pct"/>
            <w:tcBorders>
              <w:top w:val="nil"/>
              <w:left w:val="single" w:sz="8" w:space="0" w:color="EEEEEE"/>
              <w:bottom w:val="nil"/>
              <w:right w:val="nil"/>
            </w:tcBorders>
            <w:shd w:val="clear" w:color="000000" w:fill="FFFFFF"/>
            <w:vAlign w:val="center"/>
            <w:hideMark/>
          </w:tcPr>
          <w:p w14:paraId="01E0E886"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23</w:t>
            </w:r>
          </w:p>
        </w:tc>
      </w:tr>
      <w:tr w:rsidR="0035526C" w:rsidRPr="0035526C" w14:paraId="67E9A2ED" w14:textId="77777777" w:rsidTr="00555385">
        <w:trPr>
          <w:trHeight w:val="357"/>
        </w:trPr>
        <w:tc>
          <w:tcPr>
            <w:tcW w:w="2498" w:type="pct"/>
            <w:tcBorders>
              <w:top w:val="nil"/>
              <w:left w:val="nil"/>
              <w:bottom w:val="nil"/>
              <w:right w:val="nil"/>
            </w:tcBorders>
            <w:shd w:val="clear" w:color="000000" w:fill="EEEEEE"/>
            <w:vAlign w:val="center"/>
            <w:hideMark/>
          </w:tcPr>
          <w:p w14:paraId="6D8742DD"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Naturvitenskapelige fag, håndverksfag og tekniske fag </w:t>
            </w:r>
          </w:p>
        </w:tc>
        <w:tc>
          <w:tcPr>
            <w:tcW w:w="625" w:type="pct"/>
            <w:tcBorders>
              <w:top w:val="nil"/>
              <w:left w:val="nil"/>
              <w:bottom w:val="nil"/>
              <w:right w:val="nil"/>
            </w:tcBorders>
            <w:shd w:val="clear" w:color="000000" w:fill="EEEEEE"/>
            <w:vAlign w:val="center"/>
            <w:hideMark/>
          </w:tcPr>
          <w:p w14:paraId="791D0095"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43 045</w:t>
            </w:r>
          </w:p>
        </w:tc>
        <w:tc>
          <w:tcPr>
            <w:tcW w:w="626" w:type="pct"/>
            <w:tcBorders>
              <w:top w:val="nil"/>
              <w:left w:val="nil"/>
              <w:bottom w:val="nil"/>
              <w:right w:val="nil"/>
            </w:tcBorders>
            <w:shd w:val="clear" w:color="000000" w:fill="EEEEEE"/>
            <w:vAlign w:val="center"/>
            <w:hideMark/>
          </w:tcPr>
          <w:p w14:paraId="68AC4E56"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48 593</w:t>
            </w:r>
          </w:p>
        </w:tc>
        <w:tc>
          <w:tcPr>
            <w:tcW w:w="625" w:type="pct"/>
            <w:tcBorders>
              <w:top w:val="nil"/>
              <w:left w:val="nil"/>
              <w:bottom w:val="nil"/>
              <w:right w:val="nil"/>
            </w:tcBorders>
            <w:shd w:val="clear" w:color="000000" w:fill="EEEEEE"/>
            <w:vAlign w:val="center"/>
            <w:hideMark/>
          </w:tcPr>
          <w:p w14:paraId="35461CF9"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52 638</w:t>
            </w:r>
          </w:p>
        </w:tc>
        <w:tc>
          <w:tcPr>
            <w:tcW w:w="626" w:type="pct"/>
            <w:tcBorders>
              <w:top w:val="nil"/>
              <w:left w:val="nil"/>
              <w:bottom w:val="nil"/>
              <w:right w:val="nil"/>
            </w:tcBorders>
            <w:shd w:val="clear" w:color="000000" w:fill="EEEEEE"/>
            <w:vAlign w:val="center"/>
            <w:hideMark/>
          </w:tcPr>
          <w:p w14:paraId="5DD24D3A"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22</w:t>
            </w:r>
          </w:p>
        </w:tc>
      </w:tr>
      <w:tr w:rsidR="0035526C" w:rsidRPr="0035526C" w14:paraId="4C69F9F2" w14:textId="77777777" w:rsidTr="00555385">
        <w:trPr>
          <w:trHeight w:val="357"/>
        </w:trPr>
        <w:tc>
          <w:tcPr>
            <w:tcW w:w="2498" w:type="pct"/>
            <w:tcBorders>
              <w:top w:val="nil"/>
              <w:left w:val="single" w:sz="8" w:space="0" w:color="EEEEEE"/>
              <w:bottom w:val="nil"/>
              <w:right w:val="nil"/>
            </w:tcBorders>
            <w:shd w:val="clear" w:color="000000" w:fill="FFFFFF"/>
            <w:vAlign w:val="center"/>
            <w:hideMark/>
          </w:tcPr>
          <w:p w14:paraId="091C5DC7"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Lærerutdanninger og utdanninger i pedagogikk </w:t>
            </w:r>
          </w:p>
        </w:tc>
        <w:tc>
          <w:tcPr>
            <w:tcW w:w="625" w:type="pct"/>
            <w:tcBorders>
              <w:top w:val="nil"/>
              <w:left w:val="single" w:sz="8" w:space="0" w:color="EEEEEE"/>
              <w:bottom w:val="nil"/>
              <w:right w:val="nil"/>
            </w:tcBorders>
            <w:shd w:val="clear" w:color="000000" w:fill="FFFFFF"/>
            <w:vAlign w:val="center"/>
            <w:hideMark/>
          </w:tcPr>
          <w:p w14:paraId="2046628D"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34 233</w:t>
            </w:r>
          </w:p>
        </w:tc>
        <w:tc>
          <w:tcPr>
            <w:tcW w:w="626" w:type="pct"/>
            <w:tcBorders>
              <w:top w:val="nil"/>
              <w:left w:val="single" w:sz="8" w:space="0" w:color="EEEEEE"/>
              <w:bottom w:val="nil"/>
              <w:right w:val="nil"/>
            </w:tcBorders>
            <w:shd w:val="clear" w:color="000000" w:fill="FFFFFF"/>
            <w:vAlign w:val="center"/>
            <w:hideMark/>
          </w:tcPr>
          <w:p w14:paraId="473F8B19"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39 697</w:t>
            </w:r>
          </w:p>
        </w:tc>
        <w:tc>
          <w:tcPr>
            <w:tcW w:w="625" w:type="pct"/>
            <w:tcBorders>
              <w:top w:val="nil"/>
              <w:left w:val="single" w:sz="8" w:space="0" w:color="EEEEEE"/>
              <w:bottom w:val="nil"/>
              <w:right w:val="nil"/>
            </w:tcBorders>
            <w:shd w:val="clear" w:color="000000" w:fill="FFFFFF"/>
            <w:vAlign w:val="center"/>
            <w:hideMark/>
          </w:tcPr>
          <w:p w14:paraId="6BC809AF"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40 750</w:t>
            </w:r>
          </w:p>
        </w:tc>
        <w:tc>
          <w:tcPr>
            <w:tcW w:w="626" w:type="pct"/>
            <w:tcBorders>
              <w:top w:val="nil"/>
              <w:left w:val="single" w:sz="8" w:space="0" w:color="EEEEEE"/>
              <w:bottom w:val="nil"/>
              <w:right w:val="nil"/>
            </w:tcBorders>
            <w:shd w:val="clear" w:color="000000" w:fill="FFFFFF"/>
            <w:vAlign w:val="center"/>
            <w:hideMark/>
          </w:tcPr>
          <w:p w14:paraId="742862FA"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19</w:t>
            </w:r>
          </w:p>
        </w:tc>
      </w:tr>
      <w:tr w:rsidR="0035526C" w:rsidRPr="0035526C" w14:paraId="2390A53E" w14:textId="77777777" w:rsidTr="00555385">
        <w:trPr>
          <w:trHeight w:val="357"/>
        </w:trPr>
        <w:tc>
          <w:tcPr>
            <w:tcW w:w="2498" w:type="pct"/>
            <w:tcBorders>
              <w:top w:val="nil"/>
              <w:left w:val="nil"/>
              <w:bottom w:val="nil"/>
              <w:right w:val="nil"/>
            </w:tcBorders>
            <w:shd w:val="clear" w:color="000000" w:fill="EEEEEE"/>
            <w:vAlign w:val="center"/>
            <w:hideMark/>
          </w:tcPr>
          <w:p w14:paraId="18A68CC3"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Samfunnsfag og juridiske fag </w:t>
            </w:r>
          </w:p>
        </w:tc>
        <w:tc>
          <w:tcPr>
            <w:tcW w:w="625" w:type="pct"/>
            <w:tcBorders>
              <w:top w:val="nil"/>
              <w:left w:val="nil"/>
              <w:bottom w:val="nil"/>
              <w:right w:val="nil"/>
            </w:tcBorders>
            <w:shd w:val="clear" w:color="000000" w:fill="EEEEEE"/>
            <w:vAlign w:val="center"/>
            <w:hideMark/>
          </w:tcPr>
          <w:p w14:paraId="4872D222"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31 194</w:t>
            </w:r>
          </w:p>
        </w:tc>
        <w:tc>
          <w:tcPr>
            <w:tcW w:w="626" w:type="pct"/>
            <w:tcBorders>
              <w:top w:val="nil"/>
              <w:left w:val="nil"/>
              <w:bottom w:val="nil"/>
              <w:right w:val="nil"/>
            </w:tcBorders>
            <w:shd w:val="clear" w:color="000000" w:fill="EEEEEE"/>
            <w:vAlign w:val="center"/>
            <w:hideMark/>
          </w:tcPr>
          <w:p w14:paraId="77F42C27"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33 473</w:t>
            </w:r>
          </w:p>
        </w:tc>
        <w:tc>
          <w:tcPr>
            <w:tcW w:w="625" w:type="pct"/>
            <w:tcBorders>
              <w:top w:val="nil"/>
              <w:left w:val="nil"/>
              <w:bottom w:val="nil"/>
              <w:right w:val="nil"/>
            </w:tcBorders>
            <w:shd w:val="clear" w:color="000000" w:fill="EEEEEE"/>
            <w:vAlign w:val="center"/>
            <w:hideMark/>
          </w:tcPr>
          <w:p w14:paraId="6D4ED125"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35 909</w:t>
            </w:r>
          </w:p>
        </w:tc>
        <w:tc>
          <w:tcPr>
            <w:tcW w:w="626" w:type="pct"/>
            <w:tcBorders>
              <w:top w:val="nil"/>
              <w:left w:val="nil"/>
              <w:bottom w:val="nil"/>
              <w:right w:val="nil"/>
            </w:tcBorders>
            <w:shd w:val="clear" w:color="000000" w:fill="EEEEEE"/>
            <w:vAlign w:val="center"/>
            <w:hideMark/>
          </w:tcPr>
          <w:p w14:paraId="03BA77C0"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15</w:t>
            </w:r>
          </w:p>
        </w:tc>
      </w:tr>
      <w:tr w:rsidR="0035526C" w:rsidRPr="0035526C" w14:paraId="6C9BF338" w14:textId="77777777" w:rsidTr="00555385">
        <w:trPr>
          <w:trHeight w:val="357"/>
        </w:trPr>
        <w:tc>
          <w:tcPr>
            <w:tcW w:w="2498" w:type="pct"/>
            <w:tcBorders>
              <w:top w:val="nil"/>
              <w:left w:val="single" w:sz="8" w:space="0" w:color="EEEEEE"/>
              <w:bottom w:val="nil"/>
              <w:right w:val="nil"/>
            </w:tcBorders>
            <w:shd w:val="clear" w:color="000000" w:fill="FFFFFF"/>
            <w:vAlign w:val="center"/>
            <w:hideMark/>
          </w:tcPr>
          <w:p w14:paraId="7F20009B"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Humanistiske og estetiske fag </w:t>
            </w:r>
          </w:p>
        </w:tc>
        <w:tc>
          <w:tcPr>
            <w:tcW w:w="625" w:type="pct"/>
            <w:tcBorders>
              <w:top w:val="nil"/>
              <w:left w:val="single" w:sz="8" w:space="0" w:color="EEEEEE"/>
              <w:bottom w:val="nil"/>
              <w:right w:val="nil"/>
            </w:tcBorders>
            <w:shd w:val="clear" w:color="000000" w:fill="FFFFFF"/>
            <w:vAlign w:val="center"/>
            <w:hideMark/>
          </w:tcPr>
          <w:p w14:paraId="09C42649"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26 415</w:t>
            </w:r>
          </w:p>
        </w:tc>
        <w:tc>
          <w:tcPr>
            <w:tcW w:w="626" w:type="pct"/>
            <w:tcBorders>
              <w:top w:val="nil"/>
              <w:left w:val="single" w:sz="8" w:space="0" w:color="EEEEEE"/>
              <w:bottom w:val="nil"/>
              <w:right w:val="nil"/>
            </w:tcBorders>
            <w:shd w:val="clear" w:color="000000" w:fill="FFFFFF"/>
            <w:vAlign w:val="center"/>
            <w:hideMark/>
          </w:tcPr>
          <w:p w14:paraId="44FD6841"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27 743</w:t>
            </w:r>
          </w:p>
        </w:tc>
        <w:tc>
          <w:tcPr>
            <w:tcW w:w="625" w:type="pct"/>
            <w:tcBorders>
              <w:top w:val="nil"/>
              <w:left w:val="single" w:sz="8" w:space="0" w:color="EEEEEE"/>
              <w:bottom w:val="nil"/>
              <w:right w:val="nil"/>
            </w:tcBorders>
            <w:shd w:val="clear" w:color="000000" w:fill="FFFFFF"/>
            <w:vAlign w:val="center"/>
            <w:hideMark/>
          </w:tcPr>
          <w:p w14:paraId="4895661F"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27 398</w:t>
            </w:r>
          </w:p>
        </w:tc>
        <w:tc>
          <w:tcPr>
            <w:tcW w:w="626" w:type="pct"/>
            <w:tcBorders>
              <w:top w:val="nil"/>
              <w:left w:val="single" w:sz="8" w:space="0" w:color="EEEEEE"/>
              <w:bottom w:val="nil"/>
              <w:right w:val="nil"/>
            </w:tcBorders>
            <w:shd w:val="clear" w:color="000000" w:fill="FFFFFF"/>
            <w:vAlign w:val="center"/>
            <w:hideMark/>
          </w:tcPr>
          <w:p w14:paraId="267B8B4E"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w:t>
            </w:r>
          </w:p>
        </w:tc>
      </w:tr>
      <w:tr w:rsidR="0035526C" w:rsidRPr="0035526C" w14:paraId="56C667C1" w14:textId="77777777" w:rsidTr="00555385">
        <w:trPr>
          <w:trHeight w:val="357"/>
        </w:trPr>
        <w:tc>
          <w:tcPr>
            <w:tcW w:w="2498" w:type="pct"/>
            <w:tcBorders>
              <w:top w:val="nil"/>
              <w:left w:val="nil"/>
              <w:bottom w:val="nil"/>
              <w:right w:val="nil"/>
            </w:tcBorders>
            <w:shd w:val="clear" w:color="000000" w:fill="EEEEEE"/>
            <w:vAlign w:val="center"/>
            <w:hideMark/>
          </w:tcPr>
          <w:p w14:paraId="35CE9AEA"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Samferdsels- og sikkerhetsfag og andre servicefag </w:t>
            </w:r>
          </w:p>
        </w:tc>
        <w:tc>
          <w:tcPr>
            <w:tcW w:w="625" w:type="pct"/>
            <w:tcBorders>
              <w:top w:val="nil"/>
              <w:left w:val="nil"/>
              <w:bottom w:val="nil"/>
              <w:right w:val="nil"/>
            </w:tcBorders>
            <w:shd w:val="clear" w:color="000000" w:fill="EEEEEE"/>
            <w:vAlign w:val="center"/>
            <w:hideMark/>
          </w:tcPr>
          <w:p w14:paraId="5219C851"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2 303</w:t>
            </w:r>
          </w:p>
        </w:tc>
        <w:tc>
          <w:tcPr>
            <w:tcW w:w="626" w:type="pct"/>
            <w:tcBorders>
              <w:top w:val="nil"/>
              <w:left w:val="nil"/>
              <w:bottom w:val="nil"/>
              <w:right w:val="nil"/>
            </w:tcBorders>
            <w:shd w:val="clear" w:color="000000" w:fill="EEEEEE"/>
            <w:vAlign w:val="center"/>
            <w:hideMark/>
          </w:tcPr>
          <w:p w14:paraId="4226A5F0"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2 409</w:t>
            </w:r>
          </w:p>
        </w:tc>
        <w:tc>
          <w:tcPr>
            <w:tcW w:w="625" w:type="pct"/>
            <w:tcBorders>
              <w:top w:val="nil"/>
              <w:left w:val="nil"/>
              <w:bottom w:val="nil"/>
              <w:right w:val="nil"/>
            </w:tcBorders>
            <w:shd w:val="clear" w:color="000000" w:fill="EEEEEE"/>
            <w:vAlign w:val="center"/>
            <w:hideMark/>
          </w:tcPr>
          <w:p w14:paraId="5FB8D236"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3 352</w:t>
            </w:r>
          </w:p>
        </w:tc>
        <w:tc>
          <w:tcPr>
            <w:tcW w:w="626" w:type="pct"/>
            <w:tcBorders>
              <w:top w:val="nil"/>
              <w:left w:val="nil"/>
              <w:bottom w:val="nil"/>
              <w:right w:val="nil"/>
            </w:tcBorders>
            <w:shd w:val="clear" w:color="000000" w:fill="EEEEEE"/>
            <w:vAlign w:val="center"/>
            <w:hideMark/>
          </w:tcPr>
          <w:p w14:paraId="50653C48"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46</w:t>
            </w:r>
          </w:p>
        </w:tc>
      </w:tr>
      <w:tr w:rsidR="0035526C" w:rsidRPr="0035526C" w14:paraId="60C39728" w14:textId="77777777" w:rsidTr="00555385">
        <w:trPr>
          <w:trHeight w:val="357"/>
        </w:trPr>
        <w:tc>
          <w:tcPr>
            <w:tcW w:w="2498" w:type="pct"/>
            <w:tcBorders>
              <w:top w:val="nil"/>
              <w:left w:val="single" w:sz="8" w:space="0" w:color="EEEEEE"/>
              <w:bottom w:val="nil"/>
              <w:right w:val="nil"/>
            </w:tcBorders>
            <w:shd w:val="clear" w:color="000000" w:fill="FFFFFF"/>
            <w:vAlign w:val="center"/>
            <w:hideMark/>
          </w:tcPr>
          <w:p w14:paraId="1487298A"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Uoppgitt/emnestudenter </w:t>
            </w:r>
          </w:p>
        </w:tc>
        <w:tc>
          <w:tcPr>
            <w:tcW w:w="625" w:type="pct"/>
            <w:tcBorders>
              <w:top w:val="nil"/>
              <w:left w:val="single" w:sz="8" w:space="0" w:color="EEEEEE"/>
              <w:bottom w:val="nil"/>
              <w:right w:val="nil"/>
            </w:tcBorders>
            <w:shd w:val="clear" w:color="000000" w:fill="FFFFFF"/>
            <w:vAlign w:val="center"/>
            <w:hideMark/>
          </w:tcPr>
          <w:p w14:paraId="20513F1E"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1 974</w:t>
            </w:r>
          </w:p>
        </w:tc>
        <w:tc>
          <w:tcPr>
            <w:tcW w:w="626" w:type="pct"/>
            <w:tcBorders>
              <w:top w:val="nil"/>
              <w:left w:val="single" w:sz="8" w:space="0" w:color="EEEEEE"/>
              <w:bottom w:val="nil"/>
              <w:right w:val="nil"/>
            </w:tcBorders>
            <w:shd w:val="clear" w:color="000000" w:fill="FFFFFF"/>
            <w:vAlign w:val="center"/>
            <w:hideMark/>
          </w:tcPr>
          <w:p w14:paraId="67EF2D46"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2 817</w:t>
            </w:r>
          </w:p>
        </w:tc>
        <w:tc>
          <w:tcPr>
            <w:tcW w:w="625" w:type="pct"/>
            <w:tcBorders>
              <w:top w:val="nil"/>
              <w:left w:val="single" w:sz="8" w:space="0" w:color="EEEEEE"/>
              <w:bottom w:val="nil"/>
              <w:right w:val="nil"/>
            </w:tcBorders>
            <w:shd w:val="clear" w:color="000000" w:fill="FFFFFF"/>
            <w:vAlign w:val="center"/>
            <w:hideMark/>
          </w:tcPr>
          <w:p w14:paraId="5DA8CC4A"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2 903</w:t>
            </w:r>
          </w:p>
        </w:tc>
        <w:tc>
          <w:tcPr>
            <w:tcW w:w="626" w:type="pct"/>
            <w:tcBorders>
              <w:top w:val="nil"/>
              <w:left w:val="single" w:sz="8" w:space="0" w:color="EEEEEE"/>
              <w:bottom w:val="nil"/>
              <w:right w:val="nil"/>
            </w:tcBorders>
            <w:shd w:val="clear" w:color="000000" w:fill="FFFFFF"/>
            <w:vAlign w:val="center"/>
            <w:hideMark/>
          </w:tcPr>
          <w:p w14:paraId="2FB2285F"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47</w:t>
            </w:r>
          </w:p>
        </w:tc>
      </w:tr>
      <w:tr w:rsidR="0035526C" w:rsidRPr="0035526C" w14:paraId="64909034" w14:textId="77777777" w:rsidTr="00555385">
        <w:trPr>
          <w:trHeight w:val="357"/>
        </w:trPr>
        <w:tc>
          <w:tcPr>
            <w:tcW w:w="2498" w:type="pct"/>
            <w:tcBorders>
              <w:top w:val="nil"/>
              <w:left w:val="nil"/>
              <w:bottom w:val="nil"/>
              <w:right w:val="nil"/>
            </w:tcBorders>
            <w:shd w:val="clear" w:color="000000" w:fill="EEEEEE"/>
            <w:vAlign w:val="center"/>
            <w:hideMark/>
          </w:tcPr>
          <w:p w14:paraId="4A8AC0C8" w14:textId="77777777" w:rsidR="0035526C" w:rsidRPr="0035526C" w:rsidRDefault="0035526C" w:rsidP="006C5DE7">
            <w:pPr>
              <w:keepNext/>
              <w:keepLines/>
              <w:spacing w:after="0" w:line="240" w:lineRule="auto"/>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 xml:space="preserve">Primærnæringsfag </w:t>
            </w:r>
          </w:p>
        </w:tc>
        <w:tc>
          <w:tcPr>
            <w:tcW w:w="625" w:type="pct"/>
            <w:tcBorders>
              <w:top w:val="nil"/>
              <w:left w:val="nil"/>
              <w:bottom w:val="nil"/>
              <w:right w:val="nil"/>
            </w:tcBorders>
            <w:shd w:val="clear" w:color="000000" w:fill="EEEEEE"/>
            <w:vAlign w:val="center"/>
            <w:hideMark/>
          </w:tcPr>
          <w:p w14:paraId="48129E09"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1 298</w:t>
            </w:r>
          </w:p>
        </w:tc>
        <w:tc>
          <w:tcPr>
            <w:tcW w:w="626" w:type="pct"/>
            <w:tcBorders>
              <w:top w:val="nil"/>
              <w:left w:val="nil"/>
              <w:bottom w:val="nil"/>
              <w:right w:val="nil"/>
            </w:tcBorders>
            <w:shd w:val="clear" w:color="000000" w:fill="EEEEEE"/>
            <w:vAlign w:val="center"/>
            <w:hideMark/>
          </w:tcPr>
          <w:p w14:paraId="0D458FE5"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1 583</w:t>
            </w:r>
          </w:p>
        </w:tc>
        <w:tc>
          <w:tcPr>
            <w:tcW w:w="625" w:type="pct"/>
            <w:tcBorders>
              <w:top w:val="nil"/>
              <w:left w:val="nil"/>
              <w:bottom w:val="nil"/>
              <w:right w:val="nil"/>
            </w:tcBorders>
            <w:shd w:val="clear" w:color="000000" w:fill="EEEEEE"/>
            <w:vAlign w:val="center"/>
            <w:hideMark/>
          </w:tcPr>
          <w:p w14:paraId="40AE08C0"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1 875</w:t>
            </w:r>
          </w:p>
        </w:tc>
        <w:tc>
          <w:tcPr>
            <w:tcW w:w="626" w:type="pct"/>
            <w:tcBorders>
              <w:top w:val="nil"/>
              <w:left w:val="nil"/>
              <w:bottom w:val="nil"/>
              <w:right w:val="nil"/>
            </w:tcBorders>
            <w:shd w:val="clear" w:color="000000" w:fill="EEEEEE"/>
            <w:vAlign w:val="center"/>
            <w:hideMark/>
          </w:tcPr>
          <w:p w14:paraId="6F928F4E" w14:textId="77777777" w:rsidR="0035526C" w:rsidRPr="0035526C" w:rsidRDefault="0035526C" w:rsidP="006C5DE7">
            <w:pPr>
              <w:keepNext/>
              <w:keepLines/>
              <w:spacing w:after="0" w:line="240" w:lineRule="auto"/>
              <w:jc w:val="right"/>
              <w:rPr>
                <w:rFonts w:ascii="Arial" w:eastAsia="Times New Roman" w:hAnsi="Arial" w:cs="Arial"/>
                <w:color w:val="000000"/>
                <w:sz w:val="16"/>
                <w:szCs w:val="16"/>
                <w:lang w:eastAsia="nb-NO"/>
              </w:rPr>
            </w:pPr>
            <w:r w:rsidRPr="0035526C">
              <w:rPr>
                <w:rFonts w:ascii="Arial" w:eastAsia="Times New Roman" w:hAnsi="Arial" w:cs="Arial"/>
                <w:color w:val="000000"/>
                <w:sz w:val="16"/>
                <w:szCs w:val="16"/>
                <w:lang w:eastAsia="nb-NO"/>
              </w:rPr>
              <w:t>44</w:t>
            </w:r>
          </w:p>
        </w:tc>
      </w:tr>
      <w:tr w:rsidR="0035526C" w:rsidRPr="0035526C" w14:paraId="2F01BBC8" w14:textId="77777777" w:rsidTr="00555385">
        <w:trPr>
          <w:trHeight w:val="300"/>
        </w:trPr>
        <w:tc>
          <w:tcPr>
            <w:tcW w:w="2498" w:type="pct"/>
            <w:tcBorders>
              <w:top w:val="nil"/>
              <w:left w:val="nil"/>
              <w:bottom w:val="nil"/>
              <w:right w:val="nil"/>
            </w:tcBorders>
            <w:shd w:val="clear" w:color="000000" w:fill="CCCCCC"/>
            <w:vAlign w:val="center"/>
            <w:hideMark/>
          </w:tcPr>
          <w:p w14:paraId="18F91840" w14:textId="5B7E1263" w:rsidR="0035526C" w:rsidRPr="0035526C" w:rsidRDefault="000E22B0" w:rsidP="006C5DE7">
            <w:pPr>
              <w:keepNext/>
              <w:keepLines/>
              <w:spacing w:after="0" w:line="240" w:lineRule="auto"/>
              <w:rPr>
                <w:rFonts w:ascii="Arial" w:eastAsia="Times New Roman" w:hAnsi="Arial" w:cs="Arial"/>
                <w:b/>
                <w:bCs/>
                <w:color w:val="000000"/>
                <w:sz w:val="16"/>
                <w:szCs w:val="16"/>
                <w:lang w:eastAsia="nb-NO"/>
              </w:rPr>
            </w:pPr>
            <w:r>
              <w:rPr>
                <w:rFonts w:ascii="Arial" w:eastAsia="Times New Roman" w:hAnsi="Arial" w:cs="Arial"/>
                <w:b/>
                <w:bCs/>
                <w:color w:val="000000"/>
                <w:sz w:val="16"/>
                <w:szCs w:val="16"/>
                <w:lang w:eastAsia="nb-NO"/>
              </w:rPr>
              <w:t>I alt</w:t>
            </w:r>
            <w:r w:rsidR="0035526C" w:rsidRPr="0035526C">
              <w:rPr>
                <w:rFonts w:ascii="Arial" w:eastAsia="Times New Roman" w:hAnsi="Arial" w:cs="Arial"/>
                <w:color w:val="000000"/>
                <w:sz w:val="16"/>
                <w:szCs w:val="16"/>
                <w:lang w:eastAsia="nb-NO"/>
              </w:rPr>
              <w:t xml:space="preserve"> </w:t>
            </w:r>
          </w:p>
        </w:tc>
        <w:tc>
          <w:tcPr>
            <w:tcW w:w="625" w:type="pct"/>
            <w:tcBorders>
              <w:top w:val="nil"/>
              <w:left w:val="nil"/>
              <w:bottom w:val="nil"/>
              <w:right w:val="nil"/>
            </w:tcBorders>
            <w:shd w:val="clear" w:color="000000" w:fill="CCCCCC"/>
            <w:vAlign w:val="center"/>
            <w:hideMark/>
          </w:tcPr>
          <w:p w14:paraId="2723FE4F" w14:textId="77777777" w:rsidR="0035526C" w:rsidRPr="0035526C" w:rsidRDefault="0035526C" w:rsidP="006C5DE7">
            <w:pPr>
              <w:keepNext/>
              <w:keepLines/>
              <w:spacing w:after="0" w:line="240" w:lineRule="auto"/>
              <w:jc w:val="right"/>
              <w:rPr>
                <w:rFonts w:ascii="Arial" w:eastAsia="Times New Roman" w:hAnsi="Arial" w:cs="Arial"/>
                <w:b/>
                <w:bCs/>
                <w:color w:val="000000"/>
                <w:sz w:val="16"/>
                <w:szCs w:val="16"/>
                <w:lang w:eastAsia="nb-NO"/>
              </w:rPr>
            </w:pPr>
            <w:r w:rsidRPr="0035526C">
              <w:rPr>
                <w:rFonts w:ascii="Arial" w:eastAsia="Times New Roman" w:hAnsi="Arial" w:cs="Arial"/>
                <w:b/>
                <w:bCs/>
                <w:color w:val="000000"/>
                <w:sz w:val="16"/>
                <w:szCs w:val="16"/>
                <w:lang w:eastAsia="nb-NO"/>
              </w:rPr>
              <w:t>232 691</w:t>
            </w:r>
          </w:p>
        </w:tc>
        <w:tc>
          <w:tcPr>
            <w:tcW w:w="626" w:type="pct"/>
            <w:tcBorders>
              <w:top w:val="nil"/>
              <w:left w:val="nil"/>
              <w:bottom w:val="nil"/>
              <w:right w:val="nil"/>
            </w:tcBorders>
            <w:shd w:val="clear" w:color="000000" w:fill="CCCCCC"/>
            <w:vAlign w:val="center"/>
            <w:hideMark/>
          </w:tcPr>
          <w:p w14:paraId="2ADFD2E0" w14:textId="77777777" w:rsidR="0035526C" w:rsidRPr="0035526C" w:rsidRDefault="0035526C" w:rsidP="006C5DE7">
            <w:pPr>
              <w:keepNext/>
              <w:keepLines/>
              <w:spacing w:after="0" w:line="240" w:lineRule="auto"/>
              <w:jc w:val="right"/>
              <w:rPr>
                <w:rFonts w:ascii="Arial" w:eastAsia="Times New Roman" w:hAnsi="Arial" w:cs="Arial"/>
                <w:b/>
                <w:bCs/>
                <w:color w:val="000000"/>
                <w:sz w:val="16"/>
                <w:szCs w:val="16"/>
                <w:lang w:eastAsia="nb-NO"/>
              </w:rPr>
            </w:pPr>
            <w:r w:rsidRPr="0035526C">
              <w:rPr>
                <w:rFonts w:ascii="Arial" w:eastAsia="Times New Roman" w:hAnsi="Arial" w:cs="Arial"/>
                <w:b/>
                <w:bCs/>
                <w:color w:val="000000"/>
                <w:sz w:val="16"/>
                <w:szCs w:val="16"/>
                <w:lang w:eastAsia="nb-NO"/>
              </w:rPr>
              <w:t>257 154</w:t>
            </w:r>
          </w:p>
        </w:tc>
        <w:tc>
          <w:tcPr>
            <w:tcW w:w="625" w:type="pct"/>
            <w:tcBorders>
              <w:top w:val="nil"/>
              <w:left w:val="nil"/>
              <w:bottom w:val="nil"/>
              <w:right w:val="nil"/>
            </w:tcBorders>
            <w:shd w:val="clear" w:color="000000" w:fill="CCCCCC"/>
            <w:vAlign w:val="center"/>
            <w:hideMark/>
          </w:tcPr>
          <w:p w14:paraId="67A99B5D" w14:textId="77777777" w:rsidR="0035526C" w:rsidRPr="0035526C" w:rsidRDefault="0035526C" w:rsidP="006C5DE7">
            <w:pPr>
              <w:keepNext/>
              <w:keepLines/>
              <w:spacing w:after="0" w:line="240" w:lineRule="auto"/>
              <w:jc w:val="right"/>
              <w:rPr>
                <w:rFonts w:ascii="Arial" w:eastAsia="Times New Roman" w:hAnsi="Arial" w:cs="Arial"/>
                <w:b/>
                <w:bCs/>
                <w:color w:val="000000"/>
                <w:sz w:val="16"/>
                <w:szCs w:val="16"/>
                <w:lang w:eastAsia="nb-NO"/>
              </w:rPr>
            </w:pPr>
            <w:r w:rsidRPr="0035526C">
              <w:rPr>
                <w:rFonts w:ascii="Arial" w:eastAsia="Times New Roman" w:hAnsi="Arial" w:cs="Arial"/>
                <w:b/>
                <w:bCs/>
                <w:color w:val="000000"/>
                <w:sz w:val="16"/>
                <w:szCs w:val="16"/>
                <w:lang w:eastAsia="nb-NO"/>
              </w:rPr>
              <w:t>278 189</w:t>
            </w:r>
          </w:p>
        </w:tc>
        <w:tc>
          <w:tcPr>
            <w:tcW w:w="626" w:type="pct"/>
            <w:tcBorders>
              <w:top w:val="nil"/>
              <w:left w:val="nil"/>
              <w:bottom w:val="nil"/>
              <w:right w:val="nil"/>
            </w:tcBorders>
            <w:shd w:val="clear" w:color="000000" w:fill="CCCCCC"/>
            <w:vAlign w:val="center"/>
            <w:hideMark/>
          </w:tcPr>
          <w:p w14:paraId="70BA1D44" w14:textId="77777777" w:rsidR="0035526C" w:rsidRPr="0035526C" w:rsidRDefault="0035526C" w:rsidP="006C5DE7">
            <w:pPr>
              <w:keepNext/>
              <w:keepLines/>
              <w:spacing w:after="0" w:line="240" w:lineRule="auto"/>
              <w:jc w:val="right"/>
              <w:rPr>
                <w:rFonts w:ascii="Arial" w:eastAsia="Times New Roman" w:hAnsi="Arial" w:cs="Arial"/>
                <w:b/>
                <w:bCs/>
                <w:color w:val="000000"/>
                <w:sz w:val="16"/>
                <w:szCs w:val="16"/>
                <w:lang w:eastAsia="nb-NO"/>
              </w:rPr>
            </w:pPr>
            <w:r w:rsidRPr="0035526C">
              <w:rPr>
                <w:rFonts w:ascii="Arial" w:eastAsia="Times New Roman" w:hAnsi="Arial" w:cs="Arial"/>
                <w:b/>
                <w:bCs/>
                <w:color w:val="000000"/>
                <w:sz w:val="16"/>
                <w:szCs w:val="16"/>
                <w:lang w:eastAsia="nb-NO"/>
              </w:rPr>
              <w:t>20</w:t>
            </w:r>
          </w:p>
        </w:tc>
      </w:tr>
    </w:tbl>
    <w:p w14:paraId="3602B6BC" w14:textId="77777777" w:rsidR="00191A16" w:rsidRDefault="00F070BC" w:rsidP="006C5DE7">
      <w:pPr>
        <w:pStyle w:val="Merknad"/>
        <w:keepNext/>
        <w:keepLines/>
      </w:pPr>
      <w:r w:rsidRPr="00F070BC">
        <w:t>Studenter plassert i NUS-kategoriene «Allmenne fag» og «Uoppgitt fagfelt» består i hovedsak av emnestudenter. I tabellen over er disse slått sammen til én kategori. Tabellen er sortert etter antall registrerte studenter i 2022.</w:t>
      </w:r>
    </w:p>
    <w:p w14:paraId="466644C4" w14:textId="3AA478AE" w:rsidR="00191A16" w:rsidRDefault="00191A16" w:rsidP="00827118">
      <w:pPr>
        <w:pStyle w:val="Kilde"/>
      </w:pPr>
      <w:r>
        <w:t xml:space="preserve">Kilde: </w:t>
      </w:r>
      <w:proofErr w:type="spellStart"/>
      <w:r>
        <w:t>DBH</w:t>
      </w:r>
      <w:proofErr w:type="spellEnd"/>
    </w:p>
    <w:p w14:paraId="73603131" w14:textId="1A96173E" w:rsidR="00455740" w:rsidRDefault="000B7897" w:rsidP="009D0B89">
      <w:r>
        <w:fldChar w:fldCharType="begin"/>
      </w:r>
      <w:r>
        <w:instrText xml:space="preserve"> REF _Ref133165983 \h </w:instrText>
      </w:r>
      <w:r>
        <w:fldChar w:fldCharType="separate"/>
      </w:r>
      <w:r w:rsidR="00F262EF">
        <w:t xml:space="preserve">Tabell </w:t>
      </w:r>
      <w:r w:rsidR="00F262EF">
        <w:rPr>
          <w:noProof/>
        </w:rPr>
        <w:t>2</w:t>
      </w:r>
      <w:r w:rsidR="00F262EF">
        <w:t>.</w:t>
      </w:r>
      <w:r w:rsidR="00F262EF">
        <w:rPr>
          <w:noProof/>
        </w:rPr>
        <w:t>2</w:t>
      </w:r>
      <w:r>
        <w:fldChar w:fldCharType="end"/>
      </w:r>
      <w:r>
        <w:t xml:space="preserve"> </w:t>
      </w:r>
      <w:r w:rsidR="2ECB6F65">
        <w:t xml:space="preserve">viser </w:t>
      </w:r>
      <w:r w:rsidR="129E51C7">
        <w:t xml:space="preserve">studentenes fordeling på fagområder det siste tiåret. </w:t>
      </w:r>
      <w:r w:rsidR="55D6D741">
        <w:t xml:space="preserve">Ser vi tiårsperioden under ett, har </w:t>
      </w:r>
      <w:r w:rsidR="0D291039">
        <w:t>helse-, sosial- og idrettsfag</w:t>
      </w:r>
      <w:r w:rsidR="2B422DC9">
        <w:t xml:space="preserve">, økonomiske og administrative fag </w:t>
      </w:r>
      <w:r w:rsidR="30DDFA73">
        <w:t>og naturvitenskapelige og tekniske fag hatt omtrent samme prosentvise økning</w:t>
      </w:r>
      <w:r w:rsidR="00114C4B">
        <w:t>. V</w:t>
      </w:r>
      <w:r w:rsidR="7943C4A8">
        <w:t xml:space="preserve">eksten i </w:t>
      </w:r>
      <w:r w:rsidR="171F3828">
        <w:t xml:space="preserve">lærerutdanninger og utdanninger i pedagogikk har vært noe lavere. </w:t>
      </w:r>
      <w:r w:rsidR="1C32A2BC">
        <w:t>Bilde</w:t>
      </w:r>
      <w:r w:rsidR="5940FBB9">
        <w:t>t</w:t>
      </w:r>
      <w:r w:rsidR="1C32A2BC">
        <w:t xml:space="preserve"> blir annerledes når vi ser </w:t>
      </w:r>
      <w:r w:rsidR="667B5FCA">
        <w:t xml:space="preserve">på de fem siste årene. </w:t>
      </w:r>
      <w:r w:rsidR="6DEA1F51">
        <w:t>I denne perioden er det økonomiske og administrative fag som vokser sterkest</w:t>
      </w:r>
      <w:r w:rsidR="005D50E3">
        <w:t xml:space="preserve">, med </w:t>
      </w:r>
      <w:r w:rsidR="6DEA1F51">
        <w:t>13 prosent</w:t>
      </w:r>
      <w:r w:rsidR="005D50E3">
        <w:t>.</w:t>
      </w:r>
      <w:r w:rsidR="6DEA1F51">
        <w:t xml:space="preserve"> </w:t>
      </w:r>
      <w:r w:rsidR="005D50E3">
        <w:t>Dette er</w:t>
      </w:r>
      <w:r w:rsidR="6DEA1F51">
        <w:t xml:space="preserve"> marginalt foran helse- sosial og idrettsfag</w:t>
      </w:r>
      <w:r w:rsidR="005078FC">
        <w:t xml:space="preserve">, med </w:t>
      </w:r>
      <w:r w:rsidR="003104F9">
        <w:t>12</w:t>
      </w:r>
      <w:r w:rsidR="005078FC">
        <w:t xml:space="preserve"> prosent</w:t>
      </w:r>
      <w:r w:rsidR="6DEA1F51">
        <w:t>.</w:t>
      </w:r>
      <w:r w:rsidR="32769A4E">
        <w:t xml:space="preserve"> </w:t>
      </w:r>
      <w:r w:rsidR="32BC54E3">
        <w:t>Fo</w:t>
      </w:r>
      <w:r w:rsidR="1D4347EF">
        <w:t xml:space="preserve">r begge disse er veksten sterkere </w:t>
      </w:r>
      <w:r w:rsidR="4872536C">
        <w:t>de siste fem årene. For naturvitenskapelige fag</w:t>
      </w:r>
      <w:r w:rsidR="290932B2">
        <w:t xml:space="preserve"> og tekniske fag </w:t>
      </w:r>
      <w:r w:rsidR="24E49771">
        <w:t>er veksten siste fem år kraftig re</w:t>
      </w:r>
      <w:r w:rsidR="06CF45D8">
        <w:t>dusert fra 13 til 8 prosent</w:t>
      </w:r>
      <w:r w:rsidR="005078FC">
        <w:t>.</w:t>
      </w:r>
      <w:r w:rsidR="06CF45D8">
        <w:t xml:space="preserve"> </w:t>
      </w:r>
      <w:r w:rsidR="00E27B63">
        <w:t>M</w:t>
      </w:r>
      <w:r w:rsidR="06CF45D8">
        <w:t xml:space="preserve">ens </w:t>
      </w:r>
      <w:r w:rsidR="68D39B4C">
        <w:t>veksten</w:t>
      </w:r>
      <w:r w:rsidR="06CF45D8">
        <w:t xml:space="preserve"> for lærerutdanninger og utdanninger i pedagogikk </w:t>
      </w:r>
      <w:r w:rsidR="68D39B4C">
        <w:t xml:space="preserve">nesten stoppet i </w:t>
      </w:r>
      <w:r w:rsidR="00D11620">
        <w:t xml:space="preserve">samme </w:t>
      </w:r>
      <w:r w:rsidR="68D39B4C">
        <w:t>periode.</w:t>
      </w:r>
      <w:r w:rsidR="00AD24CD">
        <w:t xml:space="preserve"> </w:t>
      </w:r>
      <w:r w:rsidR="00D033FE">
        <w:t>Samtidig vet vi at</w:t>
      </w:r>
      <w:r w:rsidR="00E42828">
        <w:t xml:space="preserve"> </w:t>
      </w:r>
      <w:r w:rsidR="007E4A7B">
        <w:t>lærerutdanningene</w:t>
      </w:r>
      <w:r w:rsidR="00E42828">
        <w:t xml:space="preserve"> </w:t>
      </w:r>
      <w:r w:rsidR="007E4A7B">
        <w:t>har blitt utvidet til mastergrad</w:t>
      </w:r>
      <w:r w:rsidR="0049566A">
        <w:t xml:space="preserve">, slik </w:t>
      </w:r>
      <w:r w:rsidR="00B67BAB">
        <w:t xml:space="preserve">at </w:t>
      </w:r>
      <w:r w:rsidR="00D5402F">
        <w:t xml:space="preserve">hvert </w:t>
      </w:r>
      <w:proofErr w:type="spellStart"/>
      <w:r w:rsidR="00D5402F">
        <w:t>oppstart</w:t>
      </w:r>
      <w:r w:rsidR="005F6A73">
        <w:t>skull</w:t>
      </w:r>
      <w:proofErr w:type="spellEnd"/>
      <w:r w:rsidR="005F6A73">
        <w:t xml:space="preserve"> vi</w:t>
      </w:r>
      <w:r w:rsidR="005357E0">
        <w:t>l opptre i stat</w:t>
      </w:r>
      <w:r w:rsidR="00475DC0">
        <w:t xml:space="preserve">istikken </w:t>
      </w:r>
      <w:r w:rsidR="00EA5FFB">
        <w:t>ett år lengre enn tidligere.</w:t>
      </w:r>
      <w:r w:rsidR="008C66E9">
        <w:t xml:space="preserve"> </w:t>
      </w:r>
      <w:r w:rsidR="00300115">
        <w:t xml:space="preserve">Ved like store kull </w:t>
      </w:r>
      <w:r w:rsidR="00C71600">
        <w:t xml:space="preserve">ville dermed antallet studenter </w:t>
      </w:r>
      <w:r w:rsidR="00D97341">
        <w:t xml:space="preserve">på dette fagområdet </w:t>
      </w:r>
      <w:r w:rsidR="00941BBB">
        <w:t>ha vokst</w:t>
      </w:r>
      <w:r w:rsidR="00D97341">
        <w:t>.</w:t>
      </w:r>
      <w:r w:rsidR="2783E4D1">
        <w:t xml:space="preserve"> For samfunnsfag og juridiske fag er vekst</w:t>
      </w:r>
      <w:r w:rsidR="503A935C">
        <w:t>en</w:t>
      </w:r>
      <w:r w:rsidR="2783E4D1">
        <w:t xml:space="preserve"> </w:t>
      </w:r>
      <w:r w:rsidR="00D13DDC">
        <w:t>omtrent like stor i begge femårsperiodene</w:t>
      </w:r>
      <w:r w:rsidR="2783E4D1">
        <w:t xml:space="preserve">, mens </w:t>
      </w:r>
      <w:r w:rsidR="1AF36342">
        <w:t>det var en svak nedgang i antall studenter i hum</w:t>
      </w:r>
      <w:r w:rsidR="2488F861">
        <w:t xml:space="preserve">anistiske og estetiske fag siste fem år. </w:t>
      </w:r>
    </w:p>
    <w:p w14:paraId="6A265657" w14:textId="66688ACB" w:rsidR="00655218" w:rsidRDefault="00EA2FC3" w:rsidP="009D0B89">
      <w:r>
        <w:t xml:space="preserve">Ser vi </w:t>
      </w:r>
      <w:r w:rsidR="009018D7">
        <w:t xml:space="preserve">Norge </w:t>
      </w:r>
      <w:r w:rsidR="005C5FD9">
        <w:t>i et internasjonalt perspektiv</w:t>
      </w:r>
      <w:r w:rsidR="00510F27">
        <w:t xml:space="preserve">, </w:t>
      </w:r>
      <w:r w:rsidR="00396624">
        <w:t xml:space="preserve">tyder tall </w:t>
      </w:r>
      <w:r w:rsidR="009018D7">
        <w:t xml:space="preserve">fra </w:t>
      </w:r>
      <w:r w:rsidR="00736AA8">
        <w:t>OECD</w:t>
      </w:r>
      <w:r w:rsidR="00396624">
        <w:t xml:space="preserve"> </w:t>
      </w:r>
      <w:r w:rsidR="00D36875">
        <w:t xml:space="preserve">for 2020 </w:t>
      </w:r>
      <w:r w:rsidR="00401EC2">
        <w:t xml:space="preserve">på </w:t>
      </w:r>
      <w:r w:rsidR="00D36875">
        <w:t xml:space="preserve">at </w:t>
      </w:r>
      <w:r w:rsidR="00981818">
        <w:t>Norge</w:t>
      </w:r>
      <w:r w:rsidR="00981818" w:rsidDel="005D0624">
        <w:t xml:space="preserve"> </w:t>
      </w:r>
      <w:r w:rsidR="00981818">
        <w:t xml:space="preserve">relativt </w:t>
      </w:r>
      <w:r w:rsidR="00694973">
        <w:t xml:space="preserve">sett </w:t>
      </w:r>
      <w:r w:rsidR="005D0624">
        <w:t xml:space="preserve">har </w:t>
      </w:r>
      <w:r w:rsidR="000F0039">
        <w:t>mange</w:t>
      </w:r>
      <w:r w:rsidR="00BF4881">
        <w:t xml:space="preserve"> studenter </w:t>
      </w:r>
      <w:r w:rsidR="00981818">
        <w:t>innen utdanningsrelaterte fag</w:t>
      </w:r>
      <w:r w:rsidR="00702B8F">
        <w:t xml:space="preserve"> og samfunnsfag</w:t>
      </w:r>
      <w:r w:rsidR="003B11FA">
        <w:t xml:space="preserve">, og </w:t>
      </w:r>
      <w:r w:rsidR="009B2F3D">
        <w:t>relativt</w:t>
      </w:r>
      <w:r w:rsidR="00694973">
        <w:t xml:space="preserve"> </w:t>
      </w:r>
      <w:r w:rsidR="009B2F3D">
        <w:t>få</w:t>
      </w:r>
      <w:r w:rsidR="00694973">
        <w:t xml:space="preserve"> studenter innenfor </w:t>
      </w:r>
      <w:r w:rsidR="0045569A">
        <w:t>ing</w:t>
      </w:r>
      <w:r w:rsidR="00A155FA">
        <w:t>eniør</w:t>
      </w:r>
      <w:r w:rsidR="00B27850">
        <w:t>utdanning</w:t>
      </w:r>
      <w:r w:rsidR="00B8387A">
        <w:t xml:space="preserve">. </w:t>
      </w:r>
      <w:r w:rsidR="00312AE5">
        <w:t xml:space="preserve">Mangel </w:t>
      </w:r>
      <w:r w:rsidR="00453882">
        <w:t xml:space="preserve">på ingeniørutdannede er en </w:t>
      </w:r>
      <w:r w:rsidR="005574BC">
        <w:t>erkjent ut</w:t>
      </w:r>
      <w:r w:rsidR="00937986">
        <w:t>fordring i Norge.</w:t>
      </w:r>
      <w:r w:rsidR="009A0814">
        <w:t xml:space="preserve"> </w:t>
      </w:r>
      <w:r w:rsidR="00FB0786">
        <w:t xml:space="preserve">Ser vi derimot </w:t>
      </w:r>
      <w:r w:rsidR="00A86A22">
        <w:t xml:space="preserve">på </w:t>
      </w:r>
      <w:r w:rsidR="00CF540B">
        <w:t>fullført utdanning hos den voksne befolkningen</w:t>
      </w:r>
      <w:r w:rsidR="00A86A22">
        <w:t xml:space="preserve"> per 2021</w:t>
      </w:r>
      <w:r w:rsidR="00CF540B">
        <w:t xml:space="preserve">, </w:t>
      </w:r>
      <w:r w:rsidR="005E4349">
        <w:t>ligger Norge</w:t>
      </w:r>
      <w:r w:rsidR="00924125">
        <w:t xml:space="preserve"> klart</w:t>
      </w:r>
      <w:r w:rsidR="005E4349">
        <w:t xml:space="preserve"> over OECD-gjennomsnittet </w:t>
      </w:r>
      <w:r w:rsidR="0002179A">
        <w:t xml:space="preserve">for </w:t>
      </w:r>
      <w:r w:rsidR="00B1719B">
        <w:t>utdannede innen helse- og velferdsfag</w:t>
      </w:r>
      <w:r w:rsidR="0060253D">
        <w:t>, men samtidig midt mellom Sverige og Danmark</w:t>
      </w:r>
      <w:r w:rsidR="00C95638">
        <w:t xml:space="preserve"> </w:t>
      </w:r>
      <w:r w:rsidR="00C95638">
        <w:fldChar w:fldCharType="begin"/>
      </w:r>
      <w:r w:rsidR="00BA306D">
        <w:instrText xml:space="preserve"> ADDIN EN.CITE &lt;EndNote&gt;&lt;Cite&gt;&lt;Author&gt;OECD&lt;/Author&gt;&lt;Year&gt;2022&lt;/Year&gt;&lt;RecNum&gt;1858&lt;/RecNum&gt;&lt;DisplayText&gt;(OECD, 2022)&lt;/DisplayText&gt;&lt;record&gt;&lt;rec-number&gt;1858&lt;/rec-number&gt;&lt;foreign-keys&gt;&lt;key app="EN" db-id="s09wp0wxtwz9aue509w52eagvset90vxefrw" timestamp="1683216212" guid="2a64a625-ac02-4e7e-b1d4-a4fafec34a91"&gt;1858&lt;/key&gt;&lt;/foreign-keys&gt;&lt;ref-type name="Report"&gt;27&lt;/ref-type&gt;&lt;contributors&gt;&lt;authors&gt;&lt;author&gt;OECD&lt;/author&gt;&lt;/authors&gt;&lt;tertiary-authors&gt;&lt;author&gt;OECD&lt;/author&gt;&lt;/tertiary-authors&gt;&lt;/contributors&gt;&lt;titles&gt;&lt;title&gt;Education at a Glance 2022. OECD indicators.&lt;/title&gt;&lt;/titles&gt;&lt;dates&gt;&lt;year&gt;2022&lt;/year&gt;&lt;/dates&gt;&lt;publisher&gt;OECD&lt;/publisher&gt;&lt;urls&gt;&lt;related-urls&gt;&lt;url&gt;https://www.oecd-ilibrary.org/docserver/3197152b-en.pdf?expires=1682492344&amp;amp;id=id&amp;amp;accname=guest&amp;amp;checksum=DA0DEA2F06ECE694F656E268BC9834A2&lt;/url&gt;&lt;/related-urls&gt;&lt;/urls&gt;&lt;/record&gt;&lt;/Cite&gt;&lt;/EndNote&gt;</w:instrText>
      </w:r>
      <w:r w:rsidR="00C95638">
        <w:fldChar w:fldCharType="separate"/>
      </w:r>
      <w:r w:rsidR="00C95638">
        <w:rPr>
          <w:noProof/>
        </w:rPr>
        <w:t>(OECD, 2022)</w:t>
      </w:r>
      <w:r w:rsidR="00C95638">
        <w:fldChar w:fldCharType="end"/>
      </w:r>
      <w:r w:rsidR="0060253D">
        <w:t>.</w:t>
      </w:r>
      <w:r w:rsidR="00856045">
        <w:rPr>
          <w:rStyle w:val="Fotnotereferanse"/>
        </w:rPr>
        <w:footnoteReference w:id="4"/>
      </w:r>
    </w:p>
    <w:bookmarkStart w:id="41" w:name="_Toc134792815"/>
    <w:p w14:paraId="65AA8A14" w14:textId="0862CB6B" w:rsidR="002E204A" w:rsidRPr="00191A16" w:rsidRDefault="00170B6D" w:rsidP="00170B6D">
      <w:pPr>
        <w:pStyle w:val="Bildetekst"/>
        <w:spacing w:after="0"/>
      </w:pPr>
      <w:r w:rsidRPr="00655218">
        <w:rPr>
          <w:noProof/>
        </w:rPr>
        <w:lastRenderedPageBreak/>
        <mc:AlternateContent>
          <mc:Choice Requires="wps">
            <w:drawing>
              <wp:anchor distT="45720" distB="45720" distL="114300" distR="114300" simplePos="0" relativeHeight="251658242" behindDoc="0" locked="0" layoutInCell="1" allowOverlap="1" wp14:anchorId="1E558609" wp14:editId="47602124">
                <wp:simplePos x="0" y="0"/>
                <wp:positionH relativeFrom="margin">
                  <wp:posOffset>2540</wp:posOffset>
                </wp:positionH>
                <wp:positionV relativeFrom="paragraph">
                  <wp:posOffset>318770</wp:posOffset>
                </wp:positionV>
                <wp:extent cx="5038090" cy="8305800"/>
                <wp:effectExtent l="38100" t="38100" r="48260" b="57150"/>
                <wp:wrapSquare wrapText="bothSides"/>
                <wp:docPr id="1845605229" name="Tekstboks 1845605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8305800"/>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0191C7E5" w14:textId="6BD942AA" w:rsidR="00D60125" w:rsidRDefault="00022474" w:rsidP="00A6432D">
                            <w:r w:rsidRPr="00022474">
                              <w:t>Utdanningsinstitusjonene er pliktige til å sørge for universell utforming av læringsmiljøet. Universitets- og høyskoleloven slår fast at institusjonenes alminnelige funksjoner skal være universelt utformet, og det berører alle læringsmiljøområder. Kravene til det fysiske og digitale læringsmiljøet er eksplisitt hjemlet i detaljerte forskrifter, og er konkrete og målbare. I sektorens strategi for digital omstilling er universell utforming dessuten tatt inn som en forutsetning for institusjonenes arbeid på alle områder. Institusjonene skal arbeide systematisk og planmessig for å oppfylle lovkravene.</w:t>
                            </w:r>
                          </w:p>
                          <w:p w14:paraId="712E27CE" w14:textId="19030402" w:rsidR="00A6432D" w:rsidRDefault="00A6432D" w:rsidP="00A6432D">
                            <w:r>
                              <w:t xml:space="preserve">Utdanningsinstitusjonene plikter å sørge for universell utforming av IKT og det digitale læringsmiljøet. Fra 1. februar 2022 ble EUs </w:t>
                            </w:r>
                            <w:proofErr w:type="spellStart"/>
                            <w:r>
                              <w:t>webdirektiv</w:t>
                            </w:r>
                            <w:proofErr w:type="spellEnd"/>
                            <w:r>
                              <w:t xml:space="preserve"> om tilgjengelige nettløsninger (</w:t>
                            </w:r>
                            <w:proofErr w:type="spellStart"/>
                            <w:r>
                              <w:t>WAD</w:t>
                            </w:r>
                            <w:proofErr w:type="spellEnd"/>
                            <w:r>
                              <w:t>) innlemmet i norsk lov med en innføringstid på ett år</w:t>
                            </w:r>
                            <w:r w:rsidR="00AE019C">
                              <w:t xml:space="preserve"> </w:t>
                            </w:r>
                            <w:hyperlink r:id="rId26" w:history="1">
                              <w:r w:rsidR="00AE019C" w:rsidRPr="00D00B42">
                                <w:rPr>
                                  <w:rStyle w:val="Hyperkobling"/>
                                </w:rPr>
                                <w:t>(</w:t>
                              </w:r>
                              <w:proofErr w:type="spellStart"/>
                              <w:r w:rsidR="00AE019C" w:rsidRPr="00D00B42">
                                <w:rPr>
                                  <w:rStyle w:val="Hyperkobling"/>
                                </w:rPr>
                                <w:t>uutilsynet</w:t>
                              </w:r>
                              <w:proofErr w:type="spellEnd"/>
                              <w:r w:rsidR="00AE019C" w:rsidRPr="00D00B42">
                                <w:rPr>
                                  <w:rStyle w:val="Hyperkobling"/>
                                </w:rPr>
                                <w:t>, 2020)</w:t>
                              </w:r>
                            </w:hyperlink>
                            <w:r>
                              <w:t xml:space="preserve">. Digitaliseringsdirektoratet fører tilsyn med lov og forskrift, og </w:t>
                            </w:r>
                            <w:r w:rsidR="009971F1">
                              <w:t xml:space="preserve">gir </w:t>
                            </w:r>
                            <w:r>
                              <w:t>veiled</w:t>
                            </w:r>
                            <w:r w:rsidR="009971F1">
                              <w:t>ning</w:t>
                            </w:r>
                            <w:r>
                              <w:t xml:space="preserve"> </w:t>
                            </w:r>
                            <w:r w:rsidR="009971F1">
                              <w:t>om</w:t>
                            </w:r>
                            <w:r>
                              <w:t xml:space="preserve"> innholdet i forskriften om universell utforming av IKT. HK-</w:t>
                            </w:r>
                            <w:proofErr w:type="spellStart"/>
                            <w:r>
                              <w:t>dir</w:t>
                            </w:r>
                            <w:proofErr w:type="spellEnd"/>
                            <w:r>
                              <w:t xml:space="preserve"> bistår med sektorspesifikk kunnskap og veileder utdanningsinstitusjonene.</w:t>
                            </w:r>
                          </w:p>
                          <w:p w14:paraId="12BA0300" w14:textId="3E7DEFD4" w:rsidR="00A6432D" w:rsidRDefault="00DE483D" w:rsidP="00A6432D">
                            <w:r>
                              <w:t xml:space="preserve">Et krav i EUs </w:t>
                            </w:r>
                            <w:proofErr w:type="spellStart"/>
                            <w:r>
                              <w:t>webdirektiv</w:t>
                            </w:r>
                            <w:proofErr w:type="spellEnd"/>
                            <w:r>
                              <w:t xml:space="preserve"> er at alle </w:t>
                            </w:r>
                            <w:r w:rsidR="006F1C6E">
                              <w:t xml:space="preserve">virksomheter </w:t>
                            </w:r>
                            <w:r w:rsidR="00C330ED">
                              <w:t>i offentlig sektor har en</w:t>
                            </w:r>
                            <w:r w:rsidR="00A7423B">
                              <w:t xml:space="preserve"> </w:t>
                            </w:r>
                            <w:r w:rsidR="00A7423B" w:rsidRPr="00FB278C">
                              <w:rPr>
                                <w:i/>
                              </w:rPr>
                              <w:t>tilgjengelighetserklæring</w:t>
                            </w:r>
                            <w:r w:rsidR="00A7423B">
                              <w:t xml:space="preserve"> </w:t>
                            </w:r>
                            <w:r w:rsidR="005C7396">
                              <w:t>for nettløsninger rettet mot allmennheten</w:t>
                            </w:r>
                            <w:r w:rsidR="00A7423B">
                              <w:t>.</w:t>
                            </w:r>
                            <w:r w:rsidR="00A6432D">
                              <w:t xml:space="preserve"> HK-</w:t>
                            </w:r>
                            <w:proofErr w:type="spellStart"/>
                            <w:r w:rsidR="00A6432D">
                              <w:t>dir</w:t>
                            </w:r>
                            <w:proofErr w:type="spellEnd"/>
                            <w:r w:rsidR="00A6432D">
                              <w:t xml:space="preserve"> har gjort en innledende undersøkelse av</w:t>
                            </w:r>
                            <w:r w:rsidR="00A6432D" w:rsidRPr="00D6704D">
                              <w:t xml:space="preserve"> tilgjengelighetserklæring</w:t>
                            </w:r>
                            <w:r w:rsidR="00A6432D">
                              <w:t xml:space="preserve">er i sektoren, i første omgang </w:t>
                            </w:r>
                            <w:r w:rsidR="00A6432D" w:rsidRPr="00D6704D">
                              <w:t>kun</w:t>
                            </w:r>
                            <w:r w:rsidR="00A6432D">
                              <w:t xml:space="preserve"> rapporteringen om</w:t>
                            </w:r>
                            <w:r w:rsidR="00A6432D" w:rsidRPr="00D6704D">
                              <w:t xml:space="preserve"> institusjonens nettsted</w:t>
                            </w:r>
                            <w:r w:rsidR="00A6432D">
                              <w:t xml:space="preserve">. 22 av 23 statlige </w:t>
                            </w:r>
                            <w:r w:rsidR="00A6432D" w:rsidRPr="00D6704D">
                              <w:t>institusjoner</w:t>
                            </w:r>
                            <w:r w:rsidR="00A6432D">
                              <w:t xml:space="preserve"> har</w:t>
                            </w:r>
                            <w:r w:rsidR="00A6432D" w:rsidRPr="00D6704D">
                              <w:t xml:space="preserve"> </w:t>
                            </w:r>
                            <w:r w:rsidR="00A6432D">
                              <w:t xml:space="preserve">slik </w:t>
                            </w:r>
                            <w:r w:rsidR="00A6432D" w:rsidRPr="00D6704D">
                              <w:t>erklæring</w:t>
                            </w:r>
                            <w:r w:rsidR="00A6432D">
                              <w:t xml:space="preserve"> tilknyttet institusjonens nettsted</w:t>
                            </w:r>
                            <w:r w:rsidR="00A6432D" w:rsidRPr="00D6704D">
                              <w:t xml:space="preserve">. I tilgjengelighetserklæringene er det i gjennomsnitt </w:t>
                            </w:r>
                            <w:r w:rsidR="00A6432D">
                              <w:t xml:space="preserve">per institusjon </w:t>
                            </w:r>
                            <w:r w:rsidR="00A6432D" w:rsidRPr="00D6704D">
                              <w:t>dokumentert brudd på 12 av 47 minimumskrav til universell utforming av nettløsninger (</w:t>
                            </w:r>
                            <w:r w:rsidR="00A6432D">
                              <w:t xml:space="preserve">i forhold til den tekniske standarden </w:t>
                            </w:r>
                            <w:proofErr w:type="spellStart"/>
                            <w:r w:rsidR="00A6432D" w:rsidRPr="00D6704D">
                              <w:t>WCAG</w:t>
                            </w:r>
                            <w:proofErr w:type="spellEnd"/>
                            <w:r w:rsidR="00A6432D" w:rsidRPr="00D6704D">
                              <w:t xml:space="preserve"> 2.1).</w:t>
                            </w:r>
                            <w:r w:rsidR="00A6432D">
                              <w:t xml:space="preserve"> Den laveste forekomsten på antall brudd var tre, mens én institusjon hadde brudd på hele 28 av 47 såkalte suksesskriterier i standarden. </w:t>
                            </w:r>
                            <w:r w:rsidR="00A6432D" w:rsidRPr="00D6704D">
                              <w:t xml:space="preserve">21 av 22 institusjoner rapporterte brudd på </w:t>
                            </w:r>
                            <w:r w:rsidR="00A6432D">
                              <w:t xml:space="preserve">krav om </w:t>
                            </w:r>
                            <w:r w:rsidR="00A6432D" w:rsidRPr="007B2B41">
                              <w:rPr>
                                <w:i/>
                                <w:iCs/>
                              </w:rPr>
                              <w:t>ikke-tekstlig innhold</w:t>
                            </w:r>
                            <w:r w:rsidR="00A6432D" w:rsidRPr="00D6704D">
                              <w:t xml:space="preserve"> (alternativ tekst til bilder) og </w:t>
                            </w:r>
                            <w:r w:rsidR="00A6432D" w:rsidRPr="007B2B41">
                              <w:rPr>
                                <w:i/>
                                <w:iCs/>
                              </w:rPr>
                              <w:t>Informasjon og relasjoner</w:t>
                            </w:r>
                            <w:r w:rsidR="00A6432D" w:rsidRPr="00D6704D">
                              <w:t xml:space="preserve"> (koding av innhold)</w:t>
                            </w:r>
                            <w:r w:rsidR="00A6432D">
                              <w:t xml:space="preserve">. 15 av institusjonene rapporterer om brudd på kravet om </w:t>
                            </w:r>
                            <w:r w:rsidR="00A6432D" w:rsidRPr="007B2B41">
                              <w:rPr>
                                <w:i/>
                                <w:iCs/>
                              </w:rPr>
                              <w:t>teksting av video</w:t>
                            </w:r>
                            <w:r w:rsidR="00A6432D">
                              <w:t>. Det viser at det gjerne er innholdsproduksjonen og ikke løsningen i seg selv som gir flest brudd. Det er viktig å prioritere hvilke deler av innholdet som først skal nå lovkravene, slik at kravene til innholdet ikke fører til avpublisering eller uforholdsmessig byrdefullt arbeid for institusjonene.</w:t>
                            </w:r>
                          </w:p>
                          <w:p w14:paraId="0511BF8A" w14:textId="3CA2598A" w:rsidR="00A6432D" w:rsidRDefault="00A6432D" w:rsidP="00A6432D">
                            <w:r>
                              <w:t>Arbeidet med tilgjengelighetserklæringen berører mange studentnære systemer og tjenester, som digital eksamen, digitale læringsplattformer og systemer for digital samhandling og tilbakemelding. HK-</w:t>
                            </w:r>
                            <w:proofErr w:type="spellStart"/>
                            <w:r>
                              <w:t>dir</w:t>
                            </w:r>
                            <w:proofErr w:type="spellEnd"/>
                            <w:r>
                              <w:t xml:space="preserve"> vurderer </w:t>
                            </w:r>
                            <w:r w:rsidR="007B0588">
                              <w:t xml:space="preserve">det </w:t>
                            </w:r>
                            <w:r w:rsidR="00C1183D">
                              <w:t>dithen</w:t>
                            </w:r>
                            <w:r>
                              <w:t xml:space="preserve"> at Universell utforming av digitale tjenester, verktøy og læringsformer </w:t>
                            </w:r>
                            <w:r w:rsidR="001511C3">
                              <w:t xml:space="preserve">nå får </w:t>
                            </w:r>
                            <w:r>
                              <w:t xml:space="preserve">økt oppmerksomhet i sektoren, og det pågår mange gode initiativ som vil bidra til målet om et universelt utformet og inkluderende læringsmiljø. </w:t>
                            </w:r>
                          </w:p>
                          <w:p w14:paraId="14EDCEE0" w14:textId="77777777" w:rsidR="00A6432D" w:rsidRDefault="00A6432D" w:rsidP="00A6432D">
                            <w:r>
                              <w:t>Universell utforming er også et fag- og kunnskapsbegrep i høyere utdanning. Hva lærer fremtidens arkitekter, bygningsingeniører, IT-utdannede, designere og samfunnsplanleggere om universell utforming før de skal ut i arbeidslivet? HK-</w:t>
                            </w:r>
                            <w:proofErr w:type="spellStart"/>
                            <w:r>
                              <w:t>dir</w:t>
                            </w:r>
                            <w:proofErr w:type="spellEnd"/>
                            <w:r>
                              <w:t xml:space="preserve"> har kartlagt innholdet i fire studieretninger (IKT, byggfag, planfag og designfag) med 186 relevante studieprogram og omtrent 3 000 emner. Innen relevante IKT-utdanninger hvor det kan forventes at studentene lærer om universell utforming, viser det seg at halvparten av studentene tilbys undervisning om universell utforming. Det er en økning fra 33 prosent fra tilsvarende undersøkelse i 2019. Nivået på undervisning og læring om universell utforming i de aktuelle utdanningene skal undersøkes nærmere i 2023.</w:t>
                            </w:r>
                          </w:p>
                          <w:p w14:paraId="60C23223" w14:textId="022634A1" w:rsidR="00655218" w:rsidRPr="00B47CA4" w:rsidRDefault="00655218" w:rsidP="00655218">
                            <w:pPr>
                              <w:pStyle w:val="Kilde"/>
                              <w:rPr>
                                <w:b w:val="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58609" id="_x0000_t202" coordsize="21600,21600" o:spt="202" path="m,l,21600r21600,l21600,xe">
                <v:stroke joinstyle="miter"/>
                <v:path gradientshapeok="t" o:connecttype="rect"/>
              </v:shapetype>
              <v:shape id="Tekstboks 1845605229" o:spid="_x0000_s1026" type="#_x0000_t202" style="position:absolute;margin-left:.2pt;margin-top:25.1pt;width:396.7pt;height:65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" strokecolor="#362683">
                <v:textbox>
                  <w:txbxContent>
                    <w:p w14:paraId="0191C7E5" w14:textId="6BD942AA" w:rsidR="00D60125" w:rsidRDefault="00022474" w:rsidP="00A6432D">
                      <w:r w:rsidRPr="00022474">
                        <w:t>Utdanningsinstitusjonene er pliktige til å sørge for universell utforming av læringsmiljøet. Universitets- og høyskoleloven slår fast at institusjonenes alminnelige funksjoner skal være universelt utformet, og det berører alle læringsmiljøområder. Kravene til det fysiske og digitale læringsmiljøet er eksplisitt hjemlet i detaljerte forskrifter, og er konkrete og målbare. I sektorens strategi for digital omstilling er universell utforming dessuten tatt inn som en forutsetning for institusjonenes arbeid på alle områder. Institusjonene skal arbeide systematisk og planmessig for å oppfylle lovkravene.</w:t>
                      </w:r>
                    </w:p>
                    <w:p w14:paraId="712E27CE" w14:textId="19030402" w:rsidR="00A6432D" w:rsidRDefault="00A6432D" w:rsidP="00A6432D">
                      <w:r>
                        <w:t>Utdanningsinstitusjonene plikter å sørge for universell utforming av IKT og det digitale læringsmiljøet. Fra 1. februar 2022 ble EUs webdirektiv om tilgjengelige nettløsninger (WAD) innlemmet i norsk lov med en innføringstid på ett år</w:t>
                      </w:r>
                      <w:r w:rsidR="00AE019C">
                        <w:t xml:space="preserve"> </w:t>
                      </w:r>
                      <w:hyperlink r:id="rId27" w:history="1">
                        <w:r w:rsidR="00AE019C" w:rsidRPr="00D00B42">
                          <w:rPr>
                            <w:rStyle w:val="Hyperkobling"/>
                          </w:rPr>
                          <w:t>(uutilsynet, 2020)</w:t>
                        </w:r>
                      </w:hyperlink>
                      <w:r>
                        <w:t xml:space="preserve">. Digitaliseringsdirektoratet fører tilsyn med lov og forskrift, og </w:t>
                      </w:r>
                      <w:r w:rsidR="009971F1">
                        <w:t xml:space="preserve">gir </w:t>
                      </w:r>
                      <w:r>
                        <w:t>veiled</w:t>
                      </w:r>
                      <w:r w:rsidR="009971F1">
                        <w:t>ning</w:t>
                      </w:r>
                      <w:r>
                        <w:t xml:space="preserve"> </w:t>
                      </w:r>
                      <w:r w:rsidR="009971F1">
                        <w:t>om</w:t>
                      </w:r>
                      <w:r>
                        <w:t xml:space="preserve"> innholdet i forskriften om universell utforming av IKT. HK-dir bistår med sektorspesifikk kunnskap og veileder utdanningsinstitusjonene.</w:t>
                      </w:r>
                    </w:p>
                    <w:p w14:paraId="12BA0300" w14:textId="3E7DEFD4" w:rsidR="00A6432D" w:rsidRDefault="00DE483D" w:rsidP="00A6432D">
                      <w:r>
                        <w:t xml:space="preserve">Et krav i EUs webdirektiv er at alle </w:t>
                      </w:r>
                      <w:r w:rsidR="006F1C6E">
                        <w:t xml:space="preserve">virksomheter </w:t>
                      </w:r>
                      <w:r w:rsidR="00C330ED">
                        <w:t>i offentlig sektor har en</w:t>
                      </w:r>
                      <w:r w:rsidR="00A7423B">
                        <w:t xml:space="preserve"> </w:t>
                      </w:r>
                      <w:r w:rsidR="00A7423B" w:rsidRPr="00FB278C">
                        <w:rPr>
                          <w:i/>
                        </w:rPr>
                        <w:t>tilgjengelighetserklæring</w:t>
                      </w:r>
                      <w:r w:rsidR="00A7423B">
                        <w:t xml:space="preserve"> </w:t>
                      </w:r>
                      <w:r w:rsidR="005C7396">
                        <w:t>for nettløsninger rettet mot allmennheten</w:t>
                      </w:r>
                      <w:r w:rsidR="00A7423B">
                        <w:t>.</w:t>
                      </w:r>
                      <w:r w:rsidR="00A6432D">
                        <w:t xml:space="preserve"> HK-dir har gjort en innledende undersøkelse av</w:t>
                      </w:r>
                      <w:r w:rsidR="00A6432D" w:rsidRPr="00D6704D">
                        <w:t xml:space="preserve"> tilgjengelighetserklæring</w:t>
                      </w:r>
                      <w:r w:rsidR="00A6432D">
                        <w:t xml:space="preserve">er i sektoren, i første omgang </w:t>
                      </w:r>
                      <w:r w:rsidR="00A6432D" w:rsidRPr="00D6704D">
                        <w:t>kun</w:t>
                      </w:r>
                      <w:r w:rsidR="00A6432D">
                        <w:t xml:space="preserve"> rapporteringen om</w:t>
                      </w:r>
                      <w:r w:rsidR="00A6432D" w:rsidRPr="00D6704D">
                        <w:t xml:space="preserve"> institusjonens nettsted</w:t>
                      </w:r>
                      <w:r w:rsidR="00A6432D">
                        <w:t xml:space="preserve">. 22 av 23 statlige </w:t>
                      </w:r>
                      <w:r w:rsidR="00A6432D" w:rsidRPr="00D6704D">
                        <w:t>institusjoner</w:t>
                      </w:r>
                      <w:r w:rsidR="00A6432D">
                        <w:t xml:space="preserve"> har</w:t>
                      </w:r>
                      <w:r w:rsidR="00A6432D" w:rsidRPr="00D6704D">
                        <w:t xml:space="preserve"> </w:t>
                      </w:r>
                      <w:r w:rsidR="00A6432D">
                        <w:t xml:space="preserve">slik </w:t>
                      </w:r>
                      <w:r w:rsidR="00A6432D" w:rsidRPr="00D6704D">
                        <w:t>erklæring</w:t>
                      </w:r>
                      <w:r w:rsidR="00A6432D">
                        <w:t xml:space="preserve"> tilknyttet institusjonens nettsted</w:t>
                      </w:r>
                      <w:r w:rsidR="00A6432D" w:rsidRPr="00D6704D">
                        <w:t xml:space="preserve">. I tilgjengelighetserklæringene er det i gjennomsnitt </w:t>
                      </w:r>
                      <w:r w:rsidR="00A6432D">
                        <w:t xml:space="preserve">per institusjon </w:t>
                      </w:r>
                      <w:r w:rsidR="00A6432D" w:rsidRPr="00D6704D">
                        <w:t>dokumentert brudd på 12 av 47 minimumskrav til universell utforming av nettløsninger (</w:t>
                      </w:r>
                      <w:r w:rsidR="00A6432D">
                        <w:t xml:space="preserve">i forhold til den tekniske standarden </w:t>
                      </w:r>
                      <w:r w:rsidR="00A6432D" w:rsidRPr="00D6704D">
                        <w:t>WCAG 2.1).</w:t>
                      </w:r>
                      <w:r w:rsidR="00A6432D">
                        <w:t xml:space="preserve"> Den laveste forekomsten på antall brudd var tre, mens én institusjon hadde brudd på hele 28 av 47 såkalte suksesskriterier i standarden. </w:t>
                      </w:r>
                      <w:r w:rsidR="00A6432D" w:rsidRPr="00D6704D">
                        <w:t xml:space="preserve">21 av 22 institusjoner rapporterte brudd på </w:t>
                      </w:r>
                      <w:r w:rsidR="00A6432D">
                        <w:t xml:space="preserve">krav om </w:t>
                      </w:r>
                      <w:r w:rsidR="00A6432D" w:rsidRPr="007B2B41">
                        <w:rPr>
                          <w:i/>
                          <w:iCs/>
                        </w:rPr>
                        <w:t>ikke-tekstlig innhold</w:t>
                      </w:r>
                      <w:r w:rsidR="00A6432D" w:rsidRPr="00D6704D">
                        <w:t xml:space="preserve"> (alternativ tekst til bilder) og </w:t>
                      </w:r>
                      <w:r w:rsidR="00A6432D" w:rsidRPr="007B2B41">
                        <w:rPr>
                          <w:i/>
                          <w:iCs/>
                        </w:rPr>
                        <w:t>Informasjon og relasjoner</w:t>
                      </w:r>
                      <w:r w:rsidR="00A6432D" w:rsidRPr="00D6704D">
                        <w:t xml:space="preserve"> (koding av innhold)</w:t>
                      </w:r>
                      <w:r w:rsidR="00A6432D">
                        <w:t xml:space="preserve">. 15 av institusjonene rapporterer om brudd på kravet om </w:t>
                      </w:r>
                      <w:r w:rsidR="00A6432D" w:rsidRPr="007B2B41">
                        <w:rPr>
                          <w:i/>
                          <w:iCs/>
                        </w:rPr>
                        <w:t>teksting av video</w:t>
                      </w:r>
                      <w:r w:rsidR="00A6432D">
                        <w:t>. Det viser at det gjerne er innholdsproduksjonen og ikke løsningen i seg selv som gir flest brudd. Det er viktig å prioritere hvilke deler av innholdet som først skal nå lovkravene, slik at kravene til innholdet ikke fører til avpublisering eller uforholdsmessig byrdefullt arbeid for institusjonene.</w:t>
                      </w:r>
                    </w:p>
                    <w:p w14:paraId="0511BF8A" w14:textId="3CA2598A" w:rsidR="00A6432D" w:rsidRDefault="00A6432D" w:rsidP="00A6432D">
                      <w:r>
                        <w:t xml:space="preserve">Arbeidet med tilgjengelighetserklæringen berører mange studentnære systemer og tjenester, som digital eksamen, digitale læringsplattformer og systemer for digital samhandling og tilbakemelding. HK-dir vurderer </w:t>
                      </w:r>
                      <w:r w:rsidR="007B0588">
                        <w:t xml:space="preserve">det </w:t>
                      </w:r>
                      <w:r w:rsidR="00C1183D">
                        <w:t>dithen</w:t>
                      </w:r>
                      <w:r>
                        <w:t xml:space="preserve"> at Universell utforming av digitale tjenester, verktøy og læringsformer </w:t>
                      </w:r>
                      <w:r w:rsidR="001511C3">
                        <w:t xml:space="preserve">nå får </w:t>
                      </w:r>
                      <w:r>
                        <w:t xml:space="preserve">økt oppmerksomhet i sektoren, og det pågår mange gode initiativ som vil bidra til målet om et universelt utformet og inkluderende læringsmiljø. </w:t>
                      </w:r>
                    </w:p>
                    <w:p w14:paraId="14EDCEE0" w14:textId="77777777" w:rsidR="00A6432D" w:rsidRDefault="00A6432D" w:rsidP="00A6432D">
                      <w:r>
                        <w:t>Universell utforming er også et fag- og kunnskapsbegrep i høyere utdanning. Hva lærer fremtidens arkitekter, bygningsingeniører, IT-utdannede, designere og samfunnsplanleggere om universell utforming før de skal ut i arbeidslivet? HK-dir har kartlagt innholdet i fire studieretninger (IKT, byggfag, planfag og designfag) med 186 relevante studieprogram og omtrent 3 000 emner. Innen relevante IKT-utdanninger hvor det kan forventes at studentene lærer om universell utforming, viser det seg at halvparten av studentene tilbys undervisning om universell utforming. Det er en økning fra 33 prosent fra tilsvarende undersøkelse i 2019. Nivået på undervisning og læring om universell utforming i de aktuelle utdanningene skal undersøkes nærmere i 2023.</w:t>
                      </w:r>
                    </w:p>
                    <w:p w14:paraId="60C23223" w14:textId="022634A1" w:rsidR="00655218" w:rsidRPr="00B47CA4" w:rsidRDefault="00655218" w:rsidP="00655218">
                      <w:pPr>
                        <w:pStyle w:val="Kilde"/>
                        <w:rPr>
                          <w:b w:val="0"/>
                          <w:sz w:val="20"/>
                        </w:rPr>
                      </w:pPr>
                    </w:p>
                  </w:txbxContent>
                </v:textbox>
                <w10:wrap type="square" anchorx="margin"/>
              </v:shape>
            </w:pict>
          </mc:Fallback>
        </mc:AlternateContent>
      </w:r>
      <w:r>
        <w:t xml:space="preserve">Tekstboks </w:t>
      </w:r>
      <w:r>
        <w:fldChar w:fldCharType="begin"/>
      </w:r>
      <w:r>
        <w:instrText>STYLEREF 1 \s</w:instrText>
      </w:r>
      <w:r>
        <w:fldChar w:fldCharType="separate"/>
      </w:r>
      <w:r w:rsidR="00F262EF">
        <w:rPr>
          <w:noProof/>
        </w:rPr>
        <w:t>2</w:t>
      </w:r>
      <w:r>
        <w:fldChar w:fldCharType="end"/>
      </w:r>
      <w:r w:rsidR="00F11FCC">
        <w:t>.</w:t>
      </w:r>
      <w:r>
        <w:fldChar w:fldCharType="begin"/>
      </w:r>
      <w:r>
        <w:instrText>SEQ Tekstboks \* ARABIC \s 1</w:instrText>
      </w:r>
      <w:r>
        <w:fldChar w:fldCharType="separate"/>
      </w:r>
      <w:r w:rsidR="00F262EF">
        <w:rPr>
          <w:noProof/>
        </w:rPr>
        <w:t>1</w:t>
      </w:r>
      <w:r>
        <w:fldChar w:fldCharType="end"/>
      </w:r>
      <w:r>
        <w:t xml:space="preserve"> </w:t>
      </w:r>
      <w:r w:rsidRPr="00F244D6">
        <w:t>Universell utforming i høyere utdanning – en statusbeskrivelse</w:t>
      </w:r>
      <w:bookmarkEnd w:id="41"/>
      <w:r w:rsidRPr="00F244D6">
        <w:t xml:space="preserve"> </w:t>
      </w:r>
    </w:p>
    <w:p w14:paraId="44B92AD7" w14:textId="5338A618" w:rsidR="00771F1D" w:rsidRDefault="00771F1D" w:rsidP="00AE4B98">
      <w:pPr>
        <w:pStyle w:val="Overskrift3"/>
      </w:pPr>
      <w:bookmarkStart w:id="42" w:name="_Ref133159839"/>
      <w:bookmarkStart w:id="43" w:name="_Toc134792720"/>
      <w:r>
        <w:lastRenderedPageBreak/>
        <w:t>Studiepoeng</w:t>
      </w:r>
      <w:r w:rsidR="000208DA">
        <w:t xml:space="preserve"> per faglige årsverk</w:t>
      </w:r>
      <w:r w:rsidR="00061FBC">
        <w:t xml:space="preserve"> – </w:t>
      </w:r>
      <w:r w:rsidR="00CF30BD">
        <w:t>n</w:t>
      </w:r>
      <w:r w:rsidR="00061FBC">
        <w:t>asjonal styringsparameter</w:t>
      </w:r>
      <w:bookmarkEnd w:id="42"/>
      <w:bookmarkEnd w:id="43"/>
    </w:p>
    <w:p w14:paraId="380B455B" w14:textId="4E467965" w:rsidR="004F73D3" w:rsidRDefault="00CB6CD0" w:rsidP="004F73D3">
      <w:pPr>
        <w:rPr>
          <w:rStyle w:val="normaltextrun"/>
          <w:rFonts w:cstheme="minorHAnsi"/>
          <w:color w:val="000000"/>
          <w:shd w:val="clear" w:color="auto" w:fill="FFFFFF"/>
        </w:rPr>
      </w:pPr>
      <w:r w:rsidRPr="00CB6CD0">
        <w:rPr>
          <w:rStyle w:val="normaltextrun"/>
          <w:rFonts w:cstheme="minorHAnsi"/>
          <w:color w:val="000000"/>
          <w:shd w:val="clear" w:color="auto" w:fill="FFFFFF"/>
        </w:rPr>
        <w:t xml:space="preserve">Antallet studiepoeng per faglige årsverk er en av flere indikatorer på sektorens produktivitet. Tallet </w:t>
      </w:r>
      <w:r w:rsidR="0021134A">
        <w:rPr>
          <w:rStyle w:val="normaltextrun"/>
          <w:rFonts w:cstheme="minorHAnsi"/>
          <w:color w:val="000000"/>
          <w:shd w:val="clear" w:color="auto" w:fill="FFFFFF"/>
        </w:rPr>
        <w:t>kan</w:t>
      </w:r>
      <w:r w:rsidRPr="00CB6CD0">
        <w:rPr>
          <w:rStyle w:val="normaltextrun"/>
          <w:rFonts w:cstheme="minorHAnsi"/>
          <w:color w:val="000000"/>
          <w:shd w:val="clear" w:color="auto" w:fill="FFFFFF"/>
        </w:rPr>
        <w:t xml:space="preserve"> imidlertid ikke ensidig</w:t>
      </w:r>
      <w:r w:rsidR="0021134A">
        <w:rPr>
          <w:rStyle w:val="normaltextrun"/>
          <w:rFonts w:cstheme="minorHAnsi"/>
          <w:color w:val="000000"/>
          <w:shd w:val="clear" w:color="auto" w:fill="FFFFFF"/>
        </w:rPr>
        <w:t xml:space="preserve"> ses</w:t>
      </w:r>
      <w:r w:rsidRPr="00CB6CD0">
        <w:rPr>
          <w:rStyle w:val="normaltextrun"/>
          <w:rFonts w:cstheme="minorHAnsi"/>
          <w:color w:val="000000"/>
          <w:shd w:val="clear" w:color="auto" w:fill="FFFFFF"/>
        </w:rPr>
        <w:t xml:space="preserve"> som uttrykk for produktivitet, fordi de faglige årsverkene i UH-sektoren dekker flere oppgaver enn undervisning.</w:t>
      </w:r>
      <w:r w:rsidR="00613E20">
        <w:rPr>
          <w:rStyle w:val="normaltextrun"/>
          <w:rFonts w:cstheme="minorHAnsi"/>
          <w:color w:val="000000"/>
          <w:shd w:val="clear" w:color="auto" w:fill="FFFFFF"/>
        </w:rPr>
        <w:t xml:space="preserve"> Det har over flere år </w:t>
      </w:r>
      <w:r w:rsidR="004F73D3" w:rsidRPr="00CB6CD0">
        <w:rPr>
          <w:rStyle w:val="normaltextrun"/>
          <w:rFonts w:cstheme="minorHAnsi"/>
          <w:color w:val="000000"/>
          <w:shd w:val="clear" w:color="auto" w:fill="FFFFFF"/>
        </w:rPr>
        <w:t>vært nedgang i antall studiepoeng per faglig ansatt i sektoren totalt</w:t>
      </w:r>
      <w:r w:rsidR="004F73D3">
        <w:rPr>
          <w:rStyle w:val="normaltextrun"/>
          <w:rFonts w:cstheme="minorHAnsi"/>
          <w:color w:val="000000"/>
          <w:shd w:val="clear" w:color="auto" w:fill="FFFFFF"/>
        </w:rPr>
        <w:t>,</w:t>
      </w:r>
      <w:r w:rsidR="004F73D3" w:rsidRPr="00CB6CD0">
        <w:rPr>
          <w:rStyle w:val="normaltextrun"/>
          <w:rFonts w:cstheme="minorHAnsi"/>
          <w:color w:val="000000"/>
          <w:shd w:val="clear" w:color="auto" w:fill="FFFFFF"/>
        </w:rPr>
        <w:t xml:space="preserve"> </w:t>
      </w:r>
      <w:r w:rsidR="004F73D3">
        <w:rPr>
          <w:rStyle w:val="normaltextrun"/>
          <w:rFonts w:cstheme="minorHAnsi"/>
          <w:color w:val="000000"/>
          <w:shd w:val="clear" w:color="auto" w:fill="FFFFFF"/>
        </w:rPr>
        <w:t xml:space="preserve">uten at dette nødvendigvis innebærer </w:t>
      </w:r>
      <w:r w:rsidR="004F73D3" w:rsidRPr="00CB6CD0">
        <w:rPr>
          <w:rStyle w:val="normaltextrun"/>
          <w:rFonts w:cstheme="minorHAnsi"/>
          <w:color w:val="000000"/>
          <w:shd w:val="clear" w:color="auto" w:fill="FFFFFF"/>
        </w:rPr>
        <w:t>tapt produktivitet</w:t>
      </w:r>
      <w:r w:rsidR="004F73D3">
        <w:rPr>
          <w:rStyle w:val="normaltextrun"/>
          <w:rFonts w:cstheme="minorHAnsi"/>
          <w:color w:val="000000"/>
          <w:shd w:val="clear" w:color="auto" w:fill="FFFFFF"/>
        </w:rPr>
        <w:t>.</w:t>
      </w:r>
    </w:p>
    <w:p w14:paraId="2ED5D7FF" w14:textId="2C587006" w:rsidR="008D7846" w:rsidRDefault="008D7846" w:rsidP="008D7846">
      <w:r>
        <w:t xml:space="preserve">I 2022 fortsatte </w:t>
      </w:r>
      <w:r w:rsidR="0096108D">
        <w:t>hovedtrenden fra siste ti år</w:t>
      </w:r>
      <w:r w:rsidR="00AE42FC">
        <w:t xml:space="preserve">, </w:t>
      </w:r>
      <w:r>
        <w:t>med en nedgang på om lag 23 studiepoeng per faglig årsverk</w:t>
      </w:r>
      <w:r w:rsidR="00AE42FC">
        <w:t>,</w:t>
      </w:r>
      <w:r w:rsidR="00AE42FC" w:rsidRPr="00AE42FC">
        <w:t xml:space="preserve"> </w:t>
      </w:r>
      <w:r w:rsidR="00AE42FC">
        <w:t xml:space="preserve">se </w:t>
      </w:r>
      <w:r w:rsidR="001A761D">
        <w:fldChar w:fldCharType="begin"/>
      </w:r>
      <w:r w:rsidR="001A761D">
        <w:instrText xml:space="preserve"> REF  _Ref133166075 \* Lower \h </w:instrText>
      </w:r>
      <w:r w:rsidR="001A761D">
        <w:fldChar w:fldCharType="separate"/>
      </w:r>
      <w:r w:rsidR="00F262EF">
        <w:t xml:space="preserve">figur </w:t>
      </w:r>
      <w:r w:rsidR="00F262EF">
        <w:rPr>
          <w:noProof/>
        </w:rPr>
        <w:t>2</w:t>
      </w:r>
      <w:r w:rsidR="00F262EF">
        <w:t>.</w:t>
      </w:r>
      <w:r w:rsidR="00F262EF">
        <w:rPr>
          <w:noProof/>
        </w:rPr>
        <w:t>4</w:t>
      </w:r>
      <w:r w:rsidR="001A761D">
        <w:fldChar w:fldCharType="end"/>
      </w:r>
      <w:r>
        <w:t xml:space="preserve">. Dette tallet er det laveste i tiårsperioden. </w:t>
      </w:r>
      <w:r w:rsidDel="00121B7C">
        <w:t xml:space="preserve">At </w:t>
      </w:r>
      <w:r>
        <w:t xml:space="preserve">trenden ble midlertidig brutt i 2020 og 2021, må ses i lys av pandemien. Den førte til at ressursene i større grad enn ellers måtte brukes til omorganisering av undervisningen og til å ta hånd om den økte studentmassen, uten at tallet på faglige årsverk steg tilsvarende. I 2022 ble antall studenter redusert etter pandemien, og for første gang i tiårsperioden gikk det totale antallet studiepoeng ved norske institusjoner ned. Ved siden av dette økte tallet på faglige årsverk noe fra 2021, se </w:t>
      </w:r>
      <w:hyperlink r:id="rId28" w:history="1">
        <w:r w:rsidRPr="00425471">
          <w:rPr>
            <w:rStyle w:val="Hyperkobling"/>
          </w:rPr>
          <w:t>V4.17</w:t>
        </w:r>
      </w:hyperlink>
      <w:r>
        <w:t xml:space="preserve"> for utvikling i faglige årsverk per institusjon og totalt. Disse faktorene bidro til nedgangen i studiepoeng per faglig årsverk i 2022.</w:t>
      </w:r>
    </w:p>
    <w:p w14:paraId="2CD7C3C0" w14:textId="372756BF" w:rsidR="006A7D8F" w:rsidRDefault="006A7D8F" w:rsidP="006A7D8F">
      <w:pPr>
        <w:pStyle w:val="Bildetekst"/>
      </w:pPr>
      <w:bookmarkStart w:id="44" w:name="_Ref133166075"/>
      <w:bookmarkStart w:id="45" w:name="_Toc134792765"/>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4</w:t>
      </w:r>
      <w:r>
        <w:fldChar w:fldCharType="end"/>
      </w:r>
      <w:bookmarkEnd w:id="44"/>
      <w:r>
        <w:t xml:space="preserve"> </w:t>
      </w:r>
      <w:r w:rsidRPr="00E91409">
        <w:t>Studiepoeng per faglig årsverk 2013–2022. Antall</w:t>
      </w:r>
      <w:bookmarkEnd w:id="45"/>
    </w:p>
    <w:p w14:paraId="629153F9" w14:textId="0C35A08E" w:rsidR="00405358" w:rsidRDefault="006A7D8F" w:rsidP="00BA1912">
      <w:pPr>
        <w:keepNext/>
      </w:pPr>
      <w:r>
        <w:rPr>
          <w:noProof/>
        </w:rPr>
        <w:drawing>
          <wp:inline distT="0" distB="0" distL="0" distR="0" wp14:anchorId="005D31FE" wp14:editId="57188F92">
            <wp:extent cx="5184140" cy="2428240"/>
            <wp:effectExtent l="0" t="0" r="16510" b="10160"/>
            <wp:docPr id="31" name="Diagram 31">
              <a:extLst xmlns:a="http://schemas.openxmlformats.org/drawingml/2006/main">
                <a:ext uri="{FF2B5EF4-FFF2-40B4-BE49-F238E27FC236}">
                  <a16:creationId xmlns:a16="http://schemas.microsoft.com/office/drawing/2014/main" id="{D94D741C-685C-4000-8B36-B822719F6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02288F" w14:textId="77777777" w:rsidR="006247ED" w:rsidRPr="006247ED" w:rsidRDefault="006247ED" w:rsidP="00156501">
      <w:pPr>
        <w:pStyle w:val="Merknad"/>
        <w:rPr>
          <w:rFonts w:ascii="Arial" w:eastAsia="Times New Roman" w:hAnsi="Arial" w:cs="Arial"/>
          <w:color w:val="000000"/>
          <w:szCs w:val="16"/>
          <w:lang w:eastAsia="nb-NO"/>
        </w:rPr>
      </w:pPr>
      <w:r w:rsidRPr="006247ED">
        <w:rPr>
          <w:lang w:eastAsia="nb-NO"/>
        </w:rPr>
        <w:t>De faglige årsverkene inkluderer forskere og stipendiater.</w:t>
      </w:r>
    </w:p>
    <w:p w14:paraId="70FF6065" w14:textId="778D27D6" w:rsidR="006247ED" w:rsidRPr="009E5168" w:rsidRDefault="006247ED" w:rsidP="00156501">
      <w:pPr>
        <w:pStyle w:val="Kilde"/>
      </w:pPr>
      <w:r w:rsidRPr="009E5168">
        <w:t xml:space="preserve">Kilde: </w:t>
      </w:r>
      <w:proofErr w:type="spellStart"/>
      <w:r w:rsidRPr="009E5168">
        <w:t>DBH</w:t>
      </w:r>
      <w:proofErr w:type="spellEnd"/>
    </w:p>
    <w:p w14:paraId="5422CAC9" w14:textId="77777777" w:rsidR="00932150" w:rsidRPr="00932150" w:rsidRDefault="00932150" w:rsidP="00932150">
      <w:pPr>
        <w:spacing w:after="0" w:line="240" w:lineRule="auto"/>
        <w:rPr>
          <w:rStyle w:val="normaltextrun"/>
          <w:rFonts w:ascii="Arial" w:eastAsia="Times New Roman" w:hAnsi="Arial" w:cs="Arial"/>
          <w:b/>
          <w:bCs/>
          <w:color w:val="000000"/>
          <w:sz w:val="16"/>
          <w:szCs w:val="16"/>
          <w:lang w:eastAsia="nb-NO"/>
        </w:rPr>
      </w:pPr>
    </w:p>
    <w:p w14:paraId="6F8D744C" w14:textId="21E38D13" w:rsidR="00321191" w:rsidRDefault="00006712" w:rsidP="00006712">
      <w:r w:rsidRPr="00CB216A">
        <w:t xml:space="preserve">Institusjonsvise resultater for studiepoengproduksjon per faglige årsverk vises i </w:t>
      </w:r>
      <w:proofErr w:type="spellStart"/>
      <w:r w:rsidRPr="00CB216A">
        <w:t>vedleggstabell</w:t>
      </w:r>
      <w:proofErr w:type="spellEnd"/>
      <w:r>
        <w:t xml:space="preserve"> </w:t>
      </w:r>
      <w:hyperlink r:id="rId30" w:history="1">
        <w:r w:rsidRPr="002E34CC">
          <w:rPr>
            <w:rStyle w:val="Hyperkobling"/>
          </w:rPr>
          <w:t>V2.19</w:t>
        </w:r>
      </w:hyperlink>
      <w:r w:rsidRPr="00CB216A">
        <w:t xml:space="preserve">. Som det er pekt på tidligere år, er det store forskjeller mellom institusjonene, og spesielt mellom de statlige og de private. Mens de statlige institusjonene </w:t>
      </w:r>
      <w:r w:rsidR="006F39AF">
        <w:t xml:space="preserve">i gjennomsnitt </w:t>
      </w:r>
      <w:r w:rsidRPr="00CB216A">
        <w:t>produser</w:t>
      </w:r>
      <w:r w:rsidR="00990930">
        <w:t xml:space="preserve">te i overkant av 400 </w:t>
      </w:r>
      <w:r w:rsidRPr="00CB216A">
        <w:t xml:space="preserve">studiepoeng per faglige årsverk i 2022, </w:t>
      </w:r>
      <w:r w:rsidR="00D35852">
        <w:t>var</w:t>
      </w:r>
      <w:r w:rsidRPr="00CB216A">
        <w:t xml:space="preserve"> tilsvarende tall nesten tre ganger høyere blant de private institusjonene.</w:t>
      </w:r>
    </w:p>
    <w:p w14:paraId="163D83F4" w14:textId="0DB06148" w:rsidR="005D566B" w:rsidRDefault="00754106" w:rsidP="00006712">
      <w:pPr>
        <w:rPr>
          <w:rStyle w:val="normaltextrun"/>
          <w:rFonts w:cstheme="minorHAnsi"/>
          <w:color w:val="000000"/>
          <w:shd w:val="clear" w:color="auto" w:fill="FFFFFF"/>
        </w:rPr>
      </w:pPr>
      <w:r w:rsidRPr="00CB6CD0">
        <w:rPr>
          <w:rStyle w:val="normaltextrun"/>
          <w:rFonts w:cstheme="minorHAnsi"/>
          <w:color w:val="000000"/>
          <w:shd w:val="clear" w:color="auto" w:fill="FFFFFF"/>
        </w:rPr>
        <w:t>De siste årene har nye universitet</w:t>
      </w:r>
      <w:r w:rsidR="00B83272">
        <w:rPr>
          <w:rStyle w:val="normaltextrun"/>
          <w:rFonts w:cstheme="minorHAnsi"/>
          <w:color w:val="000000"/>
          <w:shd w:val="clear" w:color="auto" w:fill="FFFFFF"/>
        </w:rPr>
        <w:t>er</w:t>
      </w:r>
      <w:r w:rsidRPr="00CB6CD0">
        <w:rPr>
          <w:rStyle w:val="normaltextrun"/>
          <w:rFonts w:cstheme="minorHAnsi"/>
          <w:color w:val="000000"/>
          <w:shd w:val="clear" w:color="auto" w:fill="FFFFFF"/>
        </w:rPr>
        <w:t xml:space="preserve"> og høyskoler med universitetsambisjoner styrket seg innenfor forskning. Antallet faglig ansatte med førstekompetanse har økt, og ansatte ved slike institusjoner bruker samlet sett noe mer tid på forskning og publisering nå enn tidligere. </w:t>
      </w:r>
      <w:r w:rsidR="00797E47">
        <w:rPr>
          <w:rStyle w:val="normaltextrun"/>
          <w:rFonts w:cstheme="minorHAnsi"/>
          <w:color w:val="000000"/>
          <w:shd w:val="clear" w:color="auto" w:fill="FFFFFF"/>
        </w:rPr>
        <w:t>D</w:t>
      </w:r>
      <w:r w:rsidR="007B72EA">
        <w:rPr>
          <w:rStyle w:val="normaltextrun"/>
          <w:rFonts w:ascii="Arial" w:hAnsi="Arial" w:cs="Arial"/>
          <w:color w:val="000000"/>
          <w:shd w:val="clear" w:color="auto" w:fill="FFFFFF"/>
        </w:rPr>
        <w:t>e største endringene ser vi ved statlige institusjoner som enten har ambisjoner</w:t>
      </w:r>
      <w:r w:rsidR="00303341">
        <w:rPr>
          <w:rStyle w:val="normaltextrun"/>
          <w:rFonts w:ascii="Arial" w:hAnsi="Arial" w:cs="Arial"/>
          <w:color w:val="000000"/>
          <w:shd w:val="clear" w:color="auto" w:fill="FFFFFF"/>
        </w:rPr>
        <w:t xml:space="preserve"> om </w:t>
      </w:r>
      <w:r w:rsidR="007B72EA">
        <w:rPr>
          <w:rStyle w:val="normaltextrun"/>
          <w:rFonts w:ascii="Arial" w:hAnsi="Arial" w:cs="Arial"/>
          <w:color w:val="000000"/>
          <w:shd w:val="clear" w:color="auto" w:fill="FFFFFF"/>
        </w:rPr>
        <w:t>universitets</w:t>
      </w:r>
      <w:r w:rsidR="007A3B85">
        <w:rPr>
          <w:rStyle w:val="normaltextrun"/>
          <w:rFonts w:ascii="Arial" w:hAnsi="Arial" w:cs="Arial"/>
          <w:color w:val="000000"/>
          <w:shd w:val="clear" w:color="auto" w:fill="FFFFFF"/>
        </w:rPr>
        <w:softHyphen/>
      </w:r>
      <w:r w:rsidR="007B72EA">
        <w:rPr>
          <w:rStyle w:val="normaltextrun"/>
          <w:rFonts w:ascii="Arial" w:hAnsi="Arial" w:cs="Arial"/>
          <w:color w:val="000000"/>
          <w:shd w:val="clear" w:color="auto" w:fill="FFFFFF"/>
        </w:rPr>
        <w:t>status (</w:t>
      </w:r>
      <w:proofErr w:type="spellStart"/>
      <w:r w:rsidR="007B72EA">
        <w:rPr>
          <w:rStyle w:val="normaltextrun"/>
          <w:rFonts w:ascii="Arial" w:hAnsi="Arial" w:cs="Arial"/>
          <w:color w:val="000000"/>
          <w:shd w:val="clear" w:color="auto" w:fill="FFFFFF"/>
        </w:rPr>
        <w:t>HVL</w:t>
      </w:r>
      <w:proofErr w:type="spellEnd"/>
      <w:r w:rsidR="007B72EA">
        <w:rPr>
          <w:rStyle w:val="normaltextrun"/>
          <w:rFonts w:ascii="Arial" w:hAnsi="Arial" w:cs="Arial"/>
          <w:color w:val="000000"/>
          <w:shd w:val="clear" w:color="auto" w:fill="FFFFFF"/>
        </w:rPr>
        <w:t xml:space="preserve"> og </w:t>
      </w:r>
      <w:proofErr w:type="spellStart"/>
      <w:r w:rsidR="007B72EA">
        <w:rPr>
          <w:rStyle w:val="normaltextrun"/>
          <w:rFonts w:ascii="Arial" w:hAnsi="Arial" w:cs="Arial"/>
          <w:color w:val="000000"/>
          <w:shd w:val="clear" w:color="auto" w:fill="FFFFFF"/>
        </w:rPr>
        <w:t>HINN</w:t>
      </w:r>
      <w:proofErr w:type="spellEnd"/>
      <w:r w:rsidR="007B72EA">
        <w:rPr>
          <w:rStyle w:val="normaltextrun"/>
          <w:rFonts w:ascii="Arial" w:hAnsi="Arial" w:cs="Arial"/>
          <w:color w:val="000000"/>
          <w:shd w:val="clear" w:color="auto" w:fill="FFFFFF"/>
        </w:rPr>
        <w:t>) eller som har oppnådd dette de de siste ti årene (</w:t>
      </w:r>
      <w:proofErr w:type="spellStart"/>
      <w:r w:rsidR="007B72EA">
        <w:rPr>
          <w:rStyle w:val="normaltextrun"/>
          <w:rFonts w:ascii="Arial" w:hAnsi="Arial" w:cs="Arial"/>
          <w:color w:val="000000"/>
          <w:shd w:val="clear" w:color="auto" w:fill="FFFFFF"/>
        </w:rPr>
        <w:t>OsloMet</w:t>
      </w:r>
      <w:proofErr w:type="spellEnd"/>
      <w:r w:rsidR="007B72EA">
        <w:rPr>
          <w:rStyle w:val="normaltextrun"/>
          <w:rFonts w:ascii="Arial" w:hAnsi="Arial" w:cs="Arial"/>
          <w:color w:val="000000"/>
          <w:shd w:val="clear" w:color="auto" w:fill="FFFFFF"/>
        </w:rPr>
        <w:t xml:space="preserve">, NU og </w:t>
      </w:r>
      <w:proofErr w:type="spellStart"/>
      <w:r w:rsidR="007B72EA">
        <w:rPr>
          <w:rStyle w:val="normaltextrun"/>
          <w:rFonts w:ascii="Arial" w:hAnsi="Arial" w:cs="Arial"/>
          <w:color w:val="000000"/>
          <w:shd w:val="clear" w:color="auto" w:fill="FFFFFF"/>
        </w:rPr>
        <w:t>USN</w:t>
      </w:r>
      <w:proofErr w:type="spellEnd"/>
      <w:r w:rsidR="007B72EA">
        <w:rPr>
          <w:rStyle w:val="normaltextrun"/>
          <w:rFonts w:ascii="Arial" w:hAnsi="Arial" w:cs="Arial"/>
          <w:color w:val="000000"/>
          <w:shd w:val="clear" w:color="auto" w:fill="FFFFFF"/>
        </w:rPr>
        <w:t>). For disse institusjonene har</w:t>
      </w:r>
      <w:r w:rsidR="00006712">
        <w:rPr>
          <w:rStyle w:val="normaltextrun"/>
          <w:rFonts w:ascii="Arial" w:hAnsi="Arial" w:cs="Arial"/>
          <w:color w:val="000000"/>
          <w:shd w:val="clear" w:color="auto" w:fill="FFFFFF"/>
        </w:rPr>
        <w:t xml:space="preserve"> studiepoeng</w:t>
      </w:r>
      <w:r w:rsidR="00006712" w:rsidRPr="007F2D53">
        <w:rPr>
          <w:rStyle w:val="normaltextrun"/>
          <w:rFonts w:ascii="Arial" w:hAnsi="Arial" w:cs="Arial"/>
          <w:color w:val="000000"/>
          <w:shd w:val="clear" w:color="auto" w:fill="FFFFFF"/>
        </w:rPr>
        <w:t xml:space="preserve"> per faglige årsverk</w:t>
      </w:r>
      <w:r w:rsidR="007B72EA">
        <w:rPr>
          <w:rStyle w:val="normaltextrun"/>
          <w:rFonts w:ascii="Arial" w:hAnsi="Arial" w:cs="Arial"/>
          <w:color w:val="000000"/>
          <w:shd w:val="clear" w:color="auto" w:fill="FFFFFF"/>
        </w:rPr>
        <w:t xml:space="preserve"> </w:t>
      </w:r>
      <w:r w:rsidR="002A5E29">
        <w:rPr>
          <w:rStyle w:val="normaltextrun"/>
          <w:rFonts w:ascii="Arial" w:hAnsi="Arial" w:cs="Arial"/>
          <w:color w:val="000000"/>
          <w:shd w:val="clear" w:color="auto" w:fill="FFFFFF"/>
        </w:rPr>
        <w:t>samlet sett</w:t>
      </w:r>
      <w:r w:rsidR="007B72EA">
        <w:rPr>
          <w:rStyle w:val="normaltextrun"/>
          <w:rFonts w:ascii="Arial" w:hAnsi="Arial" w:cs="Arial"/>
          <w:color w:val="000000"/>
          <w:shd w:val="clear" w:color="auto" w:fill="FFFFFF"/>
        </w:rPr>
        <w:t xml:space="preserve"> blitt redusert med 150 på ti år.</w:t>
      </w:r>
      <w:r w:rsidR="006440DA">
        <w:rPr>
          <w:rStyle w:val="normaltextrun"/>
          <w:rFonts w:ascii="Arial" w:hAnsi="Arial" w:cs="Arial"/>
          <w:color w:val="000000"/>
          <w:shd w:val="clear" w:color="auto" w:fill="FFFFFF"/>
        </w:rPr>
        <w:t xml:space="preserve"> Til sammenligning har de øvrige statlige institusjonene hatt en nedgang på 36 studiepoeng per faglige årsverk i samme periode.</w:t>
      </w:r>
    </w:p>
    <w:p w14:paraId="3A573DD3" w14:textId="50FBD98B" w:rsidR="00006712" w:rsidRDefault="00754106" w:rsidP="00006712">
      <w:pPr>
        <w:rPr>
          <w:rStyle w:val="normaltextrun"/>
          <w:rFonts w:ascii="Arial" w:hAnsi="Arial" w:cs="Arial"/>
          <w:color w:val="000000"/>
          <w:shd w:val="clear" w:color="auto" w:fill="FFFFFF"/>
        </w:rPr>
      </w:pPr>
      <w:r w:rsidRPr="00CB6CD0">
        <w:rPr>
          <w:rStyle w:val="normaltextrun"/>
          <w:rFonts w:cstheme="minorHAnsi"/>
          <w:color w:val="000000"/>
          <w:shd w:val="clear" w:color="auto" w:fill="FFFFFF"/>
        </w:rPr>
        <w:lastRenderedPageBreak/>
        <w:t>Det</w:t>
      </w:r>
      <w:r w:rsidR="00B81E1E">
        <w:rPr>
          <w:rStyle w:val="normaltextrun"/>
          <w:rFonts w:cstheme="minorHAnsi"/>
          <w:color w:val="000000"/>
          <w:shd w:val="clear" w:color="auto" w:fill="FFFFFF"/>
        </w:rPr>
        <w:t xml:space="preserve"> er likevel fortsatt betydelige forskjeller også mellom statlige institusjoner innbyrdes.</w:t>
      </w:r>
      <w:r w:rsidR="002F4346">
        <w:rPr>
          <w:rStyle w:val="normaltextrun"/>
          <w:rFonts w:cstheme="minorHAnsi"/>
          <w:color w:val="000000"/>
          <w:shd w:val="clear" w:color="auto" w:fill="FFFFFF"/>
        </w:rPr>
        <w:t xml:space="preserve"> </w:t>
      </w:r>
      <w:r w:rsidR="00BF557D">
        <w:rPr>
          <w:rStyle w:val="normaltextrun"/>
          <w:rFonts w:ascii="Arial" w:hAnsi="Arial" w:cs="Arial"/>
          <w:color w:val="000000"/>
          <w:shd w:val="clear" w:color="auto" w:fill="FFFFFF"/>
        </w:rPr>
        <w:t xml:space="preserve">Høy forskningsaktivitet og mange mindre studieprogram kjennetegner de mest disiplinorienterte </w:t>
      </w:r>
      <w:r w:rsidR="0096237F">
        <w:rPr>
          <w:rStyle w:val="normaltextrun"/>
          <w:rFonts w:ascii="Arial" w:hAnsi="Arial" w:cs="Arial"/>
          <w:color w:val="000000"/>
          <w:shd w:val="clear" w:color="auto" w:fill="FFFFFF"/>
        </w:rPr>
        <w:t xml:space="preserve">institusjonene og forklarer hvorfor </w:t>
      </w:r>
      <w:r w:rsidR="00B70899">
        <w:rPr>
          <w:rStyle w:val="normaltextrun"/>
          <w:rFonts w:ascii="Arial" w:hAnsi="Arial" w:cs="Arial"/>
          <w:color w:val="000000"/>
          <w:shd w:val="clear" w:color="auto" w:fill="FFFFFF"/>
        </w:rPr>
        <w:t>UiO, Ui</w:t>
      </w:r>
      <w:r w:rsidR="00644108">
        <w:rPr>
          <w:rStyle w:val="normaltextrun"/>
          <w:rFonts w:ascii="Arial" w:hAnsi="Arial" w:cs="Arial"/>
          <w:color w:val="000000"/>
          <w:shd w:val="clear" w:color="auto" w:fill="FFFFFF"/>
        </w:rPr>
        <w:t>B, NTNU</w:t>
      </w:r>
      <w:r w:rsidR="00E02718">
        <w:rPr>
          <w:rStyle w:val="normaltextrun"/>
          <w:rFonts w:ascii="Arial" w:hAnsi="Arial" w:cs="Arial"/>
          <w:color w:val="000000"/>
          <w:shd w:val="clear" w:color="auto" w:fill="FFFFFF"/>
        </w:rPr>
        <w:t xml:space="preserve">, </w:t>
      </w:r>
      <w:proofErr w:type="spellStart"/>
      <w:r w:rsidR="00E02718">
        <w:rPr>
          <w:rStyle w:val="normaltextrun"/>
          <w:rFonts w:ascii="Arial" w:hAnsi="Arial" w:cs="Arial"/>
          <w:color w:val="000000"/>
          <w:shd w:val="clear" w:color="auto" w:fill="FFFFFF"/>
        </w:rPr>
        <w:t>NMBU</w:t>
      </w:r>
      <w:proofErr w:type="spellEnd"/>
      <w:r w:rsidR="00644108">
        <w:rPr>
          <w:rStyle w:val="normaltextrun"/>
          <w:rFonts w:ascii="Arial" w:hAnsi="Arial" w:cs="Arial"/>
          <w:color w:val="000000"/>
          <w:shd w:val="clear" w:color="auto" w:fill="FFFFFF"/>
        </w:rPr>
        <w:t xml:space="preserve"> og UiT</w:t>
      </w:r>
      <w:r w:rsidR="00642492">
        <w:rPr>
          <w:rStyle w:val="normaltextrun"/>
          <w:rFonts w:ascii="Arial" w:hAnsi="Arial" w:cs="Arial"/>
          <w:color w:val="000000"/>
          <w:shd w:val="clear" w:color="auto" w:fill="FFFFFF"/>
        </w:rPr>
        <w:t>,</w:t>
      </w:r>
      <w:r w:rsidR="007140D8">
        <w:rPr>
          <w:rStyle w:val="normaltextrun"/>
          <w:rFonts w:ascii="Arial" w:hAnsi="Arial" w:cs="Arial"/>
          <w:color w:val="000000"/>
          <w:shd w:val="clear" w:color="auto" w:fill="FFFFFF"/>
        </w:rPr>
        <w:t xml:space="preserve"> </w:t>
      </w:r>
      <w:r w:rsidR="00E02718">
        <w:rPr>
          <w:rStyle w:val="normaltextrun"/>
          <w:rFonts w:ascii="Arial" w:hAnsi="Arial" w:cs="Arial"/>
          <w:color w:val="000000"/>
          <w:shd w:val="clear" w:color="auto" w:fill="FFFFFF"/>
        </w:rPr>
        <w:t xml:space="preserve">har relativt få </w:t>
      </w:r>
      <w:r w:rsidR="001C268E">
        <w:rPr>
          <w:rStyle w:val="normaltextrun"/>
          <w:rFonts w:ascii="Arial" w:hAnsi="Arial" w:cs="Arial"/>
          <w:color w:val="000000"/>
          <w:shd w:val="clear" w:color="auto" w:fill="FFFFFF"/>
        </w:rPr>
        <w:t xml:space="preserve">studiepoeng per faglige årsverk. </w:t>
      </w:r>
      <w:r w:rsidR="003438B9">
        <w:rPr>
          <w:rStyle w:val="normaltextrun"/>
          <w:rFonts w:ascii="Arial" w:hAnsi="Arial" w:cs="Arial"/>
          <w:color w:val="000000"/>
          <w:shd w:val="clear" w:color="auto" w:fill="FFFFFF"/>
        </w:rPr>
        <w:t xml:space="preserve">Omvendt gir en annen balanse mellom utdanning og forskning og store undervisningsgrupper </w:t>
      </w:r>
      <w:r w:rsidR="009D0426">
        <w:rPr>
          <w:rStyle w:val="normaltextrun"/>
          <w:rFonts w:ascii="Arial" w:hAnsi="Arial" w:cs="Arial"/>
          <w:color w:val="000000"/>
          <w:shd w:val="clear" w:color="auto" w:fill="FFFFFF"/>
        </w:rPr>
        <w:t>i profesjonsutdanningene</w:t>
      </w:r>
      <w:r w:rsidR="00015203">
        <w:rPr>
          <w:rStyle w:val="normaltextrun"/>
          <w:rFonts w:ascii="Arial" w:hAnsi="Arial" w:cs="Arial"/>
          <w:color w:val="000000"/>
          <w:shd w:val="clear" w:color="auto" w:fill="FFFFFF"/>
        </w:rPr>
        <w:t xml:space="preserve"> flere studiepoeng per faglig ansatt ved </w:t>
      </w:r>
      <w:r w:rsidR="00A969D5">
        <w:rPr>
          <w:rStyle w:val="normaltextrun"/>
          <w:rFonts w:ascii="Arial" w:hAnsi="Arial" w:cs="Arial"/>
          <w:color w:val="000000"/>
          <w:shd w:val="clear" w:color="auto" w:fill="FFFFFF"/>
        </w:rPr>
        <w:t>høyskoler og de nye universitetene.</w:t>
      </w:r>
    </w:p>
    <w:p w14:paraId="417676E2" w14:textId="0D62BF5E" w:rsidR="00CC3280" w:rsidRDefault="000323A2" w:rsidP="004D4B67">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Studie</w:t>
      </w:r>
      <w:r w:rsidR="00C713EF" w:rsidRPr="00EF5C0B">
        <w:rPr>
          <w:rStyle w:val="normaltextrun"/>
          <w:rFonts w:ascii="Arial" w:hAnsi="Arial" w:cs="Arial"/>
          <w:color w:val="000000"/>
          <w:shd w:val="clear" w:color="auto" w:fill="FFFFFF"/>
        </w:rPr>
        <w:t>poengproduksjonen per student</w:t>
      </w:r>
      <w:r w:rsidR="00C713EF">
        <w:rPr>
          <w:rStyle w:val="normaltextrun"/>
          <w:rFonts w:ascii="Arial" w:hAnsi="Arial" w:cs="Arial"/>
          <w:color w:val="000000"/>
          <w:shd w:val="clear" w:color="auto" w:fill="FFFFFF"/>
        </w:rPr>
        <w:t xml:space="preserve"> </w:t>
      </w:r>
      <w:r w:rsidR="00A02765">
        <w:rPr>
          <w:rStyle w:val="normaltextrun"/>
          <w:rFonts w:ascii="Arial" w:hAnsi="Arial" w:cs="Arial"/>
          <w:color w:val="000000"/>
          <w:shd w:val="clear" w:color="auto" w:fill="FFFFFF"/>
        </w:rPr>
        <w:t>var</w:t>
      </w:r>
      <w:r w:rsidR="006C5264">
        <w:rPr>
          <w:rStyle w:val="normaltextrun"/>
          <w:rFonts w:ascii="Arial" w:hAnsi="Arial" w:cs="Arial"/>
          <w:color w:val="000000"/>
          <w:shd w:val="clear" w:color="auto" w:fill="FFFFFF"/>
        </w:rPr>
        <w:t xml:space="preserve"> </w:t>
      </w:r>
      <w:r w:rsidR="001A1993">
        <w:rPr>
          <w:rStyle w:val="normaltextrun"/>
          <w:rFonts w:ascii="Arial" w:hAnsi="Arial" w:cs="Arial"/>
          <w:color w:val="000000"/>
          <w:shd w:val="clear" w:color="auto" w:fill="FFFFFF"/>
        </w:rPr>
        <w:t xml:space="preserve">i pandemiårene 2020 og 2021 </w:t>
      </w:r>
      <w:r w:rsidR="006C5264">
        <w:rPr>
          <w:rStyle w:val="normaltextrun"/>
          <w:rFonts w:ascii="Arial" w:hAnsi="Arial" w:cs="Arial"/>
          <w:color w:val="000000"/>
          <w:shd w:val="clear" w:color="auto" w:fill="FFFFFF"/>
        </w:rPr>
        <w:t>høy</w:t>
      </w:r>
      <w:r w:rsidR="00485B25">
        <w:rPr>
          <w:rStyle w:val="normaltextrun"/>
          <w:rFonts w:ascii="Arial" w:hAnsi="Arial" w:cs="Arial"/>
          <w:color w:val="000000"/>
          <w:shd w:val="clear" w:color="auto" w:fill="FFFFFF"/>
        </w:rPr>
        <w:t xml:space="preserve">ere enn </w:t>
      </w:r>
      <w:r w:rsidR="008B39FD">
        <w:rPr>
          <w:rStyle w:val="normaltextrun"/>
          <w:rFonts w:ascii="Arial" w:hAnsi="Arial" w:cs="Arial"/>
          <w:color w:val="000000"/>
          <w:shd w:val="clear" w:color="auto" w:fill="FFFFFF"/>
        </w:rPr>
        <w:t>ellers</w:t>
      </w:r>
      <w:r w:rsidR="00C06A5E">
        <w:rPr>
          <w:rStyle w:val="normaltextrun"/>
          <w:rFonts w:ascii="Arial" w:hAnsi="Arial" w:cs="Arial"/>
          <w:color w:val="000000"/>
          <w:shd w:val="clear" w:color="auto" w:fill="FFFFFF"/>
        </w:rPr>
        <w:t xml:space="preserve">. I 2022 </w:t>
      </w:r>
      <w:r w:rsidR="0098352B">
        <w:rPr>
          <w:rStyle w:val="normaltextrun"/>
          <w:rFonts w:ascii="Arial" w:hAnsi="Arial" w:cs="Arial"/>
          <w:color w:val="000000"/>
          <w:shd w:val="clear" w:color="auto" w:fill="FFFFFF"/>
        </w:rPr>
        <w:t>g</w:t>
      </w:r>
      <w:r w:rsidR="00A02765">
        <w:rPr>
          <w:rStyle w:val="normaltextrun"/>
          <w:rFonts w:ascii="Arial" w:hAnsi="Arial" w:cs="Arial"/>
          <w:color w:val="000000"/>
          <w:shd w:val="clear" w:color="auto" w:fill="FFFFFF"/>
        </w:rPr>
        <w:t>ikk</w:t>
      </w:r>
      <w:r w:rsidR="0098352B">
        <w:rPr>
          <w:rStyle w:val="normaltextrun"/>
          <w:rFonts w:ascii="Arial" w:hAnsi="Arial" w:cs="Arial"/>
          <w:color w:val="000000"/>
          <w:shd w:val="clear" w:color="auto" w:fill="FFFFFF"/>
        </w:rPr>
        <w:t xml:space="preserve"> </w:t>
      </w:r>
      <w:r w:rsidR="006D2CCD">
        <w:rPr>
          <w:rStyle w:val="normaltextrun"/>
          <w:rFonts w:ascii="Arial" w:hAnsi="Arial" w:cs="Arial"/>
          <w:color w:val="000000"/>
          <w:shd w:val="clear" w:color="auto" w:fill="FFFFFF"/>
        </w:rPr>
        <w:t xml:space="preserve">tallet </w:t>
      </w:r>
      <w:r w:rsidR="0098352B">
        <w:rPr>
          <w:rStyle w:val="normaltextrun"/>
          <w:rFonts w:ascii="Arial" w:hAnsi="Arial" w:cs="Arial"/>
          <w:color w:val="000000"/>
          <w:shd w:val="clear" w:color="auto" w:fill="FFFFFF"/>
        </w:rPr>
        <w:t xml:space="preserve">marginalt ned fra </w:t>
      </w:r>
      <w:r w:rsidR="008B39FD">
        <w:rPr>
          <w:rStyle w:val="normaltextrun"/>
          <w:rFonts w:ascii="Arial" w:hAnsi="Arial" w:cs="Arial"/>
          <w:color w:val="000000"/>
          <w:shd w:val="clear" w:color="auto" w:fill="FFFFFF"/>
        </w:rPr>
        <w:t xml:space="preserve">året før til </w:t>
      </w:r>
      <w:r w:rsidR="000F132F" w:rsidRPr="000F132F">
        <w:rPr>
          <w:rStyle w:val="normaltextrun"/>
          <w:rFonts w:ascii="Arial" w:hAnsi="Arial" w:cs="Arial"/>
          <w:color w:val="000000"/>
          <w:shd w:val="clear" w:color="auto" w:fill="FFFFFF"/>
        </w:rPr>
        <w:t>46,7 studiepoeng</w:t>
      </w:r>
      <w:r w:rsidR="008B39FD">
        <w:rPr>
          <w:rStyle w:val="normaltextrun"/>
          <w:rFonts w:ascii="Arial" w:hAnsi="Arial" w:cs="Arial"/>
          <w:color w:val="000000"/>
          <w:shd w:val="clear" w:color="auto" w:fill="FFFFFF"/>
        </w:rPr>
        <w:t xml:space="preserve"> per heltidsekvivalent</w:t>
      </w:r>
      <w:r w:rsidR="00310591">
        <w:rPr>
          <w:rStyle w:val="normaltextrun"/>
          <w:rFonts w:ascii="Arial" w:hAnsi="Arial" w:cs="Arial"/>
          <w:color w:val="000000"/>
          <w:shd w:val="clear" w:color="auto" w:fill="FFFFFF"/>
        </w:rPr>
        <w:t xml:space="preserve">, </w:t>
      </w:r>
      <w:r w:rsidR="00310591" w:rsidRPr="00BE6784">
        <w:rPr>
          <w:rStyle w:val="normaltextrun"/>
          <w:rFonts w:ascii="Arial" w:hAnsi="Arial" w:cs="Arial"/>
          <w:color w:val="000000"/>
          <w:shd w:val="clear" w:color="auto" w:fill="FFFFFF"/>
        </w:rPr>
        <w:t>men</w:t>
      </w:r>
      <w:r w:rsidR="00310591">
        <w:rPr>
          <w:rStyle w:val="normaltextrun"/>
          <w:rFonts w:ascii="Arial" w:hAnsi="Arial" w:cs="Arial"/>
          <w:color w:val="000000"/>
          <w:shd w:val="clear" w:color="auto" w:fill="FFFFFF"/>
        </w:rPr>
        <w:t xml:space="preserve"> tallet ligg</w:t>
      </w:r>
      <w:r w:rsidR="00310591" w:rsidRPr="00BE6784">
        <w:rPr>
          <w:rStyle w:val="normaltextrun"/>
          <w:rFonts w:ascii="Arial" w:hAnsi="Arial" w:cs="Arial"/>
          <w:color w:val="000000"/>
          <w:shd w:val="clear" w:color="auto" w:fill="FFFFFF"/>
        </w:rPr>
        <w:t xml:space="preserve">er fremdeles </w:t>
      </w:r>
      <w:r w:rsidR="00310591">
        <w:rPr>
          <w:rStyle w:val="normaltextrun"/>
          <w:rFonts w:ascii="Arial" w:hAnsi="Arial" w:cs="Arial"/>
          <w:color w:val="000000"/>
          <w:shd w:val="clear" w:color="auto" w:fill="FFFFFF"/>
        </w:rPr>
        <w:t xml:space="preserve">godt </w:t>
      </w:r>
      <w:r w:rsidR="00310591" w:rsidRPr="00BE6784">
        <w:rPr>
          <w:rStyle w:val="normaltextrun"/>
          <w:rFonts w:ascii="Arial" w:hAnsi="Arial" w:cs="Arial"/>
          <w:color w:val="000000"/>
          <w:shd w:val="clear" w:color="auto" w:fill="FFFFFF"/>
        </w:rPr>
        <w:t>over nivået fra før pandemien</w:t>
      </w:r>
      <w:r w:rsidR="00310591">
        <w:rPr>
          <w:rStyle w:val="normaltextrun"/>
          <w:rFonts w:ascii="Arial" w:hAnsi="Arial" w:cs="Arial"/>
          <w:color w:val="000000"/>
          <w:shd w:val="clear" w:color="auto" w:fill="FFFFFF"/>
        </w:rPr>
        <w:t>.</w:t>
      </w:r>
      <w:r w:rsidR="00310591" w:rsidRPr="00BE6784">
        <w:rPr>
          <w:rStyle w:val="normaltextrun"/>
          <w:rFonts w:ascii="Arial" w:hAnsi="Arial" w:cs="Arial"/>
          <w:color w:val="000000"/>
          <w:shd w:val="clear" w:color="auto" w:fill="FFFFFF"/>
        </w:rPr>
        <w:t xml:space="preserve"> </w:t>
      </w:r>
      <w:proofErr w:type="spellStart"/>
      <w:r w:rsidR="005E6BAD" w:rsidRPr="00BE6784">
        <w:rPr>
          <w:rStyle w:val="normaltextrun"/>
          <w:rFonts w:ascii="Arial" w:hAnsi="Arial" w:cs="Arial"/>
          <w:color w:val="000000"/>
          <w:shd w:val="clear" w:color="auto" w:fill="FFFFFF"/>
        </w:rPr>
        <w:t>Vedleggstabell</w:t>
      </w:r>
      <w:proofErr w:type="spellEnd"/>
      <w:r w:rsidR="005E6BAD" w:rsidRPr="00BE6784">
        <w:rPr>
          <w:rStyle w:val="normaltextrun"/>
          <w:rFonts w:ascii="Arial" w:hAnsi="Arial" w:cs="Arial"/>
          <w:color w:val="000000"/>
          <w:shd w:val="clear" w:color="auto" w:fill="FFFFFF"/>
        </w:rPr>
        <w:t xml:space="preserve"> </w:t>
      </w:r>
      <w:hyperlink r:id="rId31" w:history="1">
        <w:r w:rsidR="005E6BAD" w:rsidRPr="002E34CC">
          <w:rPr>
            <w:rStyle w:val="Hyperkobling"/>
            <w:rFonts w:ascii="Arial" w:hAnsi="Arial" w:cs="Arial"/>
            <w:shd w:val="clear" w:color="auto" w:fill="FFFFFF"/>
          </w:rPr>
          <w:t>V2.18</w:t>
        </w:r>
      </w:hyperlink>
      <w:r w:rsidR="005E6BAD" w:rsidRPr="00BE6784">
        <w:rPr>
          <w:rStyle w:val="normaltextrun"/>
          <w:rFonts w:ascii="Arial" w:hAnsi="Arial" w:cs="Arial"/>
          <w:color w:val="000000"/>
          <w:shd w:val="clear" w:color="auto" w:fill="FFFFFF"/>
        </w:rPr>
        <w:t xml:space="preserve"> viser totalt antall studiepoeng per institusjon og antall studiepoeng per registrerte student.</w:t>
      </w:r>
      <w:r w:rsidR="00C713EF" w:rsidRPr="00EF5C0B" w:rsidDel="005E6BAD">
        <w:rPr>
          <w:rStyle w:val="normaltextrun"/>
          <w:rFonts w:ascii="Arial" w:hAnsi="Arial" w:cs="Arial"/>
          <w:color w:val="000000"/>
          <w:shd w:val="clear" w:color="auto" w:fill="FFFFFF"/>
        </w:rPr>
        <w:t xml:space="preserve"> </w:t>
      </w:r>
      <w:r w:rsidR="00BE6784" w:rsidRPr="00BE6784">
        <w:rPr>
          <w:rStyle w:val="normaltextrun"/>
          <w:rFonts w:ascii="Arial" w:hAnsi="Arial" w:cs="Arial"/>
          <w:color w:val="000000"/>
          <w:shd w:val="clear" w:color="auto" w:fill="FFFFFF"/>
        </w:rPr>
        <w:t>De statlige institusjonene hadde en nedgang på 0,4 studiepoeng per student (heltidsekvivalenter)</w:t>
      </w:r>
      <w:r w:rsidR="00436FA6">
        <w:rPr>
          <w:rStyle w:val="normaltextrun"/>
          <w:rFonts w:ascii="Arial" w:hAnsi="Arial" w:cs="Arial"/>
          <w:color w:val="000000"/>
          <w:shd w:val="clear" w:color="auto" w:fill="FFFFFF"/>
        </w:rPr>
        <w:t xml:space="preserve">, </w:t>
      </w:r>
      <w:r w:rsidR="001E37FE">
        <w:rPr>
          <w:rStyle w:val="normaltextrun"/>
          <w:rFonts w:ascii="Arial" w:hAnsi="Arial" w:cs="Arial"/>
          <w:color w:val="000000"/>
          <w:shd w:val="clear" w:color="auto" w:fill="FFFFFF"/>
        </w:rPr>
        <w:t>s</w:t>
      </w:r>
      <w:r w:rsidR="00BE6784" w:rsidRPr="00BE6784">
        <w:rPr>
          <w:rStyle w:val="normaltextrun"/>
          <w:rFonts w:ascii="Arial" w:hAnsi="Arial" w:cs="Arial"/>
          <w:color w:val="000000"/>
          <w:shd w:val="clear" w:color="auto" w:fill="FFFFFF"/>
        </w:rPr>
        <w:t xml:space="preserve">amme </w:t>
      </w:r>
      <w:r w:rsidR="001E37FE">
        <w:rPr>
          <w:rStyle w:val="normaltextrun"/>
          <w:rFonts w:ascii="Arial" w:hAnsi="Arial" w:cs="Arial"/>
          <w:color w:val="000000"/>
          <w:shd w:val="clear" w:color="auto" w:fill="FFFFFF"/>
        </w:rPr>
        <w:t xml:space="preserve">nedgang </w:t>
      </w:r>
      <w:r w:rsidR="00BE6784" w:rsidRPr="00BE6784">
        <w:rPr>
          <w:rStyle w:val="normaltextrun"/>
          <w:rFonts w:ascii="Arial" w:hAnsi="Arial" w:cs="Arial"/>
          <w:color w:val="000000"/>
          <w:shd w:val="clear" w:color="auto" w:fill="FFFFFF"/>
        </w:rPr>
        <w:t>som året før. For de private institusjonene har studiepoengproduksjonen gått opp med 0,6 poeng</w:t>
      </w:r>
      <w:r w:rsidR="009F5F2F">
        <w:rPr>
          <w:rStyle w:val="normaltextrun"/>
          <w:rFonts w:ascii="Arial" w:hAnsi="Arial" w:cs="Arial"/>
          <w:color w:val="000000"/>
          <w:shd w:val="clear" w:color="auto" w:fill="FFFFFF"/>
        </w:rPr>
        <w:t xml:space="preserve"> </w:t>
      </w:r>
      <w:r w:rsidR="00B259CD">
        <w:rPr>
          <w:rStyle w:val="normaltextrun"/>
          <w:rFonts w:ascii="Arial" w:hAnsi="Arial" w:cs="Arial"/>
          <w:color w:val="000000"/>
          <w:shd w:val="clear" w:color="auto" w:fill="FFFFFF"/>
        </w:rPr>
        <w:t xml:space="preserve">per student </w:t>
      </w:r>
      <w:r w:rsidR="009F5F2F">
        <w:rPr>
          <w:rStyle w:val="normaltextrun"/>
          <w:rFonts w:ascii="Arial" w:hAnsi="Arial" w:cs="Arial"/>
          <w:color w:val="000000"/>
          <w:shd w:val="clear" w:color="auto" w:fill="FFFFFF"/>
        </w:rPr>
        <w:t>siste år</w:t>
      </w:r>
      <w:r w:rsidR="00BE6784" w:rsidRPr="00BE6784">
        <w:rPr>
          <w:rStyle w:val="normaltextrun"/>
          <w:rFonts w:ascii="Arial" w:hAnsi="Arial" w:cs="Arial"/>
          <w:color w:val="000000"/>
          <w:shd w:val="clear" w:color="auto" w:fill="FFFFFF"/>
        </w:rPr>
        <w:t>.</w:t>
      </w:r>
    </w:p>
    <w:p w14:paraId="040D3369" w14:textId="5B854229" w:rsidR="00E973CB" w:rsidRPr="00435AD7" w:rsidRDefault="000E6B9A" w:rsidP="004D4B67">
      <w:pPr>
        <w:rPr>
          <w:shd w:val="clear" w:color="auto" w:fill="FFFFFF"/>
        </w:rPr>
      </w:pPr>
      <w:r>
        <w:rPr>
          <w:rStyle w:val="normaltextrun"/>
          <w:rFonts w:ascii="Arial" w:hAnsi="Arial" w:cs="Arial"/>
          <w:color w:val="000000"/>
          <w:shd w:val="clear" w:color="auto" w:fill="FFFFFF"/>
        </w:rPr>
        <w:t xml:space="preserve">Strykprosent er en viktig faktor for </w:t>
      </w:r>
      <w:r w:rsidR="00B13CDE">
        <w:rPr>
          <w:rStyle w:val="normaltextrun"/>
          <w:rFonts w:ascii="Arial" w:hAnsi="Arial" w:cs="Arial"/>
          <w:color w:val="000000"/>
          <w:shd w:val="clear" w:color="auto" w:fill="FFFFFF"/>
        </w:rPr>
        <w:t xml:space="preserve">studiepoengproduksjonen. </w:t>
      </w:r>
      <w:r w:rsidR="0008035B" w:rsidRPr="00B13D7A">
        <w:t xml:space="preserve">Om lag </w:t>
      </w:r>
      <w:r w:rsidR="00C677FA" w:rsidRPr="00B13D7A">
        <w:t>7 prosent av studentene strøk i 2022</w:t>
      </w:r>
      <w:r w:rsidR="00C5548D" w:rsidRPr="00B13D7A">
        <w:t xml:space="preserve">, </w:t>
      </w:r>
      <w:r w:rsidR="00C5548D" w:rsidRPr="00B13D7A" w:rsidDel="0012375E">
        <w:t>s</w:t>
      </w:r>
      <w:r w:rsidR="006968DF" w:rsidRPr="00B13D7A" w:rsidDel="0012375E">
        <w:t>e</w:t>
      </w:r>
      <w:r w:rsidR="006968DF" w:rsidRPr="00B13D7A">
        <w:t xml:space="preserve"> </w:t>
      </w:r>
      <w:proofErr w:type="spellStart"/>
      <w:r w:rsidR="006968DF" w:rsidRPr="00B13D7A">
        <w:t>vedleggstabell</w:t>
      </w:r>
      <w:proofErr w:type="spellEnd"/>
      <w:r w:rsidR="006968DF" w:rsidRPr="00B13D7A">
        <w:t xml:space="preserve"> </w:t>
      </w:r>
      <w:hyperlink r:id="rId32" w:history="1">
        <w:r w:rsidR="006968DF" w:rsidRPr="002E34CC">
          <w:rPr>
            <w:rStyle w:val="Hyperkobling"/>
          </w:rPr>
          <w:t>V2.34</w:t>
        </w:r>
      </w:hyperlink>
      <w:r w:rsidR="006968DF" w:rsidRPr="00B13D7A">
        <w:t>.</w:t>
      </w:r>
      <w:r w:rsidR="00C5548D" w:rsidRPr="00B13D7A">
        <w:t xml:space="preserve"> </w:t>
      </w:r>
      <w:r w:rsidR="00AE77E7" w:rsidRPr="0008119A">
        <w:t>Dermed er</w:t>
      </w:r>
      <w:r w:rsidR="00AE77E7">
        <w:rPr>
          <w:rStyle w:val="normaltextrun"/>
          <w:rFonts w:ascii="Arial" w:hAnsi="Arial" w:cs="Arial"/>
          <w:color w:val="000000"/>
          <w:shd w:val="clear" w:color="auto" w:fill="FFFFFF"/>
        </w:rPr>
        <w:t xml:space="preserve"> </w:t>
      </w:r>
      <w:r w:rsidR="00067062">
        <w:rPr>
          <w:rStyle w:val="normaltextrun"/>
          <w:rFonts w:ascii="Arial" w:hAnsi="Arial" w:cs="Arial"/>
          <w:color w:val="000000"/>
          <w:shd w:val="clear" w:color="auto" w:fill="FFFFFF"/>
        </w:rPr>
        <w:t>strykprosenten</w:t>
      </w:r>
      <w:r w:rsidR="00AE77E7">
        <w:rPr>
          <w:rStyle w:val="normaltextrun"/>
          <w:rFonts w:ascii="Arial" w:hAnsi="Arial" w:cs="Arial"/>
          <w:color w:val="000000"/>
          <w:shd w:val="clear" w:color="auto" w:fill="FFFFFF"/>
        </w:rPr>
        <w:t xml:space="preserve"> tilbake til nivået før pandemien. </w:t>
      </w:r>
      <w:r w:rsidR="00C677FA">
        <w:rPr>
          <w:rStyle w:val="normaltextrun"/>
          <w:rFonts w:ascii="Arial" w:hAnsi="Arial" w:cs="Arial"/>
          <w:color w:val="000000"/>
          <w:shd w:val="clear" w:color="auto" w:fill="FFFFFF"/>
        </w:rPr>
        <w:t xml:space="preserve">Dette er en økning på </w:t>
      </w:r>
      <w:r w:rsidR="00525F00">
        <w:rPr>
          <w:rStyle w:val="normaltextrun"/>
          <w:rFonts w:ascii="Arial" w:hAnsi="Arial" w:cs="Arial"/>
          <w:color w:val="000000"/>
          <w:shd w:val="clear" w:color="auto" w:fill="FFFFFF"/>
        </w:rPr>
        <w:t xml:space="preserve">1,3 </w:t>
      </w:r>
      <w:r w:rsidR="00EC6286">
        <w:rPr>
          <w:rStyle w:val="normaltextrun"/>
          <w:rFonts w:ascii="Arial" w:hAnsi="Arial" w:cs="Arial"/>
          <w:color w:val="000000"/>
          <w:shd w:val="clear" w:color="auto" w:fill="FFFFFF"/>
        </w:rPr>
        <w:t>prosent</w:t>
      </w:r>
      <w:r w:rsidR="00525F00">
        <w:rPr>
          <w:rStyle w:val="normaltextrun"/>
          <w:rFonts w:ascii="Arial" w:hAnsi="Arial" w:cs="Arial"/>
          <w:color w:val="000000"/>
          <w:shd w:val="clear" w:color="auto" w:fill="FFFFFF"/>
        </w:rPr>
        <w:t>poeng</w:t>
      </w:r>
      <w:r w:rsidR="0034319D">
        <w:rPr>
          <w:rStyle w:val="normaltextrun"/>
          <w:rFonts w:ascii="Arial" w:hAnsi="Arial" w:cs="Arial"/>
          <w:color w:val="000000"/>
          <w:shd w:val="clear" w:color="auto" w:fill="FFFFFF"/>
        </w:rPr>
        <w:t xml:space="preserve"> fra de to foregående årene</w:t>
      </w:r>
      <w:r w:rsidR="00086DA1">
        <w:rPr>
          <w:rStyle w:val="normaltextrun"/>
          <w:rFonts w:ascii="Arial" w:hAnsi="Arial" w:cs="Arial"/>
          <w:color w:val="000000"/>
          <w:shd w:val="clear" w:color="auto" w:fill="FFFFFF"/>
        </w:rPr>
        <w:t xml:space="preserve">, </w:t>
      </w:r>
      <w:r w:rsidR="001514C0">
        <w:rPr>
          <w:rStyle w:val="normaltextrun"/>
          <w:rFonts w:ascii="Arial" w:hAnsi="Arial" w:cs="Arial"/>
          <w:color w:val="000000"/>
          <w:shd w:val="clear" w:color="auto" w:fill="FFFFFF"/>
        </w:rPr>
        <w:t xml:space="preserve">som hadde </w:t>
      </w:r>
      <w:r w:rsidR="001146CA">
        <w:rPr>
          <w:rStyle w:val="normaltextrun"/>
          <w:rFonts w:ascii="Arial" w:hAnsi="Arial" w:cs="Arial"/>
          <w:color w:val="000000"/>
          <w:shd w:val="clear" w:color="auto" w:fill="FFFFFF"/>
        </w:rPr>
        <w:t>uvanlig lav strykprosent</w:t>
      </w:r>
      <w:r w:rsidR="00FB59BE">
        <w:rPr>
          <w:rStyle w:val="normaltextrun"/>
          <w:rFonts w:ascii="Arial" w:hAnsi="Arial" w:cs="Arial"/>
          <w:color w:val="000000"/>
          <w:shd w:val="clear" w:color="auto" w:fill="FFFFFF"/>
        </w:rPr>
        <w:t>.</w:t>
      </w:r>
      <w:r w:rsidR="00A66D9F">
        <w:rPr>
          <w:rStyle w:val="normaltextrun"/>
          <w:rFonts w:ascii="Arial" w:hAnsi="Arial" w:cs="Arial"/>
          <w:color w:val="000000"/>
          <w:shd w:val="clear" w:color="auto" w:fill="FFFFFF"/>
        </w:rPr>
        <w:t xml:space="preserve"> Vi har tidligere påpekt at </w:t>
      </w:r>
      <w:r w:rsidR="001865AA">
        <w:rPr>
          <w:rStyle w:val="normaltextrun"/>
          <w:rFonts w:ascii="Arial" w:hAnsi="Arial" w:cs="Arial"/>
          <w:color w:val="000000"/>
          <w:shd w:val="clear" w:color="auto" w:fill="FFFFFF"/>
        </w:rPr>
        <w:t>e</w:t>
      </w:r>
      <w:r w:rsidR="007E0237">
        <w:rPr>
          <w:rStyle w:val="normaltextrun"/>
          <w:rFonts w:ascii="Arial" w:hAnsi="Arial" w:cs="Arial"/>
          <w:color w:val="000000"/>
          <w:shd w:val="clear" w:color="auto" w:fill="FFFFFF"/>
        </w:rPr>
        <w:t xml:space="preserve">ndrede vurderingsformer under pandemien kan ha </w:t>
      </w:r>
      <w:r w:rsidR="008E12C7">
        <w:rPr>
          <w:rStyle w:val="normaltextrun"/>
          <w:rFonts w:ascii="Arial" w:hAnsi="Arial" w:cs="Arial"/>
          <w:color w:val="000000"/>
          <w:shd w:val="clear" w:color="auto" w:fill="FFFFFF"/>
        </w:rPr>
        <w:t>vært en viktig årsak</w:t>
      </w:r>
      <w:r w:rsidR="007E0237">
        <w:rPr>
          <w:rStyle w:val="normaltextrun"/>
          <w:rFonts w:ascii="Arial" w:hAnsi="Arial" w:cs="Arial"/>
          <w:color w:val="000000"/>
          <w:shd w:val="clear" w:color="auto" w:fill="FFFFFF"/>
        </w:rPr>
        <w:t xml:space="preserve"> til </w:t>
      </w:r>
      <w:r w:rsidR="00FE3A20">
        <w:rPr>
          <w:rStyle w:val="normaltextrun"/>
          <w:rFonts w:ascii="Arial" w:hAnsi="Arial" w:cs="Arial"/>
          <w:color w:val="000000"/>
          <w:shd w:val="clear" w:color="auto" w:fill="FFFFFF"/>
        </w:rPr>
        <w:t>dette</w:t>
      </w:r>
      <w:r w:rsidR="007E0237">
        <w:rPr>
          <w:rStyle w:val="normaltextrun"/>
          <w:rFonts w:ascii="Arial" w:hAnsi="Arial" w:cs="Arial"/>
          <w:color w:val="000000"/>
          <w:shd w:val="clear" w:color="auto" w:fill="FFFFFF"/>
        </w:rPr>
        <w:t>.</w:t>
      </w:r>
      <w:r w:rsidR="005045B0">
        <w:rPr>
          <w:rStyle w:val="normaltextrun"/>
          <w:rFonts w:ascii="Arial" w:hAnsi="Arial" w:cs="Arial"/>
          <w:color w:val="000000"/>
          <w:shd w:val="clear" w:color="auto" w:fill="FFFFFF"/>
        </w:rPr>
        <w:t xml:space="preserve"> </w:t>
      </w:r>
      <w:r w:rsidR="00287C24">
        <w:t>D</w:t>
      </w:r>
      <w:r w:rsidR="00E73FAC">
        <w:t>e</w:t>
      </w:r>
      <w:r w:rsidR="004821CF">
        <w:t xml:space="preserve"> fleste institusjonene hadde </w:t>
      </w:r>
      <w:r w:rsidR="00E4239D">
        <w:t xml:space="preserve">derfor </w:t>
      </w:r>
      <w:r w:rsidR="004821CF">
        <w:t xml:space="preserve">en </w:t>
      </w:r>
      <w:r w:rsidR="00E73FAC">
        <w:t xml:space="preserve">økning i strykprosent fra 2021 til 2022. Unntakene er de institusjonene som ikke hadde noen særlig nedgang under pandemien. </w:t>
      </w:r>
      <w:r w:rsidR="0025297D">
        <w:rPr>
          <w:rStyle w:val="normaltextrun"/>
          <w:rFonts w:ascii="Arial" w:hAnsi="Arial" w:cs="Arial"/>
          <w:color w:val="000000"/>
          <w:shd w:val="clear" w:color="auto" w:fill="FFFFFF"/>
        </w:rPr>
        <w:t>Blant</w:t>
      </w:r>
      <w:r w:rsidR="00700D70">
        <w:rPr>
          <w:rStyle w:val="normaltextrun"/>
          <w:rFonts w:ascii="Arial" w:hAnsi="Arial" w:cs="Arial"/>
          <w:color w:val="000000"/>
          <w:shd w:val="clear" w:color="auto" w:fill="FFFFFF"/>
        </w:rPr>
        <w:t xml:space="preserve"> </w:t>
      </w:r>
      <w:r w:rsidR="000D565A">
        <w:rPr>
          <w:rStyle w:val="normaltextrun"/>
          <w:rFonts w:ascii="Arial" w:hAnsi="Arial" w:cs="Arial"/>
          <w:color w:val="000000"/>
          <w:shd w:val="clear" w:color="auto" w:fill="FFFFFF"/>
        </w:rPr>
        <w:t xml:space="preserve">de private </w:t>
      </w:r>
      <w:r w:rsidR="00EF3E08">
        <w:rPr>
          <w:rStyle w:val="normaltextrun"/>
          <w:rFonts w:ascii="Arial" w:hAnsi="Arial" w:cs="Arial"/>
          <w:color w:val="000000"/>
          <w:shd w:val="clear" w:color="auto" w:fill="FFFFFF"/>
        </w:rPr>
        <w:t>institusjonene</w:t>
      </w:r>
      <w:r w:rsidR="0025297D">
        <w:rPr>
          <w:rStyle w:val="normaltextrun"/>
          <w:rFonts w:ascii="Arial" w:hAnsi="Arial" w:cs="Arial"/>
          <w:color w:val="000000"/>
          <w:shd w:val="clear" w:color="auto" w:fill="FFFFFF"/>
        </w:rPr>
        <w:t xml:space="preserve"> er det enkelte som</w:t>
      </w:r>
      <w:r w:rsidR="00EF3E08">
        <w:rPr>
          <w:rStyle w:val="normaltextrun"/>
          <w:rFonts w:ascii="Arial" w:hAnsi="Arial" w:cs="Arial"/>
          <w:color w:val="000000"/>
          <w:shd w:val="clear" w:color="auto" w:fill="FFFFFF"/>
        </w:rPr>
        <w:t xml:space="preserve"> </w:t>
      </w:r>
      <w:r w:rsidR="00AE3A10">
        <w:rPr>
          <w:rStyle w:val="normaltextrun"/>
          <w:rFonts w:ascii="Arial" w:hAnsi="Arial" w:cs="Arial"/>
          <w:color w:val="000000"/>
          <w:shd w:val="clear" w:color="auto" w:fill="FFFFFF"/>
        </w:rPr>
        <w:t xml:space="preserve">opplever </w:t>
      </w:r>
      <w:r w:rsidR="0089133D">
        <w:rPr>
          <w:rStyle w:val="normaltextrun"/>
          <w:rFonts w:ascii="Arial" w:hAnsi="Arial" w:cs="Arial"/>
          <w:color w:val="000000"/>
          <w:shd w:val="clear" w:color="auto" w:fill="FFFFFF"/>
        </w:rPr>
        <w:t>en markant økning</w:t>
      </w:r>
      <w:r w:rsidR="007F7920">
        <w:rPr>
          <w:rStyle w:val="normaltextrun"/>
          <w:rFonts w:ascii="Arial" w:hAnsi="Arial" w:cs="Arial"/>
          <w:color w:val="000000"/>
          <w:shd w:val="clear" w:color="auto" w:fill="FFFFFF"/>
        </w:rPr>
        <w:t xml:space="preserve"> i strykprosenten</w:t>
      </w:r>
      <w:r w:rsidR="0089133D">
        <w:rPr>
          <w:rStyle w:val="normaltextrun"/>
          <w:rFonts w:ascii="Arial" w:hAnsi="Arial" w:cs="Arial"/>
          <w:color w:val="000000"/>
          <w:shd w:val="clear" w:color="auto" w:fill="FFFFFF"/>
        </w:rPr>
        <w:t xml:space="preserve">, </w:t>
      </w:r>
      <w:r w:rsidR="00381D84">
        <w:rPr>
          <w:rStyle w:val="normaltextrun"/>
          <w:rFonts w:ascii="Arial" w:hAnsi="Arial" w:cs="Arial"/>
          <w:color w:val="000000"/>
          <w:shd w:val="clear" w:color="auto" w:fill="FFFFFF"/>
        </w:rPr>
        <w:t>som BI</w:t>
      </w:r>
      <w:r w:rsidR="0080092F">
        <w:rPr>
          <w:rStyle w:val="normaltextrun"/>
          <w:rFonts w:ascii="Arial" w:hAnsi="Arial" w:cs="Arial"/>
          <w:color w:val="000000"/>
          <w:shd w:val="clear" w:color="auto" w:fill="FFFFFF"/>
        </w:rPr>
        <w:t>,</w:t>
      </w:r>
      <w:r w:rsidR="00381D84">
        <w:rPr>
          <w:rStyle w:val="normaltextrun"/>
          <w:rFonts w:ascii="Arial" w:hAnsi="Arial" w:cs="Arial"/>
          <w:color w:val="000000"/>
          <w:shd w:val="clear" w:color="auto" w:fill="FFFFFF"/>
        </w:rPr>
        <w:t xml:space="preserve"> med en økning på 3,2 prosentpoeng</w:t>
      </w:r>
      <w:r w:rsidR="0025297D">
        <w:rPr>
          <w:rStyle w:val="normaltextrun"/>
          <w:rFonts w:ascii="Arial" w:hAnsi="Arial" w:cs="Arial"/>
          <w:color w:val="000000"/>
          <w:shd w:val="clear" w:color="auto" w:fill="FFFFFF"/>
        </w:rPr>
        <w:t xml:space="preserve"> siste år</w:t>
      </w:r>
      <w:r w:rsidR="00381D84">
        <w:rPr>
          <w:rStyle w:val="normaltextrun"/>
          <w:rFonts w:ascii="Arial" w:hAnsi="Arial" w:cs="Arial"/>
          <w:color w:val="000000"/>
          <w:shd w:val="clear" w:color="auto" w:fill="FFFFFF"/>
        </w:rPr>
        <w:t xml:space="preserve">. </w:t>
      </w:r>
    </w:p>
    <w:p w14:paraId="4B097F37" w14:textId="40A81041" w:rsidR="0016568F" w:rsidRPr="001B2869" w:rsidRDefault="006C1236" w:rsidP="001B2869">
      <w:r>
        <w:br w:type="page"/>
      </w:r>
    </w:p>
    <w:p w14:paraId="5179E2E3" w14:textId="7EEFD86B" w:rsidR="000208DA" w:rsidRDefault="000208DA" w:rsidP="00AE4B98">
      <w:pPr>
        <w:pStyle w:val="Overskrift3"/>
      </w:pPr>
      <w:bookmarkStart w:id="46" w:name="_Ref134037033"/>
      <w:bookmarkStart w:id="47" w:name="_Toc134792721"/>
      <w:r>
        <w:lastRenderedPageBreak/>
        <w:t>Gjennomføring på normert tid</w:t>
      </w:r>
      <w:r w:rsidR="00061FBC">
        <w:t xml:space="preserve"> – </w:t>
      </w:r>
      <w:r w:rsidR="00CF30BD">
        <w:t>n</w:t>
      </w:r>
      <w:r w:rsidR="00061FBC">
        <w:t>asjonal styringsparameter</w:t>
      </w:r>
      <w:bookmarkEnd w:id="46"/>
      <w:bookmarkEnd w:id="47"/>
    </w:p>
    <w:p w14:paraId="152934A9" w14:textId="6AFE45FF" w:rsidR="001C2F70" w:rsidRDefault="000F2329" w:rsidP="004C5DC3">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Enda studenttallene har økt </w:t>
      </w:r>
      <w:r w:rsidR="00F34A73">
        <w:rPr>
          <w:rStyle w:val="normaltextrun"/>
          <w:rFonts w:ascii="Arial" w:hAnsi="Arial" w:cs="Arial"/>
          <w:color w:val="000000"/>
          <w:shd w:val="clear" w:color="auto" w:fill="FFFFFF"/>
        </w:rPr>
        <w:t>betydelig siste ti</w:t>
      </w:r>
      <w:r w:rsidR="00541000">
        <w:rPr>
          <w:rStyle w:val="normaltextrun"/>
          <w:rFonts w:ascii="Arial" w:hAnsi="Arial" w:cs="Arial"/>
          <w:color w:val="000000"/>
          <w:shd w:val="clear" w:color="auto" w:fill="FFFFFF"/>
        </w:rPr>
        <w:t xml:space="preserve"> år</w:t>
      </w:r>
      <w:r w:rsidR="00962631">
        <w:rPr>
          <w:rStyle w:val="normaltextrun"/>
          <w:rFonts w:ascii="Arial" w:hAnsi="Arial" w:cs="Arial"/>
          <w:color w:val="000000"/>
          <w:shd w:val="clear" w:color="auto" w:fill="FFFFFF"/>
        </w:rPr>
        <w:t>,</w:t>
      </w:r>
      <w:r w:rsidR="000A54A8">
        <w:rPr>
          <w:rStyle w:val="normaltextrun"/>
          <w:rFonts w:ascii="Arial" w:hAnsi="Arial" w:cs="Arial"/>
          <w:color w:val="000000"/>
          <w:shd w:val="clear" w:color="auto" w:fill="FFFFFF"/>
        </w:rPr>
        <w:t xml:space="preserve"> har</w:t>
      </w:r>
      <w:r w:rsidR="0072256E">
        <w:rPr>
          <w:rStyle w:val="normaltextrun"/>
          <w:rFonts w:ascii="Arial" w:hAnsi="Arial" w:cs="Arial"/>
          <w:color w:val="000000"/>
          <w:shd w:val="clear" w:color="auto" w:fill="FFFFFF"/>
        </w:rPr>
        <w:t xml:space="preserve"> stude</w:t>
      </w:r>
      <w:r w:rsidR="00C15395">
        <w:rPr>
          <w:rStyle w:val="normaltextrun"/>
          <w:rFonts w:ascii="Arial" w:hAnsi="Arial" w:cs="Arial"/>
          <w:color w:val="000000"/>
          <w:shd w:val="clear" w:color="auto" w:fill="FFFFFF"/>
        </w:rPr>
        <w:t>ntenes gjennomføring blitt klart bedre i løpet av peri</w:t>
      </w:r>
      <w:r w:rsidR="00962631">
        <w:rPr>
          <w:rStyle w:val="normaltextrun"/>
          <w:rFonts w:ascii="Arial" w:hAnsi="Arial" w:cs="Arial"/>
          <w:color w:val="000000"/>
          <w:shd w:val="clear" w:color="auto" w:fill="FFFFFF"/>
        </w:rPr>
        <w:t xml:space="preserve">oden. </w:t>
      </w:r>
      <w:r w:rsidR="00050CE1">
        <w:rPr>
          <w:rStyle w:val="normaltextrun"/>
          <w:rFonts w:ascii="Arial" w:hAnsi="Arial" w:cs="Arial"/>
          <w:color w:val="000000"/>
          <w:shd w:val="clear" w:color="auto" w:fill="FFFFFF"/>
        </w:rPr>
        <w:fldChar w:fldCharType="begin"/>
      </w:r>
      <w:r w:rsidR="00050CE1">
        <w:rPr>
          <w:rStyle w:val="normaltextrun"/>
          <w:rFonts w:ascii="Arial" w:hAnsi="Arial" w:cs="Arial"/>
          <w:color w:val="000000"/>
          <w:shd w:val="clear" w:color="auto" w:fill="FFFFFF"/>
        </w:rPr>
        <w:instrText xml:space="preserve"> REF _Ref133166186 \h </w:instrText>
      </w:r>
      <w:r w:rsidR="00050CE1">
        <w:rPr>
          <w:rStyle w:val="normaltextrun"/>
          <w:rFonts w:ascii="Arial" w:hAnsi="Arial" w:cs="Arial"/>
          <w:color w:val="000000"/>
          <w:shd w:val="clear" w:color="auto" w:fill="FFFFFF"/>
        </w:rPr>
      </w:r>
      <w:r w:rsidR="00050CE1">
        <w:rPr>
          <w:rStyle w:val="normaltextrun"/>
          <w:rFonts w:ascii="Arial" w:hAnsi="Arial" w:cs="Arial"/>
          <w:color w:val="000000"/>
          <w:shd w:val="clear" w:color="auto" w:fill="FFFFFF"/>
        </w:rPr>
        <w:fldChar w:fldCharType="separate"/>
      </w:r>
      <w:r w:rsidR="00F262EF">
        <w:t xml:space="preserve">Figur </w:t>
      </w:r>
      <w:r w:rsidR="00F262EF">
        <w:rPr>
          <w:noProof/>
        </w:rPr>
        <w:t>2</w:t>
      </w:r>
      <w:r w:rsidR="00F262EF">
        <w:t>.</w:t>
      </w:r>
      <w:r w:rsidR="00F262EF">
        <w:rPr>
          <w:noProof/>
        </w:rPr>
        <w:t>5</w:t>
      </w:r>
      <w:r w:rsidR="00050CE1">
        <w:rPr>
          <w:rStyle w:val="normaltextrun"/>
          <w:rFonts w:ascii="Arial" w:hAnsi="Arial" w:cs="Arial"/>
          <w:color w:val="000000"/>
          <w:shd w:val="clear" w:color="auto" w:fill="FFFFFF"/>
        </w:rPr>
        <w:fldChar w:fldCharType="end"/>
      </w:r>
      <w:r w:rsidR="00050CE1">
        <w:rPr>
          <w:rStyle w:val="normaltextrun"/>
          <w:rFonts w:ascii="Arial" w:hAnsi="Arial" w:cs="Arial"/>
          <w:color w:val="000000"/>
          <w:shd w:val="clear" w:color="auto" w:fill="FFFFFF"/>
        </w:rPr>
        <w:t xml:space="preserve"> viser</w:t>
      </w:r>
      <w:r w:rsidR="005F6F1A">
        <w:rPr>
          <w:rStyle w:val="normaltextrun"/>
          <w:rFonts w:ascii="Arial" w:hAnsi="Arial" w:cs="Arial"/>
          <w:color w:val="000000"/>
          <w:shd w:val="clear" w:color="auto" w:fill="FFFFFF"/>
        </w:rPr>
        <w:t xml:space="preserve"> fortsatt økning i gjennomføring på normert ti</w:t>
      </w:r>
      <w:r w:rsidR="00973711">
        <w:rPr>
          <w:rStyle w:val="normaltextrun"/>
          <w:rFonts w:ascii="Arial" w:hAnsi="Arial" w:cs="Arial"/>
          <w:color w:val="000000"/>
          <w:shd w:val="clear" w:color="auto" w:fill="FFFFFF"/>
        </w:rPr>
        <w:t>d</w:t>
      </w:r>
      <w:r w:rsidR="005F6F1A">
        <w:rPr>
          <w:rStyle w:val="normaltextrun"/>
          <w:rFonts w:ascii="Arial" w:hAnsi="Arial" w:cs="Arial"/>
          <w:color w:val="000000"/>
          <w:shd w:val="clear" w:color="auto" w:fill="FFFFFF"/>
        </w:rPr>
        <w:t xml:space="preserve"> for </w:t>
      </w:r>
      <w:r w:rsidR="00973711">
        <w:rPr>
          <w:rStyle w:val="normaltextrun"/>
          <w:rFonts w:ascii="Arial" w:hAnsi="Arial" w:cs="Arial"/>
          <w:color w:val="000000"/>
          <w:shd w:val="clear" w:color="auto" w:fill="FFFFFF"/>
        </w:rPr>
        <w:t xml:space="preserve">bachelorstudenter og framfor alt for studenter på femårig integrert master. </w:t>
      </w:r>
    </w:p>
    <w:p w14:paraId="435CF5CA" w14:textId="6D796428" w:rsidR="003C4E0E" w:rsidRDefault="00DF7694" w:rsidP="004C5DC3">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For</w:t>
      </w:r>
      <w:r w:rsidR="004C5DC3" w:rsidRPr="00023D7F">
        <w:rPr>
          <w:rStyle w:val="normaltextrun"/>
          <w:rFonts w:ascii="Arial" w:hAnsi="Arial" w:cs="Arial"/>
          <w:color w:val="000000"/>
          <w:shd w:val="clear" w:color="auto" w:fill="FFFFFF"/>
        </w:rPr>
        <w:t xml:space="preserve"> bachelorstudentene i opptakskull 201</w:t>
      </w:r>
      <w:r w:rsidR="004C5DC3">
        <w:rPr>
          <w:rStyle w:val="normaltextrun"/>
          <w:rFonts w:ascii="Arial" w:hAnsi="Arial" w:cs="Arial"/>
          <w:color w:val="000000"/>
          <w:shd w:val="clear" w:color="auto" w:fill="FFFFFF"/>
        </w:rPr>
        <w:t>9</w:t>
      </w:r>
      <w:r w:rsidR="004C5DC3" w:rsidRPr="00023D7F">
        <w:rPr>
          <w:rStyle w:val="normaltextrun"/>
          <w:rFonts w:ascii="Arial" w:hAnsi="Arial" w:cs="Arial"/>
          <w:color w:val="000000"/>
          <w:shd w:val="clear" w:color="auto" w:fill="FFFFFF"/>
        </w:rPr>
        <w:t xml:space="preserve"> var 5</w:t>
      </w:r>
      <w:r w:rsidR="004C5DC3">
        <w:rPr>
          <w:rStyle w:val="normaltextrun"/>
          <w:rFonts w:ascii="Arial" w:hAnsi="Arial" w:cs="Arial"/>
          <w:color w:val="000000"/>
          <w:shd w:val="clear" w:color="auto" w:fill="FFFFFF"/>
        </w:rPr>
        <w:t>6</w:t>
      </w:r>
      <w:r w:rsidR="004C5DC3" w:rsidRPr="00023D7F">
        <w:rPr>
          <w:rStyle w:val="normaltextrun"/>
          <w:rFonts w:ascii="Arial" w:hAnsi="Arial" w:cs="Arial"/>
          <w:color w:val="000000"/>
          <w:shd w:val="clear" w:color="auto" w:fill="FFFFFF"/>
        </w:rPr>
        <w:t xml:space="preserve"> prosent ferdig på normert tid i 202</w:t>
      </w:r>
      <w:r w:rsidR="004C5DC3">
        <w:rPr>
          <w:rStyle w:val="normaltextrun"/>
          <w:rFonts w:ascii="Arial" w:hAnsi="Arial" w:cs="Arial"/>
          <w:color w:val="000000"/>
          <w:shd w:val="clear" w:color="auto" w:fill="FFFFFF"/>
        </w:rPr>
        <w:t>2</w:t>
      </w:r>
      <w:r w:rsidR="006D1A19">
        <w:rPr>
          <w:rStyle w:val="normaltextrun"/>
          <w:rFonts w:ascii="Arial" w:hAnsi="Arial" w:cs="Arial"/>
          <w:color w:val="000000"/>
          <w:shd w:val="clear" w:color="auto" w:fill="FFFFFF"/>
        </w:rPr>
        <w:t xml:space="preserve">. </w:t>
      </w:r>
      <w:r w:rsidR="005B7D9B">
        <w:rPr>
          <w:rStyle w:val="normaltextrun"/>
          <w:rFonts w:ascii="Arial" w:hAnsi="Arial" w:cs="Arial"/>
          <w:color w:val="000000"/>
          <w:shd w:val="clear" w:color="auto" w:fill="FFFFFF"/>
        </w:rPr>
        <w:t>Dette er</w:t>
      </w:r>
      <w:r w:rsidR="00C63FF9">
        <w:rPr>
          <w:rStyle w:val="normaltextrun"/>
          <w:rFonts w:ascii="Arial" w:hAnsi="Arial" w:cs="Arial"/>
          <w:color w:val="000000"/>
          <w:shd w:val="clear" w:color="auto" w:fill="FFFFFF"/>
        </w:rPr>
        <w:t xml:space="preserve"> marginalt høyere enn </w:t>
      </w:r>
      <w:r w:rsidR="006F5906">
        <w:rPr>
          <w:rStyle w:val="normaltextrun"/>
          <w:rFonts w:ascii="Arial" w:hAnsi="Arial" w:cs="Arial"/>
          <w:color w:val="000000"/>
          <w:shd w:val="clear" w:color="auto" w:fill="FFFFFF"/>
        </w:rPr>
        <w:t xml:space="preserve">fullføring på normert tid i 2021. </w:t>
      </w:r>
      <w:r w:rsidR="008D5E1E">
        <w:rPr>
          <w:rStyle w:val="normaltextrun"/>
          <w:rFonts w:ascii="Arial" w:hAnsi="Arial" w:cs="Arial"/>
          <w:color w:val="000000"/>
          <w:shd w:val="clear" w:color="auto" w:fill="FFFFFF"/>
        </w:rPr>
        <w:t xml:space="preserve">Tidligere har </w:t>
      </w:r>
      <w:r w:rsidR="00494C20">
        <w:rPr>
          <w:rStyle w:val="normaltextrun"/>
          <w:rFonts w:ascii="Arial" w:hAnsi="Arial" w:cs="Arial"/>
          <w:color w:val="000000"/>
          <w:shd w:val="clear" w:color="auto" w:fill="FFFFFF"/>
        </w:rPr>
        <w:t>toårige masterut</w:t>
      </w:r>
      <w:r w:rsidR="00A76534">
        <w:rPr>
          <w:rStyle w:val="normaltextrun"/>
          <w:rFonts w:ascii="Arial" w:hAnsi="Arial" w:cs="Arial"/>
          <w:color w:val="000000"/>
          <w:shd w:val="clear" w:color="auto" w:fill="FFFFFF"/>
        </w:rPr>
        <w:t>dan</w:t>
      </w:r>
      <w:r w:rsidR="00494C20">
        <w:rPr>
          <w:rStyle w:val="normaltextrun"/>
          <w:rFonts w:ascii="Arial" w:hAnsi="Arial" w:cs="Arial"/>
          <w:color w:val="000000"/>
          <w:shd w:val="clear" w:color="auto" w:fill="FFFFFF"/>
        </w:rPr>
        <w:t>ninge</w:t>
      </w:r>
      <w:r w:rsidR="00922EBC">
        <w:rPr>
          <w:rStyle w:val="normaltextrun"/>
          <w:rFonts w:ascii="Arial" w:hAnsi="Arial" w:cs="Arial"/>
          <w:color w:val="000000"/>
          <w:shd w:val="clear" w:color="auto" w:fill="FFFFFF"/>
        </w:rPr>
        <w:t xml:space="preserve">r hatt </w:t>
      </w:r>
      <w:r w:rsidR="008D5E1E">
        <w:rPr>
          <w:rStyle w:val="normaltextrun"/>
          <w:rFonts w:ascii="Arial" w:hAnsi="Arial" w:cs="Arial"/>
          <w:color w:val="000000"/>
          <w:shd w:val="clear" w:color="auto" w:fill="FFFFFF"/>
        </w:rPr>
        <w:t xml:space="preserve">den høyeste </w:t>
      </w:r>
      <w:r w:rsidR="00922EBC">
        <w:rPr>
          <w:rStyle w:val="normaltextrun"/>
          <w:rFonts w:ascii="Arial" w:hAnsi="Arial" w:cs="Arial"/>
          <w:color w:val="000000"/>
          <w:shd w:val="clear" w:color="auto" w:fill="FFFFFF"/>
        </w:rPr>
        <w:t>andel fullførte på normert tid</w:t>
      </w:r>
      <w:r w:rsidR="00A76534">
        <w:rPr>
          <w:rStyle w:val="normaltextrun"/>
          <w:rFonts w:ascii="Arial" w:hAnsi="Arial" w:cs="Arial"/>
          <w:color w:val="000000"/>
          <w:shd w:val="clear" w:color="auto" w:fill="FFFFFF"/>
        </w:rPr>
        <w:t xml:space="preserve">, men </w:t>
      </w:r>
      <w:r w:rsidR="00274068">
        <w:rPr>
          <w:rStyle w:val="normaltextrun"/>
          <w:rFonts w:ascii="Arial" w:hAnsi="Arial" w:cs="Arial"/>
          <w:color w:val="000000"/>
          <w:shd w:val="clear" w:color="auto" w:fill="FFFFFF"/>
        </w:rPr>
        <w:t xml:space="preserve">i år har </w:t>
      </w:r>
      <w:r w:rsidR="009F3E3C">
        <w:rPr>
          <w:rStyle w:val="normaltextrun"/>
          <w:rFonts w:ascii="Arial" w:hAnsi="Arial" w:cs="Arial"/>
          <w:color w:val="000000"/>
          <w:shd w:val="clear" w:color="auto" w:fill="FFFFFF"/>
        </w:rPr>
        <w:t>fullføringsandelen for disse stu</w:t>
      </w:r>
      <w:r w:rsidR="00A3611B">
        <w:rPr>
          <w:rStyle w:val="normaltextrun"/>
          <w:rFonts w:ascii="Arial" w:hAnsi="Arial" w:cs="Arial"/>
          <w:color w:val="000000"/>
          <w:shd w:val="clear" w:color="auto" w:fill="FFFFFF"/>
        </w:rPr>
        <w:t>diene</w:t>
      </w:r>
      <w:r w:rsidR="00274068">
        <w:rPr>
          <w:rStyle w:val="normaltextrun"/>
          <w:rFonts w:ascii="Arial" w:hAnsi="Arial" w:cs="Arial"/>
          <w:color w:val="000000"/>
          <w:shd w:val="clear" w:color="auto" w:fill="FFFFFF"/>
        </w:rPr>
        <w:t xml:space="preserve"> </w:t>
      </w:r>
      <w:r w:rsidR="00604971">
        <w:rPr>
          <w:rStyle w:val="normaltextrun"/>
          <w:rFonts w:ascii="Arial" w:hAnsi="Arial" w:cs="Arial"/>
          <w:color w:val="000000"/>
          <w:shd w:val="clear" w:color="auto" w:fill="FFFFFF"/>
        </w:rPr>
        <w:t>hatt en svak nedgang</w:t>
      </w:r>
      <w:r w:rsidR="00275A9E">
        <w:rPr>
          <w:rStyle w:val="normaltextrun"/>
          <w:rFonts w:ascii="Arial" w:hAnsi="Arial" w:cs="Arial"/>
          <w:color w:val="000000"/>
          <w:shd w:val="clear" w:color="auto" w:fill="FFFFFF"/>
        </w:rPr>
        <w:t xml:space="preserve">, slik at den ligger omtrent likt med </w:t>
      </w:r>
      <w:r w:rsidR="002E41E2">
        <w:rPr>
          <w:rStyle w:val="normaltextrun"/>
          <w:rFonts w:ascii="Arial" w:hAnsi="Arial" w:cs="Arial"/>
          <w:color w:val="000000"/>
          <w:shd w:val="clear" w:color="auto" w:fill="FFFFFF"/>
        </w:rPr>
        <w:t>bachelo</w:t>
      </w:r>
      <w:r w:rsidR="007164ED">
        <w:rPr>
          <w:rStyle w:val="normaltextrun"/>
          <w:rFonts w:ascii="Arial" w:hAnsi="Arial" w:cs="Arial"/>
          <w:color w:val="000000"/>
          <w:shd w:val="clear" w:color="auto" w:fill="FFFFFF"/>
        </w:rPr>
        <w:t>rutdanningene</w:t>
      </w:r>
      <w:r w:rsidR="00494C20">
        <w:rPr>
          <w:rStyle w:val="normaltextrun"/>
          <w:rFonts w:ascii="Arial" w:hAnsi="Arial" w:cs="Arial"/>
          <w:color w:val="000000"/>
          <w:shd w:val="clear" w:color="auto" w:fill="FFFFFF"/>
        </w:rPr>
        <w:t xml:space="preserve">. </w:t>
      </w:r>
      <w:r w:rsidR="006E3FDD">
        <w:rPr>
          <w:rStyle w:val="normaltextrun"/>
          <w:rFonts w:ascii="Arial" w:hAnsi="Arial" w:cs="Arial"/>
          <w:color w:val="000000"/>
          <w:shd w:val="clear" w:color="auto" w:fill="FFFFFF"/>
        </w:rPr>
        <w:t xml:space="preserve">Femårig master </w:t>
      </w:r>
      <w:r w:rsidR="000E57F3">
        <w:rPr>
          <w:rStyle w:val="normaltextrun"/>
          <w:rFonts w:ascii="Arial" w:hAnsi="Arial" w:cs="Arial"/>
          <w:color w:val="000000"/>
          <w:shd w:val="clear" w:color="auto" w:fill="FFFFFF"/>
        </w:rPr>
        <w:t>fortsetter oppgangen</w:t>
      </w:r>
      <w:r w:rsidR="00E03329">
        <w:rPr>
          <w:rStyle w:val="normaltextrun"/>
          <w:rFonts w:ascii="Arial" w:hAnsi="Arial" w:cs="Arial"/>
          <w:color w:val="000000"/>
          <w:shd w:val="clear" w:color="auto" w:fill="FFFFFF"/>
        </w:rPr>
        <w:t>, fra</w:t>
      </w:r>
      <w:r w:rsidR="00283FB7">
        <w:rPr>
          <w:rStyle w:val="normaltextrun"/>
          <w:rFonts w:ascii="Arial" w:hAnsi="Arial" w:cs="Arial"/>
          <w:color w:val="000000"/>
          <w:shd w:val="clear" w:color="auto" w:fill="FFFFFF"/>
        </w:rPr>
        <w:t xml:space="preserve"> 44 prosent fullført</w:t>
      </w:r>
      <w:r w:rsidR="000953E4">
        <w:rPr>
          <w:rStyle w:val="normaltextrun"/>
          <w:rFonts w:ascii="Arial" w:hAnsi="Arial" w:cs="Arial"/>
          <w:color w:val="000000"/>
          <w:shd w:val="clear" w:color="auto" w:fill="FFFFFF"/>
        </w:rPr>
        <w:t xml:space="preserve"> på normert tid</w:t>
      </w:r>
      <w:r w:rsidR="00283FB7">
        <w:rPr>
          <w:rStyle w:val="normaltextrun"/>
          <w:rFonts w:ascii="Arial" w:hAnsi="Arial" w:cs="Arial"/>
          <w:color w:val="000000"/>
          <w:shd w:val="clear" w:color="auto" w:fill="FFFFFF"/>
        </w:rPr>
        <w:t xml:space="preserve"> i 2021</w:t>
      </w:r>
      <w:r w:rsidR="00205FF4">
        <w:rPr>
          <w:rStyle w:val="normaltextrun"/>
          <w:rFonts w:ascii="Arial" w:hAnsi="Arial" w:cs="Arial"/>
          <w:color w:val="000000"/>
          <w:shd w:val="clear" w:color="auto" w:fill="FFFFFF"/>
        </w:rPr>
        <w:t>, til</w:t>
      </w:r>
      <w:r w:rsidR="00456577">
        <w:rPr>
          <w:rStyle w:val="normaltextrun"/>
          <w:rFonts w:ascii="Arial" w:hAnsi="Arial" w:cs="Arial"/>
          <w:color w:val="000000"/>
          <w:shd w:val="clear" w:color="auto" w:fill="FFFFFF"/>
        </w:rPr>
        <w:t xml:space="preserve"> hele</w:t>
      </w:r>
      <w:r w:rsidR="00205FF4">
        <w:rPr>
          <w:rStyle w:val="normaltextrun"/>
          <w:rFonts w:ascii="Arial" w:hAnsi="Arial" w:cs="Arial"/>
          <w:color w:val="000000"/>
          <w:shd w:val="clear" w:color="auto" w:fill="FFFFFF"/>
        </w:rPr>
        <w:t xml:space="preserve"> </w:t>
      </w:r>
      <w:r w:rsidR="00315D25">
        <w:rPr>
          <w:rStyle w:val="normaltextrun"/>
          <w:rFonts w:ascii="Arial" w:hAnsi="Arial" w:cs="Arial"/>
          <w:color w:val="000000"/>
          <w:shd w:val="clear" w:color="auto" w:fill="FFFFFF"/>
        </w:rPr>
        <w:t>53 prosent i 2022.</w:t>
      </w:r>
      <w:r w:rsidR="001241E0">
        <w:rPr>
          <w:rStyle w:val="normaltextrun"/>
          <w:rFonts w:ascii="Arial" w:hAnsi="Arial" w:cs="Arial"/>
          <w:color w:val="000000"/>
          <w:shd w:val="clear" w:color="auto" w:fill="FFFFFF"/>
        </w:rPr>
        <w:t xml:space="preserve"> </w:t>
      </w:r>
      <w:r w:rsidR="00C03CE8">
        <w:rPr>
          <w:rStyle w:val="normaltextrun"/>
          <w:rFonts w:ascii="Arial" w:hAnsi="Arial" w:cs="Arial"/>
          <w:color w:val="000000"/>
          <w:shd w:val="clear" w:color="auto" w:fill="FFFFFF"/>
        </w:rPr>
        <w:t>De</w:t>
      </w:r>
      <w:r w:rsidR="00EB03C1">
        <w:rPr>
          <w:rStyle w:val="normaltextrun"/>
          <w:rFonts w:ascii="Arial" w:hAnsi="Arial" w:cs="Arial"/>
          <w:color w:val="000000"/>
          <w:shd w:val="clear" w:color="auto" w:fill="FFFFFF"/>
        </w:rPr>
        <w:t xml:space="preserve">t </w:t>
      </w:r>
      <w:r w:rsidR="0057661B">
        <w:rPr>
          <w:rStyle w:val="normaltextrun"/>
          <w:rFonts w:ascii="Arial" w:hAnsi="Arial" w:cs="Arial"/>
          <w:color w:val="000000"/>
          <w:shd w:val="clear" w:color="auto" w:fill="FFFFFF"/>
        </w:rPr>
        <w:t xml:space="preserve">er </w:t>
      </w:r>
      <w:r w:rsidR="00985786">
        <w:rPr>
          <w:rStyle w:val="normaltextrun"/>
          <w:rFonts w:ascii="Arial" w:hAnsi="Arial" w:cs="Arial"/>
          <w:color w:val="000000"/>
          <w:shd w:val="clear" w:color="auto" w:fill="FFFFFF"/>
        </w:rPr>
        <w:t xml:space="preserve">i hovedsak </w:t>
      </w:r>
      <w:r w:rsidR="00316391">
        <w:rPr>
          <w:rStyle w:val="normaltextrun"/>
          <w:rFonts w:ascii="Arial" w:hAnsi="Arial" w:cs="Arial"/>
          <w:color w:val="000000"/>
          <w:shd w:val="clear" w:color="auto" w:fill="FFFFFF"/>
        </w:rPr>
        <w:t xml:space="preserve">de første </w:t>
      </w:r>
      <w:r w:rsidR="004C35B3">
        <w:rPr>
          <w:rStyle w:val="normaltextrun"/>
          <w:rFonts w:ascii="Arial" w:hAnsi="Arial" w:cs="Arial"/>
          <w:color w:val="000000"/>
          <w:shd w:val="clear" w:color="auto" w:fill="FFFFFF"/>
        </w:rPr>
        <w:t xml:space="preserve">store </w:t>
      </w:r>
      <w:r w:rsidR="00316391">
        <w:rPr>
          <w:rStyle w:val="normaltextrun"/>
          <w:rFonts w:ascii="Arial" w:hAnsi="Arial" w:cs="Arial"/>
          <w:color w:val="000000"/>
          <w:shd w:val="clear" w:color="auto" w:fill="FFFFFF"/>
        </w:rPr>
        <w:t xml:space="preserve">kullene </w:t>
      </w:r>
      <w:r w:rsidR="004C35B3">
        <w:rPr>
          <w:rStyle w:val="normaltextrun"/>
          <w:rFonts w:ascii="Arial" w:hAnsi="Arial" w:cs="Arial"/>
          <w:color w:val="000000"/>
          <w:shd w:val="clear" w:color="auto" w:fill="FFFFFF"/>
        </w:rPr>
        <w:t>med femårige master</w:t>
      </w:r>
      <w:r w:rsidR="00AA5C61">
        <w:rPr>
          <w:rStyle w:val="normaltextrun"/>
          <w:rFonts w:ascii="Arial" w:hAnsi="Arial" w:cs="Arial"/>
          <w:color w:val="000000"/>
          <w:shd w:val="clear" w:color="auto" w:fill="FFFFFF"/>
        </w:rPr>
        <w:t>studenter på lærerutdanning</w:t>
      </w:r>
      <w:r w:rsidR="00985786">
        <w:rPr>
          <w:rStyle w:val="normaltextrun"/>
          <w:rFonts w:ascii="Arial" w:hAnsi="Arial" w:cs="Arial"/>
          <w:color w:val="000000"/>
          <w:shd w:val="clear" w:color="auto" w:fill="FFFFFF"/>
        </w:rPr>
        <w:t xml:space="preserve"> </w:t>
      </w:r>
      <w:r w:rsidR="00E64E86">
        <w:rPr>
          <w:rStyle w:val="normaltextrun"/>
          <w:rFonts w:ascii="Arial" w:hAnsi="Arial" w:cs="Arial"/>
          <w:color w:val="000000"/>
          <w:shd w:val="clear" w:color="auto" w:fill="FFFFFF"/>
        </w:rPr>
        <w:t>som forklarer denne kraftige oppgan</w:t>
      </w:r>
      <w:r w:rsidR="00D40537">
        <w:rPr>
          <w:rStyle w:val="normaltextrun"/>
          <w:rFonts w:ascii="Arial" w:hAnsi="Arial" w:cs="Arial"/>
          <w:color w:val="000000"/>
          <w:shd w:val="clear" w:color="auto" w:fill="FFFFFF"/>
        </w:rPr>
        <w:t>gen</w:t>
      </w:r>
      <w:r w:rsidR="00AA5C61">
        <w:rPr>
          <w:rStyle w:val="normaltextrun"/>
          <w:rFonts w:ascii="Arial" w:hAnsi="Arial" w:cs="Arial"/>
          <w:color w:val="000000"/>
          <w:shd w:val="clear" w:color="auto" w:fill="FFFFFF"/>
        </w:rPr>
        <w:t>.</w:t>
      </w:r>
      <w:r w:rsidR="0084646F">
        <w:rPr>
          <w:rStyle w:val="normaltextrun"/>
          <w:rFonts w:ascii="Arial" w:hAnsi="Arial" w:cs="Arial"/>
          <w:color w:val="000000"/>
          <w:shd w:val="clear" w:color="auto" w:fill="FFFFFF"/>
        </w:rPr>
        <w:t xml:space="preserve"> </w:t>
      </w:r>
      <w:r w:rsidR="00260AF2">
        <w:rPr>
          <w:rStyle w:val="normaltextrun"/>
          <w:rFonts w:ascii="Arial" w:hAnsi="Arial" w:cs="Arial"/>
          <w:color w:val="000000"/>
          <w:shd w:val="clear" w:color="auto" w:fill="FFFFFF"/>
        </w:rPr>
        <w:t>Dermed</w:t>
      </w:r>
      <w:r w:rsidR="005B03FA">
        <w:rPr>
          <w:rStyle w:val="normaltextrun"/>
          <w:rFonts w:ascii="Arial" w:hAnsi="Arial" w:cs="Arial"/>
          <w:color w:val="000000"/>
          <w:shd w:val="clear" w:color="auto" w:fill="FFFFFF"/>
        </w:rPr>
        <w:t xml:space="preserve"> </w:t>
      </w:r>
      <w:r w:rsidR="00F038F9">
        <w:rPr>
          <w:rStyle w:val="normaltextrun"/>
          <w:rFonts w:ascii="Arial" w:hAnsi="Arial" w:cs="Arial"/>
          <w:color w:val="000000"/>
          <w:shd w:val="clear" w:color="auto" w:fill="FFFFFF"/>
        </w:rPr>
        <w:t xml:space="preserve">økte </w:t>
      </w:r>
      <w:r w:rsidR="003748F9">
        <w:rPr>
          <w:rStyle w:val="normaltextrun"/>
          <w:rFonts w:ascii="Arial" w:hAnsi="Arial" w:cs="Arial"/>
          <w:color w:val="000000"/>
          <w:shd w:val="clear" w:color="auto" w:fill="FFFFFF"/>
        </w:rPr>
        <w:t xml:space="preserve">antall uteksaminerte fra 5-årige masterprogram </w:t>
      </w:r>
      <w:r w:rsidR="004F6E05">
        <w:rPr>
          <w:rStyle w:val="normaltextrun"/>
          <w:rFonts w:ascii="Arial" w:hAnsi="Arial" w:cs="Arial"/>
          <w:color w:val="000000"/>
          <w:shd w:val="clear" w:color="auto" w:fill="FFFFFF"/>
        </w:rPr>
        <w:t xml:space="preserve">med nesten 40 prosent fra 2021 til 2022, og </w:t>
      </w:r>
      <w:r w:rsidR="00307EF4">
        <w:rPr>
          <w:rStyle w:val="normaltextrun"/>
          <w:rFonts w:ascii="Arial" w:hAnsi="Arial" w:cs="Arial"/>
          <w:color w:val="000000"/>
          <w:shd w:val="clear" w:color="auto" w:fill="FFFFFF"/>
        </w:rPr>
        <w:t xml:space="preserve">en klart større andel av lærerstudentene gjennomførte på normert tid </w:t>
      </w:r>
      <w:r w:rsidR="004473D3">
        <w:rPr>
          <w:rStyle w:val="normaltextrun"/>
          <w:rFonts w:ascii="Arial" w:hAnsi="Arial" w:cs="Arial"/>
          <w:color w:val="000000"/>
          <w:shd w:val="clear" w:color="auto" w:fill="FFFFFF"/>
        </w:rPr>
        <w:t xml:space="preserve">enn </w:t>
      </w:r>
      <w:r w:rsidR="006A76F4">
        <w:rPr>
          <w:rStyle w:val="normaltextrun"/>
          <w:rFonts w:ascii="Arial" w:hAnsi="Arial" w:cs="Arial"/>
          <w:color w:val="000000"/>
          <w:shd w:val="clear" w:color="auto" w:fill="FFFFFF"/>
        </w:rPr>
        <w:t>studentene ved de</w:t>
      </w:r>
      <w:r w:rsidR="004473D3">
        <w:rPr>
          <w:rStyle w:val="normaltextrun"/>
          <w:rFonts w:ascii="Arial" w:hAnsi="Arial" w:cs="Arial"/>
          <w:color w:val="000000"/>
          <w:shd w:val="clear" w:color="auto" w:fill="FFFFFF"/>
        </w:rPr>
        <w:t xml:space="preserve"> øvrige 5-årige master</w:t>
      </w:r>
      <w:r w:rsidR="001C2F15">
        <w:rPr>
          <w:rStyle w:val="normaltextrun"/>
          <w:rFonts w:ascii="Arial" w:hAnsi="Arial" w:cs="Arial"/>
          <w:color w:val="000000"/>
          <w:shd w:val="clear" w:color="auto" w:fill="FFFFFF"/>
        </w:rPr>
        <w:t>programmene samlet</w:t>
      </w:r>
      <w:r w:rsidR="004473D3">
        <w:rPr>
          <w:rStyle w:val="normaltextrun"/>
          <w:rFonts w:ascii="Arial" w:hAnsi="Arial" w:cs="Arial"/>
          <w:color w:val="000000"/>
          <w:shd w:val="clear" w:color="auto" w:fill="FFFFFF"/>
        </w:rPr>
        <w:t>.</w:t>
      </w:r>
    </w:p>
    <w:p w14:paraId="79166F70" w14:textId="3D6EC728" w:rsidR="002D2C1D" w:rsidRPr="002D2C1D" w:rsidRDefault="0076545A" w:rsidP="0076545A">
      <w:pPr>
        <w:pStyle w:val="Bildetekst"/>
      </w:pPr>
      <w:bookmarkStart w:id="48" w:name="_Ref133166186"/>
      <w:bookmarkStart w:id="49" w:name="_Toc134792766"/>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5</w:t>
      </w:r>
      <w:r>
        <w:fldChar w:fldCharType="end"/>
      </w:r>
      <w:bookmarkEnd w:id="48"/>
      <w:r>
        <w:t xml:space="preserve"> </w:t>
      </w:r>
      <w:r w:rsidRPr="00D06DEA">
        <w:t>Gjennomføring på normert tid for bachelor- og masterstudenter 2013</w:t>
      </w:r>
      <w:r w:rsidR="003E2BB9">
        <w:t>–</w:t>
      </w:r>
      <w:r w:rsidRPr="00D06DEA">
        <w:t>22. Prosent</w:t>
      </w:r>
      <w:bookmarkEnd w:id="49"/>
    </w:p>
    <w:p w14:paraId="39134438" w14:textId="5FCF0EEB" w:rsidR="00F77315" w:rsidRDefault="001A761D">
      <w:r>
        <w:rPr>
          <w:noProof/>
        </w:rPr>
        <w:drawing>
          <wp:inline distT="0" distB="0" distL="0" distR="0" wp14:anchorId="257C3825" wp14:editId="4AA8EAD5">
            <wp:extent cx="5184140" cy="3169920"/>
            <wp:effectExtent l="0" t="0" r="16510" b="11430"/>
            <wp:docPr id="24" name="Diagram 24">
              <a:extLst xmlns:a="http://schemas.openxmlformats.org/drawingml/2006/main">
                <a:ext uri="{FF2B5EF4-FFF2-40B4-BE49-F238E27FC236}">
                  <a16:creationId xmlns:a16="http://schemas.microsoft.com/office/drawing/2014/main" id="{8243EA9D-B7DC-4DF2-BCEC-E879B5ACF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5B8056" w14:textId="6CC00F07" w:rsidR="00C117C2" w:rsidRPr="00C117C2" w:rsidRDefault="003544CD" w:rsidP="00295911">
      <w:pPr>
        <w:pStyle w:val="Merknad"/>
        <w:rPr>
          <w:rFonts w:ascii="Arial" w:eastAsia="Times New Roman" w:hAnsi="Arial" w:cs="Arial"/>
          <w:color w:val="000000"/>
          <w:szCs w:val="16"/>
          <w:lang w:eastAsia="nb-NO"/>
        </w:rPr>
      </w:pPr>
      <w:r w:rsidRPr="00C117C2">
        <w:rPr>
          <w:lang w:eastAsia="nb-NO"/>
        </w:rPr>
        <w:t xml:space="preserve">Figuren viser gjennomføring på normert tid på sektornivå (dvs. uavhengig av om studenten bytter institusjon). For </w:t>
      </w:r>
      <w:r w:rsidR="00C117C2" w:rsidRPr="00C117C2">
        <w:rPr>
          <w:rFonts w:ascii="Arial" w:eastAsia="Times New Roman" w:hAnsi="Arial" w:cs="Arial"/>
          <w:color w:val="000000"/>
          <w:szCs w:val="16"/>
          <w:lang w:eastAsia="nb-NO"/>
        </w:rPr>
        <w:t>treårig</w:t>
      </w:r>
      <w:r w:rsidRPr="00C117C2">
        <w:rPr>
          <w:rFonts w:ascii="Arial" w:eastAsia="Times New Roman" w:hAnsi="Arial" w:cs="Arial"/>
          <w:color w:val="000000"/>
          <w:szCs w:val="16"/>
          <w:lang w:eastAsia="nb-NO"/>
        </w:rPr>
        <w:t xml:space="preserve"> bachelor er verdien beregnet ut fra studentene som møtte til studiestart 3 år før, for </w:t>
      </w:r>
      <w:r w:rsidR="00C117C2" w:rsidRPr="00C117C2">
        <w:rPr>
          <w:rFonts w:ascii="Arial" w:eastAsia="Times New Roman" w:hAnsi="Arial" w:cs="Arial"/>
          <w:color w:val="000000"/>
          <w:szCs w:val="16"/>
          <w:lang w:eastAsia="nb-NO"/>
        </w:rPr>
        <w:t>toårig</w:t>
      </w:r>
      <w:r w:rsidRPr="00C117C2">
        <w:rPr>
          <w:rFonts w:ascii="Arial" w:eastAsia="Times New Roman" w:hAnsi="Arial" w:cs="Arial"/>
          <w:color w:val="000000"/>
          <w:szCs w:val="16"/>
          <w:lang w:eastAsia="nb-NO"/>
        </w:rPr>
        <w:t xml:space="preserve"> master 2 år før osv</w:t>
      </w:r>
      <w:r w:rsidR="00BB4F60" w:rsidRPr="00C117C2">
        <w:rPr>
          <w:rFonts w:ascii="Arial" w:eastAsia="Times New Roman" w:hAnsi="Arial" w:cs="Arial"/>
          <w:color w:val="000000"/>
          <w:szCs w:val="16"/>
          <w:lang w:eastAsia="nb-NO"/>
        </w:rPr>
        <w:t xml:space="preserve">. </w:t>
      </w:r>
      <w:r w:rsidR="0012578A" w:rsidRPr="00C117C2">
        <w:rPr>
          <w:rFonts w:ascii="Arial" w:eastAsia="Times New Roman" w:hAnsi="Arial" w:cs="Arial"/>
          <w:color w:val="000000"/>
          <w:szCs w:val="16"/>
          <w:lang w:eastAsia="nb-NO"/>
        </w:rPr>
        <w:t xml:space="preserve">Data </w:t>
      </w:r>
      <w:proofErr w:type="gramStart"/>
      <w:r w:rsidR="0012578A" w:rsidRPr="00C117C2">
        <w:rPr>
          <w:rFonts w:ascii="Arial" w:eastAsia="Times New Roman" w:hAnsi="Arial" w:cs="Arial"/>
          <w:color w:val="000000"/>
          <w:szCs w:val="16"/>
          <w:lang w:eastAsia="nb-NO"/>
        </w:rPr>
        <w:t>for BI</w:t>
      </w:r>
      <w:proofErr w:type="gramEnd"/>
      <w:r w:rsidR="0012578A" w:rsidRPr="00C117C2">
        <w:rPr>
          <w:rFonts w:ascii="Arial" w:eastAsia="Times New Roman" w:hAnsi="Arial" w:cs="Arial"/>
          <w:color w:val="000000"/>
          <w:szCs w:val="16"/>
          <w:lang w:eastAsia="nb-NO"/>
        </w:rPr>
        <w:t xml:space="preserve"> er ikke tatt med for </w:t>
      </w:r>
      <w:r w:rsidR="00C117C2" w:rsidRPr="00C117C2">
        <w:rPr>
          <w:rFonts w:ascii="Arial" w:eastAsia="Times New Roman" w:hAnsi="Arial" w:cs="Arial"/>
          <w:color w:val="000000"/>
          <w:szCs w:val="16"/>
          <w:lang w:eastAsia="nb-NO"/>
        </w:rPr>
        <w:t>femårig</w:t>
      </w:r>
      <w:r w:rsidR="0012578A" w:rsidRPr="00C117C2">
        <w:rPr>
          <w:rFonts w:ascii="Arial" w:eastAsia="Times New Roman" w:hAnsi="Arial" w:cs="Arial"/>
          <w:color w:val="000000"/>
          <w:szCs w:val="16"/>
          <w:lang w:eastAsia="nb-NO"/>
        </w:rPr>
        <w:t xml:space="preserve"> integrert master</w:t>
      </w:r>
      <w:r w:rsidR="005264BC" w:rsidRPr="00C117C2">
        <w:rPr>
          <w:rFonts w:ascii="Arial" w:eastAsia="Times New Roman" w:hAnsi="Arial" w:cs="Arial"/>
          <w:color w:val="000000"/>
          <w:szCs w:val="16"/>
          <w:lang w:eastAsia="nb-NO"/>
        </w:rPr>
        <w:t>.</w:t>
      </w:r>
    </w:p>
    <w:p w14:paraId="3DD5456B" w14:textId="72304B16" w:rsidR="00F35055" w:rsidRDefault="00F35055" w:rsidP="00295911">
      <w:pPr>
        <w:pStyle w:val="Kilde"/>
        <w:rPr>
          <w:rFonts w:ascii="Arial" w:eastAsia="Times New Roman" w:hAnsi="Arial" w:cs="Arial"/>
          <w:b w:val="0"/>
          <w:color w:val="000000"/>
          <w:sz w:val="16"/>
          <w:szCs w:val="16"/>
          <w:lang w:eastAsia="nb-NO"/>
        </w:rPr>
      </w:pPr>
      <w:r w:rsidRPr="00F35055">
        <w:rPr>
          <w:lang w:eastAsia="nb-NO"/>
        </w:rPr>
        <w:t xml:space="preserve">Kilde: </w:t>
      </w:r>
      <w:proofErr w:type="spellStart"/>
      <w:r w:rsidRPr="00F35055">
        <w:rPr>
          <w:lang w:eastAsia="nb-NO"/>
        </w:rPr>
        <w:t>DBH</w:t>
      </w:r>
      <w:proofErr w:type="spellEnd"/>
    </w:p>
    <w:p w14:paraId="28665985" w14:textId="4AC007AE" w:rsidR="00745B8C" w:rsidRDefault="00745B8C">
      <w:proofErr w:type="spellStart"/>
      <w:r>
        <w:t>Vedleggstabell</w:t>
      </w:r>
      <w:proofErr w:type="spellEnd"/>
      <w:r>
        <w:t xml:space="preserve"> </w:t>
      </w:r>
      <w:hyperlink r:id="rId34" w:history="1">
        <w:r w:rsidRPr="00883923">
          <w:rPr>
            <w:rStyle w:val="Hyperkobling"/>
          </w:rPr>
          <w:t>V</w:t>
        </w:r>
        <w:r w:rsidR="00EC32B4" w:rsidRPr="00883923">
          <w:rPr>
            <w:rStyle w:val="Hyperkobling"/>
          </w:rPr>
          <w:t>2.22</w:t>
        </w:r>
      </w:hyperlink>
      <w:r w:rsidR="00B1038C">
        <w:t xml:space="preserve"> </w:t>
      </w:r>
      <w:r w:rsidR="00165D89">
        <w:t>viser andelen av et opptakskull som fullfører mastergrad på normert tid</w:t>
      </w:r>
      <w:r w:rsidR="00AD1E1E">
        <w:t xml:space="preserve"> per institusjon</w:t>
      </w:r>
      <w:r w:rsidR="00165D89">
        <w:t xml:space="preserve">. </w:t>
      </w:r>
      <w:r w:rsidR="00D17433">
        <w:t>NHH og</w:t>
      </w:r>
      <w:r w:rsidR="00A42639">
        <w:t xml:space="preserve"> </w:t>
      </w:r>
      <w:proofErr w:type="spellStart"/>
      <w:r w:rsidR="00D17433">
        <w:t>KHiO</w:t>
      </w:r>
      <w:proofErr w:type="spellEnd"/>
      <w:r>
        <w:t xml:space="preserve"> </w:t>
      </w:r>
      <w:r w:rsidR="008A6ABC">
        <w:t xml:space="preserve">har høyest andel på henholdsvis </w:t>
      </w:r>
      <w:r w:rsidR="0022218C">
        <w:t xml:space="preserve">86 og 85 prosent. </w:t>
      </w:r>
      <w:r w:rsidR="00D27E69">
        <w:t>Totalt</w:t>
      </w:r>
      <w:r w:rsidR="007B6DF3">
        <w:t xml:space="preserve"> gjennomførte</w:t>
      </w:r>
      <w:r w:rsidR="00C446A1">
        <w:t xml:space="preserve"> </w:t>
      </w:r>
      <w:r w:rsidR="007B0B6F">
        <w:t>54 prosent</w:t>
      </w:r>
      <w:r w:rsidR="00393B68">
        <w:t xml:space="preserve"> av masterstudentene ved statlige institusjoner på normert tid</w:t>
      </w:r>
      <w:r w:rsidR="007B0B6F">
        <w:t>.</w:t>
      </w:r>
      <w:r w:rsidR="00825547">
        <w:t xml:space="preserve"> </w:t>
      </w:r>
      <w:r w:rsidR="00A64A47" w:rsidRPr="00B037F1">
        <w:rPr>
          <w:rStyle w:val="normaltextrun"/>
          <w:rFonts w:ascii="Arial" w:hAnsi="Arial" w:cs="Arial"/>
          <w:color w:val="000000"/>
          <w:shd w:val="clear" w:color="auto" w:fill="FFFFFF"/>
        </w:rPr>
        <w:t xml:space="preserve">Blant de private institusjonene er </w:t>
      </w:r>
      <w:r w:rsidR="001D04DE">
        <w:rPr>
          <w:rStyle w:val="normaltextrun"/>
          <w:rFonts w:ascii="Arial" w:hAnsi="Arial" w:cs="Arial"/>
          <w:color w:val="000000"/>
          <w:shd w:val="clear" w:color="auto" w:fill="FFFFFF"/>
        </w:rPr>
        <w:t xml:space="preserve">tilsvarende tall </w:t>
      </w:r>
      <w:r w:rsidR="0096124B">
        <w:rPr>
          <w:rStyle w:val="normaltextrun"/>
          <w:rFonts w:ascii="Arial" w:hAnsi="Arial" w:cs="Arial"/>
          <w:color w:val="000000"/>
          <w:shd w:val="clear" w:color="auto" w:fill="FFFFFF"/>
        </w:rPr>
        <w:t xml:space="preserve">70 prosent, men </w:t>
      </w:r>
      <w:r w:rsidR="00C72AD8">
        <w:rPr>
          <w:rStyle w:val="normaltextrun"/>
          <w:rFonts w:ascii="Arial" w:hAnsi="Arial" w:cs="Arial"/>
          <w:color w:val="000000"/>
          <w:shd w:val="clear" w:color="auto" w:fill="FFFFFF"/>
        </w:rPr>
        <w:t xml:space="preserve">her er </w:t>
      </w:r>
      <w:r w:rsidR="00A64A47" w:rsidRPr="00B037F1">
        <w:rPr>
          <w:rStyle w:val="normaltextrun"/>
          <w:rFonts w:ascii="Arial" w:hAnsi="Arial" w:cs="Arial"/>
          <w:color w:val="000000"/>
          <w:shd w:val="clear" w:color="auto" w:fill="FFFFFF"/>
        </w:rPr>
        <w:t>det svært store variasjoner mellom institusjonene</w:t>
      </w:r>
      <w:r w:rsidR="00152794">
        <w:rPr>
          <w:rStyle w:val="normaltextrun"/>
          <w:rFonts w:ascii="Arial" w:hAnsi="Arial" w:cs="Arial"/>
          <w:color w:val="000000"/>
          <w:shd w:val="clear" w:color="auto" w:fill="FFFFFF"/>
        </w:rPr>
        <w:t>.</w:t>
      </w:r>
      <w:r w:rsidR="001A154E">
        <w:rPr>
          <w:rStyle w:val="normaltextrun"/>
          <w:rFonts w:ascii="Arial" w:hAnsi="Arial" w:cs="Arial"/>
          <w:color w:val="000000"/>
          <w:shd w:val="clear" w:color="auto" w:fill="FFFFFF"/>
        </w:rPr>
        <w:t xml:space="preserve"> </w:t>
      </w:r>
      <w:r w:rsidR="00152794">
        <w:rPr>
          <w:rStyle w:val="normaltextrun"/>
          <w:rFonts w:ascii="Arial" w:hAnsi="Arial" w:cs="Arial"/>
          <w:color w:val="000000"/>
          <w:shd w:val="clear" w:color="auto" w:fill="FFFFFF"/>
        </w:rPr>
        <w:t>S</w:t>
      </w:r>
      <w:r w:rsidR="00A64A47" w:rsidRPr="00B037F1">
        <w:rPr>
          <w:rStyle w:val="normaltextrun"/>
          <w:rFonts w:ascii="Arial" w:hAnsi="Arial" w:cs="Arial"/>
          <w:color w:val="000000"/>
          <w:shd w:val="clear" w:color="auto" w:fill="FFFFFF"/>
        </w:rPr>
        <w:t>tore institusjoner som BI og HK drar her</w:t>
      </w:r>
      <w:r w:rsidR="00A64A47" w:rsidRPr="00BD05C7">
        <w:rPr>
          <w:rFonts w:ascii="Arial" w:hAnsi="Arial" w:cs="Arial"/>
          <w:color w:val="000000"/>
          <w:shd w:val="clear" w:color="auto" w:fill="FFFFFF"/>
        </w:rPr>
        <w:t xml:space="preserve"> </w:t>
      </w:r>
      <w:r w:rsidR="00617436">
        <w:rPr>
          <w:rStyle w:val="normaltextrun"/>
          <w:rFonts w:ascii="Arial" w:hAnsi="Arial" w:cs="Arial"/>
          <w:color w:val="000000"/>
          <w:shd w:val="clear" w:color="auto" w:fill="FFFFFF"/>
        </w:rPr>
        <w:t xml:space="preserve">vesentlig </w:t>
      </w:r>
      <w:r w:rsidR="00A64A47" w:rsidRPr="00B037F1">
        <w:rPr>
          <w:rStyle w:val="normaltextrun"/>
          <w:rFonts w:ascii="Arial" w:hAnsi="Arial" w:cs="Arial"/>
          <w:color w:val="000000"/>
          <w:shd w:val="clear" w:color="auto" w:fill="FFFFFF"/>
        </w:rPr>
        <w:t>opp andelen som fullfører mastergrad på normert tid.</w:t>
      </w:r>
    </w:p>
    <w:p w14:paraId="1DFCE54B" w14:textId="1C7489C0" w:rsidR="0053318A" w:rsidRDefault="0053318A">
      <w:pPr>
        <w:rPr>
          <w:rFonts w:asciiTheme="majorHAnsi" w:eastAsiaTheme="majorEastAsia" w:hAnsiTheme="majorHAnsi" w:cstheme="majorBidi"/>
          <w:b/>
          <w:color w:val="362683"/>
          <w:sz w:val="24"/>
          <w:szCs w:val="26"/>
        </w:rPr>
      </w:pPr>
      <w:r>
        <w:br w:type="page"/>
      </w:r>
    </w:p>
    <w:p w14:paraId="7E6EBD8E" w14:textId="7084494C" w:rsidR="00061FBC" w:rsidRDefault="00061FBC" w:rsidP="00AE4B98">
      <w:pPr>
        <w:pStyle w:val="Overskrift3"/>
      </w:pPr>
      <w:bookmarkStart w:id="50" w:name="_Toc134792722"/>
      <w:r>
        <w:lastRenderedPageBreak/>
        <w:t>Uteksaminerte</w:t>
      </w:r>
      <w:bookmarkEnd w:id="50"/>
    </w:p>
    <w:p w14:paraId="3AEF9B60" w14:textId="01C2754E" w:rsidR="00BD6498" w:rsidRDefault="0078034C">
      <w:pPr>
        <w:rPr>
          <w:rStyle w:val="normaltextrun"/>
          <w:rFonts w:ascii="Arial" w:hAnsi="Arial" w:cs="Arial"/>
          <w:color w:val="000000"/>
          <w:shd w:val="clear" w:color="auto" w:fill="FFFFFF"/>
        </w:rPr>
      </w:pPr>
      <w:r w:rsidRPr="00B037F1">
        <w:rPr>
          <w:rStyle w:val="normaltextrun"/>
          <w:rFonts w:ascii="Arial" w:hAnsi="Arial" w:cs="Arial"/>
          <w:color w:val="000000"/>
          <w:shd w:val="clear" w:color="auto" w:fill="FFFFFF"/>
        </w:rPr>
        <w:t xml:space="preserve">Det ble uteksaminert rundt </w:t>
      </w:r>
      <w:r w:rsidR="0098360E">
        <w:rPr>
          <w:rStyle w:val="normaltextrun"/>
          <w:rFonts w:ascii="Arial" w:hAnsi="Arial" w:cs="Arial"/>
          <w:color w:val="000000"/>
          <w:shd w:val="clear" w:color="auto" w:fill="FFFFFF"/>
        </w:rPr>
        <w:t>54</w:t>
      </w:r>
      <w:r w:rsidR="00844BCA">
        <w:rPr>
          <w:rStyle w:val="normaltextrun"/>
          <w:rFonts w:ascii="Arial" w:hAnsi="Arial" w:cs="Arial"/>
          <w:color w:val="000000"/>
          <w:shd w:val="clear" w:color="auto" w:fill="FFFFFF"/>
        </w:rPr>
        <w:t> </w:t>
      </w:r>
      <w:r w:rsidR="00883F72">
        <w:rPr>
          <w:rStyle w:val="normaltextrun"/>
          <w:rFonts w:ascii="Arial" w:hAnsi="Arial" w:cs="Arial"/>
          <w:color w:val="000000"/>
          <w:shd w:val="clear" w:color="auto" w:fill="FFFFFF"/>
        </w:rPr>
        <w:t>0</w:t>
      </w:r>
      <w:r w:rsidR="00844BCA">
        <w:rPr>
          <w:rStyle w:val="normaltextrun"/>
          <w:rFonts w:ascii="Arial" w:hAnsi="Arial" w:cs="Arial"/>
          <w:color w:val="000000"/>
          <w:shd w:val="clear" w:color="auto" w:fill="FFFFFF"/>
        </w:rPr>
        <w:t xml:space="preserve">00 </w:t>
      </w:r>
      <w:r w:rsidR="009B214B" w:rsidRPr="00B037F1">
        <w:rPr>
          <w:rStyle w:val="normaltextrun"/>
          <w:rFonts w:ascii="Arial" w:hAnsi="Arial" w:cs="Arial"/>
          <w:color w:val="000000"/>
          <w:shd w:val="clear" w:color="auto" w:fill="FFFFFF"/>
        </w:rPr>
        <w:t>personer ved norske universiteter og høyskoler i 202</w:t>
      </w:r>
      <w:r w:rsidR="009B214B">
        <w:rPr>
          <w:rStyle w:val="normaltextrun"/>
          <w:rFonts w:ascii="Arial" w:hAnsi="Arial" w:cs="Arial"/>
          <w:color w:val="000000"/>
          <w:shd w:val="clear" w:color="auto" w:fill="FFFFFF"/>
        </w:rPr>
        <w:t>2</w:t>
      </w:r>
      <w:r w:rsidR="009B214B" w:rsidRPr="00B037F1">
        <w:rPr>
          <w:rStyle w:val="normaltextrun"/>
          <w:rFonts w:ascii="Arial" w:hAnsi="Arial" w:cs="Arial"/>
          <w:color w:val="000000"/>
          <w:shd w:val="clear" w:color="auto" w:fill="FFFFFF"/>
        </w:rPr>
        <w:t xml:space="preserve">. Dette er en økning på </w:t>
      </w:r>
      <w:r w:rsidR="007D2ACD">
        <w:rPr>
          <w:rStyle w:val="normaltextrun"/>
          <w:rFonts w:ascii="Arial" w:hAnsi="Arial" w:cs="Arial"/>
          <w:color w:val="000000"/>
          <w:shd w:val="clear" w:color="auto" w:fill="FFFFFF"/>
        </w:rPr>
        <w:t>om lag</w:t>
      </w:r>
      <w:r w:rsidR="009B214B" w:rsidRPr="00B037F1">
        <w:rPr>
          <w:rStyle w:val="normaltextrun"/>
          <w:rFonts w:ascii="Arial" w:hAnsi="Arial" w:cs="Arial"/>
          <w:color w:val="000000"/>
          <w:shd w:val="clear" w:color="auto" w:fill="FFFFFF"/>
        </w:rPr>
        <w:t xml:space="preserve"> </w:t>
      </w:r>
      <w:r w:rsidR="00F36E73">
        <w:rPr>
          <w:rStyle w:val="normaltextrun"/>
          <w:rFonts w:ascii="Arial" w:hAnsi="Arial" w:cs="Arial"/>
          <w:color w:val="000000"/>
          <w:shd w:val="clear" w:color="auto" w:fill="FFFFFF"/>
        </w:rPr>
        <w:t>2</w:t>
      </w:r>
      <w:r w:rsidR="004E092D">
        <w:rPr>
          <w:rStyle w:val="normaltextrun"/>
          <w:rFonts w:ascii="Arial" w:hAnsi="Arial" w:cs="Arial"/>
          <w:color w:val="000000"/>
          <w:shd w:val="clear" w:color="auto" w:fill="FFFFFF"/>
        </w:rPr>
        <w:t> </w:t>
      </w:r>
      <w:r w:rsidR="00F36E73">
        <w:rPr>
          <w:rStyle w:val="normaltextrun"/>
          <w:rFonts w:ascii="Arial" w:hAnsi="Arial" w:cs="Arial"/>
          <w:color w:val="000000"/>
          <w:shd w:val="clear" w:color="auto" w:fill="FFFFFF"/>
        </w:rPr>
        <w:t>700</w:t>
      </w:r>
      <w:r w:rsidR="009B214B" w:rsidRPr="00B037F1">
        <w:rPr>
          <w:rStyle w:val="normaltextrun"/>
          <w:rFonts w:ascii="Arial" w:hAnsi="Arial" w:cs="Arial"/>
          <w:color w:val="000000"/>
          <w:shd w:val="clear" w:color="auto" w:fill="FFFFFF"/>
        </w:rPr>
        <w:t xml:space="preserve"> uteksaminerte sammenlignet med 202</w:t>
      </w:r>
      <w:r w:rsidR="009B214B">
        <w:rPr>
          <w:rStyle w:val="normaltextrun"/>
          <w:rFonts w:ascii="Arial" w:hAnsi="Arial" w:cs="Arial"/>
          <w:color w:val="000000"/>
          <w:shd w:val="clear" w:color="auto" w:fill="FFFFFF"/>
        </w:rPr>
        <w:t>1.</w:t>
      </w:r>
      <w:r w:rsidR="00F928F1">
        <w:rPr>
          <w:rStyle w:val="normaltextrun"/>
          <w:rFonts w:ascii="Arial" w:hAnsi="Arial" w:cs="Arial"/>
          <w:color w:val="000000"/>
          <w:shd w:val="clear" w:color="auto" w:fill="FFFFFF"/>
        </w:rPr>
        <w:t xml:space="preserve"> </w:t>
      </w:r>
      <w:r w:rsidR="00794A4E" w:rsidRPr="00B037F1">
        <w:rPr>
          <w:rStyle w:val="normaltextrun"/>
          <w:rFonts w:ascii="Arial" w:hAnsi="Arial" w:cs="Arial"/>
          <w:color w:val="000000"/>
          <w:shd w:val="clear" w:color="auto" w:fill="FFFFFF"/>
        </w:rPr>
        <w:t xml:space="preserve">Den samlede veksten de siste ti årene har vært på </w:t>
      </w:r>
      <w:r w:rsidR="00886510">
        <w:rPr>
          <w:rStyle w:val="normaltextrun"/>
          <w:rFonts w:ascii="Arial" w:hAnsi="Arial" w:cs="Arial"/>
          <w:color w:val="000000"/>
          <w:shd w:val="clear" w:color="auto" w:fill="FFFFFF"/>
        </w:rPr>
        <w:t>38</w:t>
      </w:r>
      <w:r w:rsidR="00794A4E" w:rsidRPr="00B037F1">
        <w:rPr>
          <w:rStyle w:val="normaltextrun"/>
          <w:rFonts w:ascii="Arial" w:hAnsi="Arial" w:cs="Arial"/>
          <w:color w:val="000000"/>
          <w:shd w:val="clear" w:color="auto" w:fill="FFFFFF"/>
        </w:rPr>
        <w:t xml:space="preserve"> prosent. </w:t>
      </w:r>
      <w:r w:rsidR="00AD77B4">
        <w:rPr>
          <w:rStyle w:val="normaltextrun"/>
          <w:rFonts w:ascii="Arial" w:hAnsi="Arial" w:cs="Arial"/>
          <w:color w:val="000000"/>
          <w:shd w:val="clear" w:color="auto" w:fill="FFFFFF"/>
        </w:rPr>
        <w:t>Det har vært en ubrutt</w:t>
      </w:r>
      <w:r w:rsidR="00D87CD6">
        <w:rPr>
          <w:rStyle w:val="normaltextrun"/>
          <w:rFonts w:ascii="Arial" w:hAnsi="Arial" w:cs="Arial"/>
          <w:color w:val="000000"/>
          <w:shd w:val="clear" w:color="auto" w:fill="FFFFFF"/>
        </w:rPr>
        <w:t xml:space="preserve"> vekst i </w:t>
      </w:r>
      <w:r w:rsidR="00C51886">
        <w:rPr>
          <w:rStyle w:val="normaltextrun"/>
          <w:rFonts w:ascii="Arial" w:hAnsi="Arial" w:cs="Arial"/>
          <w:color w:val="000000"/>
          <w:shd w:val="clear" w:color="auto" w:fill="FFFFFF"/>
        </w:rPr>
        <w:t>uteksaminerte</w:t>
      </w:r>
      <w:r w:rsidR="00D87CD6">
        <w:rPr>
          <w:rStyle w:val="normaltextrun"/>
          <w:rFonts w:ascii="Arial" w:hAnsi="Arial" w:cs="Arial"/>
          <w:color w:val="000000"/>
          <w:shd w:val="clear" w:color="auto" w:fill="FFFFFF"/>
        </w:rPr>
        <w:t xml:space="preserve"> </w:t>
      </w:r>
      <w:r w:rsidR="00AD77B4">
        <w:rPr>
          <w:rStyle w:val="normaltextrun"/>
          <w:rFonts w:ascii="Arial" w:hAnsi="Arial" w:cs="Arial"/>
          <w:color w:val="000000"/>
          <w:shd w:val="clear" w:color="auto" w:fill="FFFFFF"/>
        </w:rPr>
        <w:t>helt siden 2011</w:t>
      </w:r>
      <w:r w:rsidR="00794A4E" w:rsidRPr="00B037F1">
        <w:rPr>
          <w:rStyle w:val="normaltextrun"/>
          <w:rFonts w:ascii="Arial" w:hAnsi="Arial" w:cs="Arial"/>
          <w:color w:val="000000"/>
          <w:shd w:val="clear" w:color="auto" w:fill="FFFFFF"/>
        </w:rPr>
        <w:t>, men pandemien forsterket veksten</w:t>
      </w:r>
      <w:r w:rsidR="00D042C2">
        <w:rPr>
          <w:rStyle w:val="normaltextrun"/>
          <w:rFonts w:ascii="Arial" w:hAnsi="Arial" w:cs="Arial"/>
          <w:color w:val="000000"/>
          <w:shd w:val="clear" w:color="auto" w:fill="FFFFFF"/>
        </w:rPr>
        <w:t xml:space="preserve">, spesielt </w:t>
      </w:r>
      <w:r w:rsidR="00D86D55">
        <w:rPr>
          <w:rStyle w:val="normaltextrun"/>
          <w:rFonts w:ascii="Arial" w:hAnsi="Arial" w:cs="Arial"/>
          <w:color w:val="000000"/>
          <w:shd w:val="clear" w:color="auto" w:fill="FFFFFF"/>
        </w:rPr>
        <w:t>ved</w:t>
      </w:r>
      <w:r w:rsidR="00C51886">
        <w:rPr>
          <w:rStyle w:val="normaltextrun"/>
          <w:rFonts w:ascii="Arial" w:hAnsi="Arial" w:cs="Arial"/>
          <w:color w:val="000000"/>
          <w:shd w:val="clear" w:color="auto" w:fill="FFFFFF"/>
        </w:rPr>
        <w:t xml:space="preserve"> </w:t>
      </w:r>
      <w:r w:rsidR="00D042C2">
        <w:rPr>
          <w:rStyle w:val="normaltextrun"/>
          <w:rFonts w:ascii="Arial" w:hAnsi="Arial" w:cs="Arial"/>
          <w:color w:val="000000"/>
          <w:shd w:val="clear" w:color="auto" w:fill="FFFFFF"/>
        </w:rPr>
        <w:t>de private institusjonene</w:t>
      </w:r>
      <w:r w:rsidR="00794A4E" w:rsidRPr="00B037F1">
        <w:rPr>
          <w:rStyle w:val="normaltextrun"/>
          <w:rFonts w:ascii="Arial" w:hAnsi="Arial" w:cs="Arial"/>
          <w:color w:val="000000"/>
          <w:shd w:val="clear" w:color="auto" w:fill="FFFFFF"/>
        </w:rPr>
        <w:t xml:space="preserve">. </w:t>
      </w:r>
      <w:r w:rsidR="00D6110E" w:rsidRPr="00B037F1">
        <w:rPr>
          <w:rStyle w:val="normaltextrun"/>
          <w:rFonts w:ascii="Arial" w:hAnsi="Arial" w:cs="Arial"/>
          <w:color w:val="000000"/>
          <w:shd w:val="clear" w:color="auto" w:fill="FFFFFF"/>
        </w:rPr>
        <w:t xml:space="preserve">Mens statlige institusjoner har hatt en vekst på 32 prosent </w:t>
      </w:r>
      <w:r w:rsidR="00090855">
        <w:rPr>
          <w:rStyle w:val="normaltextrun"/>
          <w:rFonts w:ascii="Arial" w:hAnsi="Arial" w:cs="Arial"/>
          <w:color w:val="000000"/>
          <w:shd w:val="clear" w:color="auto" w:fill="FFFFFF"/>
        </w:rPr>
        <w:t xml:space="preserve">uteksaminerte </w:t>
      </w:r>
      <w:r w:rsidR="00D6110E" w:rsidRPr="00B037F1">
        <w:rPr>
          <w:rStyle w:val="normaltextrun"/>
          <w:rFonts w:ascii="Arial" w:hAnsi="Arial" w:cs="Arial"/>
          <w:color w:val="000000"/>
          <w:shd w:val="clear" w:color="auto" w:fill="FFFFFF"/>
        </w:rPr>
        <w:t xml:space="preserve">i </w:t>
      </w:r>
      <w:r w:rsidR="00C43966">
        <w:rPr>
          <w:rStyle w:val="normaltextrun"/>
          <w:rFonts w:ascii="Arial" w:hAnsi="Arial" w:cs="Arial"/>
          <w:color w:val="000000"/>
          <w:shd w:val="clear" w:color="auto" w:fill="FFFFFF"/>
        </w:rPr>
        <w:t xml:space="preserve">tiårsperioden fra </w:t>
      </w:r>
      <w:r w:rsidR="00BF5146">
        <w:rPr>
          <w:rStyle w:val="normaltextrun"/>
          <w:rFonts w:ascii="Arial" w:hAnsi="Arial" w:cs="Arial"/>
          <w:color w:val="000000"/>
          <w:shd w:val="clear" w:color="auto" w:fill="FFFFFF"/>
        </w:rPr>
        <w:t>2013</w:t>
      </w:r>
      <w:r w:rsidR="00D6110E" w:rsidRPr="00B037F1">
        <w:rPr>
          <w:rStyle w:val="normaltextrun"/>
          <w:rFonts w:ascii="Arial" w:hAnsi="Arial" w:cs="Arial"/>
          <w:color w:val="000000"/>
          <w:shd w:val="clear" w:color="auto" w:fill="FFFFFF"/>
        </w:rPr>
        <w:t>, har de private institusjonene hatt en økning på 7</w:t>
      </w:r>
      <w:r w:rsidR="00D6110E">
        <w:rPr>
          <w:rStyle w:val="normaltextrun"/>
          <w:rFonts w:ascii="Arial" w:hAnsi="Arial" w:cs="Arial"/>
          <w:color w:val="000000"/>
          <w:shd w:val="clear" w:color="auto" w:fill="FFFFFF"/>
        </w:rPr>
        <w:t>7</w:t>
      </w:r>
      <w:r w:rsidR="00D6110E" w:rsidRPr="00B037F1">
        <w:rPr>
          <w:rStyle w:val="normaltextrun"/>
          <w:rFonts w:ascii="Arial" w:hAnsi="Arial" w:cs="Arial"/>
          <w:color w:val="000000"/>
          <w:shd w:val="clear" w:color="auto" w:fill="FFFFFF"/>
        </w:rPr>
        <w:t xml:space="preserve"> prosent.</w:t>
      </w:r>
      <w:r w:rsidR="00141F77">
        <w:rPr>
          <w:rStyle w:val="normaltextrun"/>
          <w:rFonts w:ascii="Arial" w:hAnsi="Arial" w:cs="Arial"/>
          <w:color w:val="000000"/>
          <w:shd w:val="clear" w:color="auto" w:fill="FFFFFF"/>
        </w:rPr>
        <w:t xml:space="preserve"> </w:t>
      </w:r>
      <w:r w:rsidR="006C109A">
        <w:rPr>
          <w:rStyle w:val="normaltextrun"/>
          <w:rFonts w:ascii="Arial" w:hAnsi="Arial" w:cs="Arial"/>
          <w:color w:val="000000"/>
          <w:shd w:val="clear" w:color="auto" w:fill="FFFFFF"/>
        </w:rPr>
        <w:t xml:space="preserve">For de </w:t>
      </w:r>
      <w:r w:rsidR="00B5654C">
        <w:rPr>
          <w:rStyle w:val="normaltextrun"/>
          <w:rFonts w:ascii="Arial" w:hAnsi="Arial" w:cs="Arial"/>
          <w:color w:val="000000"/>
          <w:shd w:val="clear" w:color="auto" w:fill="FFFFFF"/>
        </w:rPr>
        <w:t xml:space="preserve">fleste </w:t>
      </w:r>
      <w:r w:rsidR="006C109A">
        <w:rPr>
          <w:rStyle w:val="normaltextrun"/>
          <w:rFonts w:ascii="Arial" w:hAnsi="Arial" w:cs="Arial"/>
          <w:color w:val="000000"/>
          <w:shd w:val="clear" w:color="auto" w:fill="FFFFFF"/>
        </w:rPr>
        <w:t>private institusjonene handler det om</w:t>
      </w:r>
      <w:r w:rsidR="00075C64">
        <w:rPr>
          <w:rStyle w:val="normaltextrun"/>
          <w:rFonts w:ascii="Arial" w:hAnsi="Arial" w:cs="Arial"/>
          <w:color w:val="000000"/>
          <w:shd w:val="clear" w:color="auto" w:fill="FFFFFF"/>
        </w:rPr>
        <w:t xml:space="preserve"> relativt</w:t>
      </w:r>
      <w:r w:rsidR="006C109A">
        <w:rPr>
          <w:rStyle w:val="normaltextrun"/>
          <w:rFonts w:ascii="Arial" w:hAnsi="Arial" w:cs="Arial"/>
          <w:color w:val="000000"/>
          <w:shd w:val="clear" w:color="auto" w:fill="FFFFFF"/>
        </w:rPr>
        <w:t xml:space="preserve"> små </w:t>
      </w:r>
      <w:r w:rsidR="004F6E92">
        <w:rPr>
          <w:rStyle w:val="normaltextrun"/>
          <w:rFonts w:ascii="Arial" w:hAnsi="Arial" w:cs="Arial"/>
          <w:color w:val="000000"/>
          <w:shd w:val="clear" w:color="auto" w:fill="FFFFFF"/>
        </w:rPr>
        <w:t xml:space="preserve">absolutte </w:t>
      </w:r>
      <w:r w:rsidR="006C109A">
        <w:rPr>
          <w:rStyle w:val="normaltextrun"/>
          <w:rFonts w:ascii="Arial" w:hAnsi="Arial" w:cs="Arial"/>
          <w:color w:val="000000"/>
          <w:shd w:val="clear" w:color="auto" w:fill="FFFFFF"/>
        </w:rPr>
        <w:t>tall, men</w:t>
      </w:r>
      <w:r w:rsidR="000E33F5">
        <w:rPr>
          <w:rStyle w:val="normaltextrun"/>
          <w:rFonts w:ascii="Arial" w:hAnsi="Arial" w:cs="Arial"/>
          <w:color w:val="000000"/>
          <w:shd w:val="clear" w:color="auto" w:fill="FFFFFF"/>
        </w:rPr>
        <w:t xml:space="preserve"> </w:t>
      </w:r>
      <w:r w:rsidR="006C109A" w:rsidDel="00D27C1D">
        <w:rPr>
          <w:rStyle w:val="normaltextrun"/>
          <w:rFonts w:ascii="Arial" w:hAnsi="Arial" w:cs="Arial"/>
          <w:color w:val="000000"/>
          <w:shd w:val="clear" w:color="auto" w:fill="FFFFFF"/>
        </w:rPr>
        <w:t xml:space="preserve">noen </w:t>
      </w:r>
      <w:r w:rsidR="006C109A">
        <w:rPr>
          <w:rStyle w:val="normaltextrun"/>
          <w:rFonts w:ascii="Arial" w:hAnsi="Arial" w:cs="Arial"/>
          <w:color w:val="000000"/>
          <w:shd w:val="clear" w:color="auto" w:fill="FFFFFF"/>
        </w:rPr>
        <w:t>institusjoner</w:t>
      </w:r>
      <w:r w:rsidR="006C109A" w:rsidDel="00D27C1D">
        <w:rPr>
          <w:rStyle w:val="normaltextrun"/>
          <w:rFonts w:ascii="Arial" w:hAnsi="Arial" w:cs="Arial"/>
          <w:color w:val="000000"/>
          <w:shd w:val="clear" w:color="auto" w:fill="FFFFFF"/>
        </w:rPr>
        <w:t xml:space="preserve"> som</w:t>
      </w:r>
      <w:r w:rsidR="006C109A">
        <w:rPr>
          <w:rStyle w:val="normaltextrun"/>
          <w:rFonts w:ascii="Arial" w:hAnsi="Arial" w:cs="Arial"/>
          <w:color w:val="000000"/>
          <w:shd w:val="clear" w:color="auto" w:fill="FFFFFF"/>
        </w:rPr>
        <w:t xml:space="preserve"> BI og HK </w:t>
      </w:r>
      <w:r w:rsidR="00FE2010">
        <w:rPr>
          <w:rStyle w:val="normaltextrun"/>
          <w:rFonts w:ascii="Arial" w:hAnsi="Arial" w:cs="Arial"/>
          <w:color w:val="000000"/>
          <w:shd w:val="clear" w:color="auto" w:fill="FFFFFF"/>
        </w:rPr>
        <w:t xml:space="preserve">har </w:t>
      </w:r>
      <w:r w:rsidR="00C306FC">
        <w:rPr>
          <w:rStyle w:val="normaltextrun"/>
          <w:rFonts w:ascii="Arial" w:hAnsi="Arial" w:cs="Arial"/>
          <w:color w:val="000000"/>
          <w:shd w:val="clear" w:color="auto" w:fill="FFFFFF"/>
        </w:rPr>
        <w:t xml:space="preserve">hatt </w:t>
      </w:r>
      <w:r w:rsidR="00AC36C4">
        <w:rPr>
          <w:rStyle w:val="normaltextrun"/>
          <w:rFonts w:ascii="Arial" w:hAnsi="Arial" w:cs="Arial"/>
          <w:color w:val="000000"/>
          <w:shd w:val="clear" w:color="auto" w:fill="FFFFFF"/>
        </w:rPr>
        <w:t xml:space="preserve">store </w:t>
      </w:r>
      <w:r w:rsidR="00FE2010">
        <w:rPr>
          <w:rStyle w:val="normaltextrun"/>
          <w:rFonts w:ascii="Arial" w:hAnsi="Arial" w:cs="Arial"/>
          <w:color w:val="000000"/>
          <w:shd w:val="clear" w:color="auto" w:fill="FFFFFF"/>
        </w:rPr>
        <w:t>økning</w:t>
      </w:r>
      <w:r w:rsidR="00FE2010" w:rsidDel="000E33F5">
        <w:rPr>
          <w:rStyle w:val="normaltextrun"/>
          <w:rFonts w:ascii="Arial" w:hAnsi="Arial" w:cs="Arial"/>
          <w:color w:val="000000"/>
          <w:shd w:val="clear" w:color="auto" w:fill="FFFFFF"/>
        </w:rPr>
        <w:t>er</w:t>
      </w:r>
      <w:r w:rsidR="00FE2010">
        <w:rPr>
          <w:rStyle w:val="normaltextrun"/>
          <w:rFonts w:ascii="Arial" w:hAnsi="Arial" w:cs="Arial"/>
          <w:color w:val="000000"/>
          <w:shd w:val="clear" w:color="auto" w:fill="FFFFFF"/>
        </w:rPr>
        <w:t xml:space="preserve"> </w:t>
      </w:r>
      <w:r w:rsidR="00AC36C4">
        <w:rPr>
          <w:rStyle w:val="normaltextrun"/>
          <w:rFonts w:ascii="Arial" w:hAnsi="Arial" w:cs="Arial"/>
          <w:color w:val="000000"/>
          <w:shd w:val="clear" w:color="auto" w:fill="FFFFFF"/>
        </w:rPr>
        <w:t xml:space="preserve">også i absolutte tall </w:t>
      </w:r>
      <w:r w:rsidR="00FE2010">
        <w:rPr>
          <w:rStyle w:val="normaltextrun"/>
          <w:rFonts w:ascii="Arial" w:hAnsi="Arial" w:cs="Arial"/>
          <w:color w:val="000000"/>
          <w:shd w:val="clear" w:color="auto" w:fill="FFFFFF"/>
        </w:rPr>
        <w:t>under pandemien.</w:t>
      </w:r>
    </w:p>
    <w:p w14:paraId="56291398" w14:textId="1B769E69" w:rsidR="00DA589A" w:rsidRDefault="00E152D4" w:rsidP="00DA589A">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fldChar w:fldCharType="begin"/>
      </w:r>
      <w:r>
        <w:rPr>
          <w:rStyle w:val="normaltextrun"/>
          <w:rFonts w:ascii="Arial" w:hAnsi="Arial" w:cs="Arial"/>
          <w:color w:val="000000"/>
          <w:shd w:val="clear" w:color="auto" w:fill="FFFFFF"/>
        </w:rPr>
        <w:instrText xml:space="preserve"> REF _Ref134714871 \h </w:instrText>
      </w:r>
      <w:r>
        <w:rPr>
          <w:rStyle w:val="normaltextrun"/>
          <w:rFonts w:ascii="Arial" w:hAnsi="Arial" w:cs="Arial"/>
          <w:color w:val="000000"/>
          <w:shd w:val="clear" w:color="auto" w:fill="FFFFFF"/>
        </w:rPr>
      </w:r>
      <w:r>
        <w:rPr>
          <w:rStyle w:val="normaltextrun"/>
          <w:rFonts w:ascii="Arial" w:hAnsi="Arial" w:cs="Arial"/>
          <w:color w:val="000000"/>
          <w:shd w:val="clear" w:color="auto" w:fill="FFFFFF"/>
        </w:rPr>
        <w:fldChar w:fldCharType="separate"/>
      </w:r>
      <w:r w:rsidR="00F262EF">
        <w:t xml:space="preserve">Figur </w:t>
      </w:r>
      <w:r w:rsidR="00F262EF">
        <w:rPr>
          <w:noProof/>
        </w:rPr>
        <w:t>2</w:t>
      </w:r>
      <w:r w:rsidR="00F262EF">
        <w:t>.</w:t>
      </w:r>
      <w:r w:rsidR="00F262EF">
        <w:rPr>
          <w:noProof/>
        </w:rPr>
        <w:t>6</w:t>
      </w:r>
      <w:r>
        <w:rPr>
          <w:rStyle w:val="normaltextrun"/>
          <w:rFonts w:ascii="Arial" w:hAnsi="Arial" w:cs="Arial"/>
          <w:color w:val="000000"/>
          <w:shd w:val="clear" w:color="auto" w:fill="FFFFFF"/>
        </w:rPr>
        <w:fldChar w:fldCharType="end"/>
      </w:r>
      <w:r w:rsidR="00626595">
        <w:rPr>
          <w:rStyle w:val="normaltextrun"/>
          <w:rFonts w:ascii="Arial" w:hAnsi="Arial" w:cs="Arial"/>
          <w:color w:val="000000"/>
          <w:shd w:val="clear" w:color="auto" w:fill="FFFFFF"/>
        </w:rPr>
        <w:t xml:space="preserve"> </w:t>
      </w:r>
      <w:r w:rsidR="00DA589A" w:rsidRPr="00B037F1">
        <w:rPr>
          <w:rStyle w:val="normaltextrun"/>
          <w:rFonts w:ascii="Arial" w:hAnsi="Arial" w:cs="Arial"/>
          <w:color w:val="000000"/>
          <w:shd w:val="clear" w:color="auto" w:fill="FFFFFF"/>
        </w:rPr>
        <w:t>viser uteksaminerte per fagområder i perioden 201</w:t>
      </w:r>
      <w:r w:rsidR="00DA589A">
        <w:rPr>
          <w:rStyle w:val="normaltextrun"/>
          <w:rFonts w:ascii="Arial" w:hAnsi="Arial" w:cs="Arial"/>
          <w:color w:val="000000"/>
          <w:shd w:val="clear" w:color="auto" w:fill="FFFFFF"/>
        </w:rPr>
        <w:t>3</w:t>
      </w:r>
      <w:r w:rsidR="003E2BB9">
        <w:t>–</w:t>
      </w:r>
      <w:r w:rsidR="00DA589A" w:rsidRPr="00B037F1">
        <w:rPr>
          <w:rStyle w:val="normaltextrun"/>
          <w:rFonts w:ascii="Arial" w:hAnsi="Arial" w:cs="Arial"/>
          <w:color w:val="000000"/>
          <w:shd w:val="clear" w:color="auto" w:fill="FFFFFF"/>
        </w:rPr>
        <w:t>202</w:t>
      </w:r>
      <w:r w:rsidR="00DA589A">
        <w:rPr>
          <w:rStyle w:val="normaltextrun"/>
          <w:rFonts w:ascii="Arial" w:hAnsi="Arial" w:cs="Arial"/>
          <w:color w:val="000000"/>
          <w:shd w:val="clear" w:color="auto" w:fill="FFFFFF"/>
        </w:rPr>
        <w:t>2</w:t>
      </w:r>
      <w:r w:rsidR="00DA589A" w:rsidRPr="00B037F1">
        <w:rPr>
          <w:rStyle w:val="normaltextrun"/>
          <w:rFonts w:ascii="Arial" w:hAnsi="Arial" w:cs="Arial"/>
          <w:color w:val="000000"/>
          <w:shd w:val="clear" w:color="auto" w:fill="FFFFFF"/>
        </w:rPr>
        <w:t>.</w:t>
      </w:r>
      <w:r w:rsidR="00DA589A">
        <w:rPr>
          <w:rStyle w:val="normaltextrun"/>
          <w:rFonts w:ascii="Arial" w:hAnsi="Arial" w:cs="Arial"/>
          <w:color w:val="000000"/>
          <w:shd w:val="clear" w:color="auto" w:fill="FFFFFF"/>
        </w:rPr>
        <w:t xml:space="preserve"> </w:t>
      </w:r>
      <w:r w:rsidR="00DA589A" w:rsidRPr="00B037F1">
        <w:rPr>
          <w:rStyle w:val="normaltextrun"/>
          <w:rFonts w:ascii="Arial" w:hAnsi="Arial" w:cs="Arial"/>
          <w:color w:val="000000"/>
          <w:shd w:val="clear" w:color="auto" w:fill="FFFFFF"/>
        </w:rPr>
        <w:t>Helse- og sosialfag er den klart største kategorien og har jevn vekst i hele perioden</w:t>
      </w:r>
      <w:r w:rsidR="00DA589A">
        <w:rPr>
          <w:rStyle w:val="normaltextrun"/>
          <w:rFonts w:ascii="Arial" w:hAnsi="Arial" w:cs="Arial"/>
          <w:color w:val="000000"/>
          <w:shd w:val="clear" w:color="auto" w:fill="FFFFFF"/>
        </w:rPr>
        <w:t>, men med litt større økning fra 2021 til 2022</w:t>
      </w:r>
      <w:r w:rsidR="00DA589A" w:rsidRPr="00B037F1">
        <w:rPr>
          <w:rStyle w:val="normaltextrun"/>
          <w:rFonts w:ascii="Arial" w:hAnsi="Arial" w:cs="Arial"/>
          <w:color w:val="000000"/>
          <w:shd w:val="clear" w:color="auto" w:fill="FFFFFF"/>
        </w:rPr>
        <w:t>. Deretter følger</w:t>
      </w:r>
      <w:r w:rsidR="00DA589A">
        <w:rPr>
          <w:rStyle w:val="normaltextrun"/>
          <w:rFonts w:ascii="Arial" w:hAnsi="Arial" w:cs="Arial"/>
          <w:color w:val="000000"/>
          <w:shd w:val="clear" w:color="auto" w:fill="FFFFFF"/>
        </w:rPr>
        <w:t xml:space="preserve"> økonomiske og administrative fag som sammen med naturvitenskapelige og tekniske fag har byttet på å være fagområdet med nest flest uteksaminerte de siste ti årene. De to fagområdene er fortsatt jevnstore. For første gang på minst ti år går antall uteksaminerte innen naturvitenskapelige og tekniske fag noe ned. Lærerutdanningene har igjen en økning det siste året, og nærmer seg toppåret 2020. Dette skjer etter en markert og forventet nedgang </w:t>
      </w:r>
      <w:r w:rsidR="00DA589A" w:rsidRPr="00AA153C">
        <w:rPr>
          <w:rStyle w:val="normaltextrun"/>
          <w:rFonts w:ascii="Arial" w:hAnsi="Arial" w:cs="Arial"/>
          <w:color w:val="000000"/>
          <w:shd w:val="clear" w:color="auto" w:fill="FFFFFF"/>
        </w:rPr>
        <w:t>i forbindelse med overgangen fra fireårig til femårig grunnskolelærerutdanning</w:t>
      </w:r>
      <w:r w:rsidR="00DA589A" w:rsidRPr="00AA153C" w:rsidDel="001315A7">
        <w:rPr>
          <w:rStyle w:val="normaltextrun"/>
          <w:rFonts w:ascii="Arial" w:hAnsi="Arial" w:cs="Arial"/>
          <w:color w:val="000000"/>
          <w:shd w:val="clear" w:color="auto" w:fill="FFFFFF"/>
        </w:rPr>
        <w:t xml:space="preserve"> </w:t>
      </w:r>
      <w:r w:rsidR="00DA589A">
        <w:rPr>
          <w:rStyle w:val="normaltextrun"/>
          <w:rFonts w:ascii="Arial" w:hAnsi="Arial" w:cs="Arial"/>
          <w:color w:val="000000"/>
          <w:shd w:val="clear" w:color="auto" w:fill="FFFFFF"/>
        </w:rPr>
        <w:t>i 2021.</w:t>
      </w:r>
      <w:r w:rsidR="00DA589A" w:rsidRPr="004152B7">
        <w:t xml:space="preserve"> </w:t>
      </w:r>
      <w:r w:rsidR="00DA589A">
        <w:t xml:space="preserve">Statistikken for lærerutdanning omtales nærmere i kapittel 2.9, som omhandler </w:t>
      </w:r>
      <w:r w:rsidR="00DA589A">
        <w:rPr>
          <w:rStyle w:val="normaltextrun"/>
          <w:rFonts w:ascii="Arial" w:hAnsi="Arial" w:cs="Arial"/>
          <w:color w:val="000000"/>
          <w:shd w:val="clear" w:color="auto" w:fill="FFFFFF"/>
        </w:rPr>
        <w:t>o</w:t>
      </w:r>
      <w:r w:rsidR="00DA589A" w:rsidRPr="004152B7">
        <w:rPr>
          <w:rStyle w:val="normaltextrun"/>
          <w:rFonts w:ascii="Arial" w:hAnsi="Arial" w:cs="Arial"/>
          <w:color w:val="000000"/>
          <w:shd w:val="clear" w:color="auto" w:fill="FFFFFF"/>
        </w:rPr>
        <w:t>ppfyllelse måltall på helsefag- og lærerutdanningene</w:t>
      </w:r>
      <w:r w:rsidR="00DA589A">
        <w:rPr>
          <w:rStyle w:val="normaltextrun"/>
          <w:rFonts w:ascii="Arial" w:hAnsi="Arial" w:cs="Arial"/>
          <w:color w:val="000000"/>
          <w:shd w:val="clear" w:color="auto" w:fill="FFFFFF"/>
        </w:rPr>
        <w:t>.</w:t>
      </w:r>
    </w:p>
    <w:p w14:paraId="5AC3CD34" w14:textId="00F9F9A8" w:rsidR="00C86FFE" w:rsidRDefault="00C86FFE" w:rsidP="00C86FFE">
      <w:pPr>
        <w:pStyle w:val="Bildetekst"/>
        <w:keepNext/>
      </w:pPr>
      <w:bookmarkStart w:id="51" w:name="_Ref134714871"/>
      <w:bookmarkStart w:id="52" w:name="_Toc134792767"/>
      <w:r>
        <w:t xml:space="preserve">Figur </w:t>
      </w:r>
      <w:r>
        <w:fldChar w:fldCharType="begin"/>
      </w:r>
      <w:r>
        <w:instrText>STYLEREF 1 \s</w:instrText>
      </w:r>
      <w:r>
        <w:fldChar w:fldCharType="separate"/>
      </w:r>
      <w:r w:rsidR="00F262EF">
        <w:rPr>
          <w:noProof/>
        </w:rPr>
        <w:t>2</w:t>
      </w:r>
      <w:r>
        <w:fldChar w:fldCharType="end"/>
      </w:r>
      <w:r>
        <w:t>.</w:t>
      </w:r>
      <w:r>
        <w:fldChar w:fldCharType="begin"/>
      </w:r>
      <w:r>
        <w:instrText>SEQ Figur \* ARABIC \s 1</w:instrText>
      </w:r>
      <w:r>
        <w:fldChar w:fldCharType="separate"/>
      </w:r>
      <w:r w:rsidR="00F262EF">
        <w:rPr>
          <w:noProof/>
        </w:rPr>
        <w:t>6</w:t>
      </w:r>
      <w:r>
        <w:fldChar w:fldCharType="end"/>
      </w:r>
      <w:bookmarkEnd w:id="51"/>
      <w:r>
        <w:t xml:space="preserve"> </w:t>
      </w:r>
      <w:r w:rsidRPr="008211AD">
        <w:t>Utviklingen i uteksaminerte per fagområder 2013</w:t>
      </w:r>
      <w:r w:rsidR="003E2BB9">
        <w:t>–</w:t>
      </w:r>
      <w:r w:rsidRPr="008211AD">
        <w:t>2022. Antall</w:t>
      </w:r>
      <w:bookmarkEnd w:id="52"/>
    </w:p>
    <w:p w14:paraId="24A43675" w14:textId="7A95BA3F" w:rsidR="00C86FFE" w:rsidRDefault="005A42DC" w:rsidP="00C86FFE">
      <w:pPr>
        <w:keepNext/>
        <w:keepLines/>
      </w:pPr>
      <w:r>
        <w:rPr>
          <w:noProof/>
        </w:rPr>
        <w:drawing>
          <wp:inline distT="0" distB="0" distL="0" distR="0" wp14:anchorId="5D16F261" wp14:editId="667B56AC">
            <wp:extent cx="5571151" cy="3245485"/>
            <wp:effectExtent l="0" t="0" r="10795" b="12065"/>
            <wp:docPr id="17" name="Diagram 1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C9F5ED" w14:textId="77777777" w:rsidR="00C86FFE" w:rsidRPr="00566E53" w:rsidRDefault="00C86FFE" w:rsidP="000648BE">
      <w:pPr>
        <w:pStyle w:val="Merknad"/>
        <w:rPr>
          <w:lang w:eastAsia="nb-NO"/>
        </w:rPr>
      </w:pPr>
      <w:r w:rsidRPr="00566E53">
        <w:rPr>
          <w:lang w:eastAsia="nb-NO"/>
        </w:rPr>
        <w:t>De minste fagområdene (Samferdsels- og sikkerhetsfag og andre servicefag, Primærnæringsfag) er ikke inkludert i figuren.</w:t>
      </w:r>
    </w:p>
    <w:p w14:paraId="40EC739E" w14:textId="77777777" w:rsidR="00C86FFE" w:rsidRPr="00E32D9E" w:rsidRDefault="00C86FFE" w:rsidP="000648BE">
      <w:pPr>
        <w:pStyle w:val="Kilde"/>
        <w:rPr>
          <w:lang w:eastAsia="nb-NO"/>
        </w:rPr>
      </w:pPr>
      <w:r w:rsidRPr="00E32D9E">
        <w:rPr>
          <w:lang w:eastAsia="nb-NO"/>
        </w:rPr>
        <w:t xml:space="preserve">Kilde: </w:t>
      </w:r>
      <w:proofErr w:type="spellStart"/>
      <w:r w:rsidRPr="00E32D9E">
        <w:rPr>
          <w:lang w:eastAsia="nb-NO"/>
        </w:rPr>
        <w:t>DBH</w:t>
      </w:r>
      <w:proofErr w:type="spellEnd"/>
    </w:p>
    <w:p w14:paraId="4A1C4B2A" w14:textId="77777777" w:rsidR="00C86FFE" w:rsidRDefault="00C86FFE" w:rsidP="00C86FFE">
      <w:pPr>
        <w:rPr>
          <w:rFonts w:asciiTheme="majorHAnsi" w:eastAsiaTheme="majorEastAsia" w:hAnsiTheme="majorHAnsi" w:cstheme="majorBidi"/>
          <w:b/>
          <w:color w:val="362683"/>
          <w:sz w:val="24"/>
          <w:szCs w:val="26"/>
        </w:rPr>
      </w:pPr>
      <w:r>
        <w:br w:type="page"/>
      </w:r>
    </w:p>
    <w:p w14:paraId="730DB635" w14:textId="1E925F8F" w:rsidR="00BF2328" w:rsidRDefault="00BD6498">
      <w:pPr>
        <w:rPr>
          <w:rStyle w:val="normaltextrun"/>
          <w:rFonts w:ascii="Arial" w:hAnsi="Arial" w:cs="Arial"/>
          <w:color w:val="000000"/>
          <w:shd w:val="clear" w:color="auto" w:fill="FFFFFF"/>
        </w:rPr>
      </w:pPr>
      <w:proofErr w:type="spellStart"/>
      <w:r>
        <w:rPr>
          <w:rStyle w:val="normaltextrun"/>
          <w:rFonts w:ascii="Arial" w:hAnsi="Arial" w:cs="Arial"/>
          <w:color w:val="000000"/>
          <w:shd w:val="clear" w:color="auto" w:fill="FFFFFF"/>
        </w:rPr>
        <w:lastRenderedPageBreak/>
        <w:t>Vedleggstabell</w:t>
      </w:r>
      <w:proofErr w:type="spellEnd"/>
      <w:r>
        <w:rPr>
          <w:rStyle w:val="normaltextrun"/>
          <w:rFonts w:ascii="Arial" w:hAnsi="Arial" w:cs="Arial"/>
          <w:color w:val="000000"/>
          <w:shd w:val="clear" w:color="auto" w:fill="FFFFFF"/>
        </w:rPr>
        <w:t xml:space="preserve"> </w:t>
      </w:r>
      <w:hyperlink r:id="rId36" w:history="1">
        <w:r w:rsidRPr="00883923">
          <w:rPr>
            <w:rStyle w:val="Hyperkobling"/>
            <w:rFonts w:ascii="Arial" w:hAnsi="Arial" w:cs="Arial"/>
            <w:shd w:val="clear" w:color="auto" w:fill="FFFFFF"/>
          </w:rPr>
          <w:t>V2.24</w:t>
        </w:r>
      </w:hyperlink>
      <w:r w:rsidR="007B6423">
        <w:rPr>
          <w:rStyle w:val="normaltextrun"/>
          <w:color w:val="000000"/>
          <w:shd w:val="clear" w:color="auto" w:fill="FFFFFF"/>
        </w:rPr>
        <w:t xml:space="preserve"> </w:t>
      </w:r>
      <w:r w:rsidR="003629E3" w:rsidRPr="00B037F1">
        <w:rPr>
          <w:rStyle w:val="normaltextrun"/>
          <w:rFonts w:ascii="Arial" w:hAnsi="Arial" w:cs="Arial"/>
          <w:color w:val="000000"/>
          <w:shd w:val="clear" w:color="auto" w:fill="FFFFFF"/>
        </w:rPr>
        <w:t>viser fordelingen av uteksaminerte på ulike studienivå</w:t>
      </w:r>
      <w:r w:rsidR="00250AB6">
        <w:rPr>
          <w:rStyle w:val="normaltextrun"/>
          <w:rFonts w:ascii="Arial" w:hAnsi="Arial" w:cs="Arial"/>
          <w:color w:val="000000"/>
          <w:shd w:val="clear" w:color="auto" w:fill="FFFFFF"/>
        </w:rPr>
        <w:t xml:space="preserve"> de</w:t>
      </w:r>
      <w:r w:rsidR="00F17F14">
        <w:rPr>
          <w:rStyle w:val="normaltextrun"/>
          <w:rFonts w:ascii="Arial" w:hAnsi="Arial" w:cs="Arial"/>
          <w:color w:val="000000"/>
          <w:shd w:val="clear" w:color="auto" w:fill="FFFFFF"/>
        </w:rPr>
        <w:t xml:space="preserve"> siste </w:t>
      </w:r>
      <w:r w:rsidR="00250AB6">
        <w:rPr>
          <w:rStyle w:val="normaltextrun"/>
          <w:rFonts w:ascii="Arial" w:hAnsi="Arial" w:cs="Arial"/>
          <w:color w:val="000000"/>
          <w:shd w:val="clear" w:color="auto" w:fill="FFFFFF"/>
        </w:rPr>
        <w:t>ti årene</w:t>
      </w:r>
      <w:r w:rsidR="003629E3" w:rsidRPr="00B037F1">
        <w:rPr>
          <w:rStyle w:val="normaltextrun"/>
          <w:rFonts w:ascii="Arial" w:hAnsi="Arial" w:cs="Arial"/>
          <w:color w:val="000000"/>
          <w:shd w:val="clear" w:color="auto" w:fill="FFFFFF"/>
        </w:rPr>
        <w:t xml:space="preserve">. </w:t>
      </w:r>
      <w:r w:rsidR="00AD3656">
        <w:rPr>
          <w:rStyle w:val="normaltextrun"/>
          <w:rFonts w:ascii="Arial" w:hAnsi="Arial" w:cs="Arial"/>
          <w:color w:val="000000"/>
          <w:shd w:val="clear" w:color="auto" w:fill="FFFFFF"/>
        </w:rPr>
        <w:t xml:space="preserve">Mens antallet på lavere grad </w:t>
      </w:r>
      <w:r w:rsidR="004D712F">
        <w:rPr>
          <w:rStyle w:val="normaltextrun"/>
          <w:rFonts w:ascii="Arial" w:hAnsi="Arial" w:cs="Arial"/>
          <w:color w:val="000000"/>
          <w:shd w:val="clear" w:color="auto" w:fill="FFFFFF"/>
        </w:rPr>
        <w:t xml:space="preserve">er </w:t>
      </w:r>
      <w:r w:rsidR="00AD3656">
        <w:rPr>
          <w:rStyle w:val="normaltextrun"/>
          <w:rFonts w:ascii="Arial" w:hAnsi="Arial" w:cs="Arial"/>
          <w:color w:val="000000"/>
          <w:shd w:val="clear" w:color="auto" w:fill="FFFFFF"/>
        </w:rPr>
        <w:t>så å si uforandret</w:t>
      </w:r>
      <w:r w:rsidR="00C4258A">
        <w:rPr>
          <w:rStyle w:val="normaltextrun"/>
          <w:rFonts w:ascii="Arial" w:hAnsi="Arial" w:cs="Arial"/>
          <w:color w:val="000000"/>
          <w:shd w:val="clear" w:color="auto" w:fill="FFFFFF"/>
        </w:rPr>
        <w:t xml:space="preserve"> </w:t>
      </w:r>
      <w:r w:rsidR="00E57DA4">
        <w:rPr>
          <w:rStyle w:val="normaltextrun"/>
          <w:rFonts w:ascii="Arial" w:hAnsi="Arial" w:cs="Arial"/>
          <w:color w:val="000000"/>
          <w:shd w:val="clear" w:color="auto" w:fill="FFFFFF"/>
        </w:rPr>
        <w:t>i 2022 sammenlignet med</w:t>
      </w:r>
      <w:r w:rsidR="00C4258A">
        <w:rPr>
          <w:rStyle w:val="normaltextrun"/>
          <w:rFonts w:ascii="Arial" w:hAnsi="Arial" w:cs="Arial"/>
          <w:color w:val="000000"/>
          <w:shd w:val="clear" w:color="auto" w:fill="FFFFFF"/>
        </w:rPr>
        <w:t xml:space="preserve"> forrige år</w:t>
      </w:r>
      <w:r w:rsidR="00AD3656">
        <w:rPr>
          <w:rStyle w:val="normaltextrun"/>
          <w:rFonts w:ascii="Arial" w:hAnsi="Arial" w:cs="Arial"/>
          <w:color w:val="000000"/>
          <w:shd w:val="clear" w:color="auto" w:fill="FFFFFF"/>
        </w:rPr>
        <w:t xml:space="preserve">, </w:t>
      </w:r>
      <w:r w:rsidR="004D712F">
        <w:rPr>
          <w:rStyle w:val="normaltextrun"/>
          <w:rFonts w:ascii="Arial" w:hAnsi="Arial" w:cs="Arial"/>
          <w:color w:val="000000"/>
          <w:shd w:val="clear" w:color="auto" w:fill="FFFFFF"/>
        </w:rPr>
        <w:t xml:space="preserve">er </w:t>
      </w:r>
      <w:r w:rsidR="00AD3656">
        <w:rPr>
          <w:rStyle w:val="normaltextrun"/>
          <w:rFonts w:ascii="Arial" w:hAnsi="Arial" w:cs="Arial"/>
          <w:color w:val="000000"/>
          <w:shd w:val="clear" w:color="auto" w:fill="FFFFFF"/>
        </w:rPr>
        <w:t xml:space="preserve">det </w:t>
      </w:r>
      <w:r w:rsidR="004D712F">
        <w:rPr>
          <w:rStyle w:val="normaltextrun"/>
          <w:rFonts w:ascii="Arial" w:hAnsi="Arial" w:cs="Arial"/>
          <w:color w:val="000000"/>
          <w:shd w:val="clear" w:color="auto" w:fill="FFFFFF"/>
        </w:rPr>
        <w:t>en økning</w:t>
      </w:r>
      <w:r w:rsidR="00D37F1D">
        <w:rPr>
          <w:rStyle w:val="normaltextrun"/>
          <w:rFonts w:ascii="Arial" w:hAnsi="Arial" w:cs="Arial"/>
          <w:color w:val="000000"/>
          <w:shd w:val="clear" w:color="auto" w:fill="FFFFFF"/>
        </w:rPr>
        <w:t xml:space="preserve"> i </w:t>
      </w:r>
      <w:r w:rsidR="00594FE7">
        <w:rPr>
          <w:rStyle w:val="normaltextrun"/>
          <w:rFonts w:ascii="Arial" w:hAnsi="Arial" w:cs="Arial"/>
          <w:color w:val="000000"/>
          <w:shd w:val="clear" w:color="auto" w:fill="FFFFFF"/>
        </w:rPr>
        <w:t xml:space="preserve">antall uteksaminerte </w:t>
      </w:r>
      <w:r w:rsidR="00867D97">
        <w:rPr>
          <w:rStyle w:val="normaltextrun"/>
          <w:rFonts w:ascii="Arial" w:hAnsi="Arial" w:cs="Arial"/>
          <w:color w:val="000000"/>
          <w:shd w:val="clear" w:color="auto" w:fill="FFFFFF"/>
        </w:rPr>
        <w:t>på</w:t>
      </w:r>
      <w:r w:rsidR="00594FE7">
        <w:rPr>
          <w:rStyle w:val="normaltextrun"/>
          <w:rFonts w:ascii="Arial" w:hAnsi="Arial" w:cs="Arial"/>
          <w:color w:val="000000"/>
          <w:shd w:val="clear" w:color="auto" w:fill="FFFFFF"/>
        </w:rPr>
        <w:t xml:space="preserve"> høyere grad </w:t>
      </w:r>
      <w:r w:rsidR="00CE19D5">
        <w:rPr>
          <w:rStyle w:val="normaltextrun"/>
          <w:rFonts w:ascii="Arial" w:hAnsi="Arial" w:cs="Arial"/>
          <w:color w:val="000000"/>
          <w:shd w:val="clear" w:color="auto" w:fill="FFFFFF"/>
        </w:rPr>
        <w:t>på 7 prosent</w:t>
      </w:r>
      <w:r w:rsidR="0000430F">
        <w:rPr>
          <w:rStyle w:val="normaltextrun"/>
          <w:rFonts w:ascii="Arial" w:hAnsi="Arial" w:cs="Arial"/>
          <w:color w:val="000000"/>
          <w:shd w:val="clear" w:color="auto" w:fill="FFFFFF"/>
        </w:rPr>
        <w:t xml:space="preserve">. Den største endringen </w:t>
      </w:r>
      <w:r w:rsidR="00A67878">
        <w:rPr>
          <w:rStyle w:val="normaltextrun"/>
          <w:rFonts w:ascii="Arial" w:hAnsi="Arial" w:cs="Arial"/>
          <w:color w:val="000000"/>
          <w:shd w:val="clear" w:color="auto" w:fill="FFFFFF"/>
        </w:rPr>
        <w:t>i 2022 ser vi</w:t>
      </w:r>
      <w:r w:rsidR="00C4258A">
        <w:rPr>
          <w:rStyle w:val="normaltextrun"/>
          <w:rFonts w:ascii="Arial" w:hAnsi="Arial" w:cs="Arial"/>
          <w:color w:val="000000"/>
          <w:shd w:val="clear" w:color="auto" w:fill="FFFFFF"/>
        </w:rPr>
        <w:t xml:space="preserve"> innen</w:t>
      </w:r>
      <w:r w:rsidR="00D818D0">
        <w:rPr>
          <w:rStyle w:val="normaltextrun"/>
          <w:rFonts w:ascii="Arial" w:hAnsi="Arial" w:cs="Arial"/>
          <w:color w:val="000000"/>
          <w:shd w:val="clear" w:color="auto" w:fill="FFFFFF"/>
        </w:rPr>
        <w:t>for integrert master/profesjon</w:t>
      </w:r>
      <w:r w:rsidR="00C4258A">
        <w:rPr>
          <w:rStyle w:val="normaltextrun"/>
          <w:rFonts w:ascii="Arial" w:hAnsi="Arial" w:cs="Arial"/>
          <w:color w:val="000000"/>
          <w:shd w:val="clear" w:color="auto" w:fill="FFFFFF"/>
        </w:rPr>
        <w:t>,</w:t>
      </w:r>
      <w:r w:rsidR="00CE19D5">
        <w:rPr>
          <w:rStyle w:val="normaltextrun"/>
          <w:rFonts w:ascii="Arial" w:hAnsi="Arial" w:cs="Arial"/>
          <w:color w:val="000000"/>
          <w:shd w:val="clear" w:color="auto" w:fill="FFFFFF"/>
        </w:rPr>
        <w:t xml:space="preserve"> </w:t>
      </w:r>
      <w:r w:rsidR="0000430F">
        <w:rPr>
          <w:rStyle w:val="normaltextrun"/>
          <w:rFonts w:ascii="Arial" w:hAnsi="Arial" w:cs="Arial"/>
          <w:color w:val="000000"/>
          <w:shd w:val="clear" w:color="auto" w:fill="FFFFFF"/>
        </w:rPr>
        <w:t>med</w:t>
      </w:r>
      <w:r w:rsidR="00CE19D5">
        <w:rPr>
          <w:rStyle w:val="normaltextrun"/>
          <w:rFonts w:ascii="Arial" w:hAnsi="Arial" w:cs="Arial"/>
          <w:color w:val="000000"/>
          <w:shd w:val="clear" w:color="auto" w:fill="FFFFFF"/>
        </w:rPr>
        <w:t xml:space="preserve"> </w:t>
      </w:r>
      <w:r w:rsidR="00C4258A">
        <w:rPr>
          <w:rStyle w:val="normaltextrun"/>
          <w:rFonts w:ascii="Arial" w:hAnsi="Arial" w:cs="Arial"/>
          <w:color w:val="000000"/>
          <w:shd w:val="clear" w:color="auto" w:fill="FFFFFF"/>
        </w:rPr>
        <w:t xml:space="preserve">en økning på </w:t>
      </w:r>
      <w:r w:rsidR="008F6902">
        <w:rPr>
          <w:rStyle w:val="normaltextrun"/>
          <w:rFonts w:ascii="Arial" w:hAnsi="Arial" w:cs="Arial"/>
          <w:color w:val="000000"/>
          <w:shd w:val="clear" w:color="auto" w:fill="FFFFFF"/>
        </w:rPr>
        <w:t>38 prosent</w:t>
      </w:r>
      <w:r w:rsidR="00D818D0">
        <w:rPr>
          <w:rStyle w:val="normaltextrun"/>
          <w:rFonts w:ascii="Arial" w:hAnsi="Arial" w:cs="Arial"/>
          <w:color w:val="000000"/>
          <w:shd w:val="clear" w:color="auto" w:fill="FFFFFF"/>
        </w:rPr>
        <w:t xml:space="preserve">. </w:t>
      </w:r>
      <w:r w:rsidR="009551D9">
        <w:rPr>
          <w:rStyle w:val="normaltextrun"/>
          <w:rFonts w:ascii="Arial" w:hAnsi="Arial" w:cs="Arial"/>
          <w:color w:val="000000"/>
          <w:shd w:val="clear" w:color="auto" w:fill="FFFFFF"/>
        </w:rPr>
        <w:t xml:space="preserve">Som omtalt i kapittel </w:t>
      </w:r>
      <w:r w:rsidR="006A3BBB">
        <w:rPr>
          <w:rStyle w:val="normaltextrun"/>
          <w:rFonts w:ascii="Arial" w:hAnsi="Arial" w:cs="Arial"/>
          <w:color w:val="000000"/>
          <w:shd w:val="clear" w:color="auto" w:fill="FFFFFF"/>
        </w:rPr>
        <w:fldChar w:fldCharType="begin"/>
      </w:r>
      <w:r w:rsidR="006A3BBB">
        <w:rPr>
          <w:rStyle w:val="normaltextrun"/>
          <w:rFonts w:ascii="Arial" w:hAnsi="Arial" w:cs="Arial"/>
          <w:color w:val="000000"/>
          <w:shd w:val="clear" w:color="auto" w:fill="FFFFFF"/>
        </w:rPr>
        <w:instrText xml:space="preserve"> REF _Ref134037033 \r \h </w:instrText>
      </w:r>
      <w:r w:rsidR="006A3BBB">
        <w:rPr>
          <w:rStyle w:val="normaltextrun"/>
          <w:rFonts w:ascii="Arial" w:hAnsi="Arial" w:cs="Arial"/>
          <w:color w:val="000000"/>
          <w:shd w:val="clear" w:color="auto" w:fill="FFFFFF"/>
        </w:rPr>
      </w:r>
      <w:r w:rsidR="006A3BBB">
        <w:rPr>
          <w:rStyle w:val="normaltextrun"/>
          <w:rFonts w:ascii="Arial" w:hAnsi="Arial" w:cs="Arial"/>
          <w:color w:val="000000"/>
          <w:shd w:val="clear" w:color="auto" w:fill="FFFFFF"/>
        </w:rPr>
        <w:fldChar w:fldCharType="separate"/>
      </w:r>
      <w:r w:rsidR="00F262EF">
        <w:rPr>
          <w:rStyle w:val="normaltextrun"/>
          <w:rFonts w:ascii="Arial" w:hAnsi="Arial" w:cs="Arial"/>
          <w:color w:val="000000"/>
          <w:shd w:val="clear" w:color="auto" w:fill="FFFFFF"/>
        </w:rPr>
        <w:t>2.5</w:t>
      </w:r>
      <w:r w:rsidR="006A3BBB">
        <w:rPr>
          <w:rStyle w:val="normaltextrun"/>
          <w:rFonts w:ascii="Arial" w:hAnsi="Arial" w:cs="Arial"/>
          <w:color w:val="000000"/>
          <w:shd w:val="clear" w:color="auto" w:fill="FFFFFF"/>
        </w:rPr>
        <w:fldChar w:fldCharType="end"/>
      </w:r>
      <w:r w:rsidR="00D818D0" w:rsidDel="002972F2">
        <w:rPr>
          <w:rStyle w:val="normaltextrun"/>
          <w:rFonts w:ascii="Arial" w:hAnsi="Arial" w:cs="Arial"/>
          <w:color w:val="000000"/>
          <w:shd w:val="clear" w:color="auto" w:fill="FFFFFF"/>
        </w:rPr>
        <w:t xml:space="preserve"> startet </w:t>
      </w:r>
      <w:r w:rsidR="006A3BBB">
        <w:rPr>
          <w:rStyle w:val="normaltextrun"/>
          <w:rFonts w:ascii="Arial" w:hAnsi="Arial" w:cs="Arial"/>
          <w:color w:val="000000"/>
          <w:shd w:val="clear" w:color="auto" w:fill="FFFFFF"/>
        </w:rPr>
        <w:t>de</w:t>
      </w:r>
      <w:r w:rsidR="00D818D0">
        <w:rPr>
          <w:rStyle w:val="normaltextrun"/>
          <w:rFonts w:ascii="Arial" w:hAnsi="Arial" w:cs="Arial"/>
          <w:color w:val="000000"/>
          <w:shd w:val="clear" w:color="auto" w:fill="FFFFFF"/>
        </w:rPr>
        <w:t xml:space="preserve"> integrerte masterprogrammene </w:t>
      </w:r>
      <w:r w:rsidR="00B4490E">
        <w:rPr>
          <w:rStyle w:val="normaltextrun"/>
          <w:rFonts w:ascii="Arial" w:hAnsi="Arial" w:cs="Arial"/>
          <w:color w:val="000000"/>
          <w:shd w:val="clear" w:color="auto" w:fill="FFFFFF"/>
        </w:rPr>
        <w:t>for grunnskoleutdanningene</w:t>
      </w:r>
      <w:r w:rsidR="002972F2">
        <w:rPr>
          <w:rStyle w:val="normaltextrun"/>
          <w:rFonts w:ascii="Arial" w:hAnsi="Arial" w:cs="Arial"/>
          <w:color w:val="000000"/>
          <w:shd w:val="clear" w:color="auto" w:fill="FFFFFF"/>
        </w:rPr>
        <w:t xml:space="preserve"> </w:t>
      </w:r>
      <w:r w:rsidR="00D818D0">
        <w:rPr>
          <w:rStyle w:val="normaltextrun"/>
          <w:rFonts w:ascii="Arial" w:hAnsi="Arial" w:cs="Arial"/>
          <w:color w:val="000000"/>
          <w:shd w:val="clear" w:color="auto" w:fill="FFFFFF"/>
        </w:rPr>
        <w:t>opp</w:t>
      </w:r>
      <w:r w:rsidR="002972F2">
        <w:rPr>
          <w:rStyle w:val="normaltextrun"/>
          <w:rFonts w:ascii="Arial" w:hAnsi="Arial" w:cs="Arial"/>
          <w:color w:val="000000"/>
          <w:shd w:val="clear" w:color="auto" w:fill="FFFFFF"/>
        </w:rPr>
        <w:t xml:space="preserve"> i 2017</w:t>
      </w:r>
      <w:r w:rsidR="00995E75">
        <w:rPr>
          <w:rStyle w:val="normaltextrun"/>
          <w:rFonts w:ascii="Arial" w:hAnsi="Arial" w:cs="Arial"/>
          <w:color w:val="000000"/>
          <w:shd w:val="clear" w:color="auto" w:fill="FFFFFF"/>
        </w:rPr>
        <w:t xml:space="preserve">, og </w:t>
      </w:r>
      <w:r w:rsidR="003A7FD8">
        <w:rPr>
          <w:rStyle w:val="normaltextrun"/>
          <w:rFonts w:ascii="Arial" w:hAnsi="Arial" w:cs="Arial"/>
          <w:color w:val="000000"/>
          <w:shd w:val="clear" w:color="auto" w:fill="FFFFFF"/>
        </w:rPr>
        <w:t>2022 var normert fullføringstid</w:t>
      </w:r>
      <w:r w:rsidR="00995E75">
        <w:rPr>
          <w:rStyle w:val="normaltextrun"/>
          <w:rFonts w:ascii="Arial" w:hAnsi="Arial" w:cs="Arial"/>
          <w:color w:val="000000"/>
          <w:shd w:val="clear" w:color="auto" w:fill="FFFFFF"/>
        </w:rPr>
        <w:t xml:space="preserve"> for </w:t>
      </w:r>
      <w:r w:rsidR="00A67878">
        <w:rPr>
          <w:rStyle w:val="normaltextrun"/>
          <w:rFonts w:ascii="Arial" w:hAnsi="Arial" w:cs="Arial"/>
          <w:color w:val="000000"/>
          <w:shd w:val="clear" w:color="auto" w:fill="FFFFFF"/>
        </w:rPr>
        <w:t>disse</w:t>
      </w:r>
      <w:r w:rsidR="00BB7699">
        <w:rPr>
          <w:rStyle w:val="normaltextrun"/>
          <w:rFonts w:ascii="Arial" w:hAnsi="Arial" w:cs="Arial"/>
          <w:color w:val="000000"/>
          <w:shd w:val="clear" w:color="auto" w:fill="FFFFFF"/>
        </w:rPr>
        <w:t xml:space="preserve">. </w:t>
      </w:r>
      <w:r w:rsidR="000E5FBF">
        <w:rPr>
          <w:rStyle w:val="normaltextrun"/>
          <w:rFonts w:ascii="Arial" w:hAnsi="Arial" w:cs="Arial"/>
          <w:color w:val="000000"/>
          <w:shd w:val="clear" w:color="auto" w:fill="FFFFFF"/>
        </w:rPr>
        <w:t xml:space="preserve">Uteksaminerte </w:t>
      </w:r>
      <w:r w:rsidR="00003A06">
        <w:rPr>
          <w:rStyle w:val="normaltextrun"/>
          <w:rFonts w:ascii="Arial" w:hAnsi="Arial" w:cs="Arial"/>
          <w:color w:val="000000"/>
          <w:shd w:val="clear" w:color="auto" w:fill="FFFFFF"/>
        </w:rPr>
        <w:t>fra</w:t>
      </w:r>
      <w:r w:rsidR="00995E75">
        <w:rPr>
          <w:rStyle w:val="normaltextrun"/>
          <w:rFonts w:ascii="Arial" w:hAnsi="Arial" w:cs="Arial"/>
          <w:color w:val="000000"/>
          <w:shd w:val="clear" w:color="auto" w:fill="FFFFFF"/>
        </w:rPr>
        <w:t xml:space="preserve"> </w:t>
      </w:r>
      <w:r w:rsidR="00003A06">
        <w:rPr>
          <w:rStyle w:val="normaltextrun"/>
          <w:rFonts w:ascii="Arial" w:hAnsi="Arial" w:cs="Arial"/>
          <w:color w:val="000000"/>
          <w:shd w:val="clear" w:color="auto" w:fill="FFFFFF"/>
        </w:rPr>
        <w:t xml:space="preserve">disse </w:t>
      </w:r>
      <w:r w:rsidR="00AB154F">
        <w:rPr>
          <w:rStyle w:val="normaltextrun"/>
          <w:rFonts w:ascii="Arial" w:hAnsi="Arial" w:cs="Arial"/>
          <w:color w:val="000000"/>
          <w:shd w:val="clear" w:color="auto" w:fill="FFFFFF"/>
        </w:rPr>
        <w:t>grunnskolelærerutdanning</w:t>
      </w:r>
      <w:r w:rsidR="00003A06">
        <w:rPr>
          <w:rStyle w:val="normaltextrun"/>
          <w:rFonts w:ascii="Arial" w:hAnsi="Arial" w:cs="Arial"/>
          <w:color w:val="000000"/>
          <w:shd w:val="clear" w:color="auto" w:fill="FFFFFF"/>
        </w:rPr>
        <w:t>ene</w:t>
      </w:r>
      <w:r w:rsidR="00AB154F">
        <w:rPr>
          <w:rStyle w:val="normaltextrun"/>
          <w:rFonts w:ascii="Arial" w:hAnsi="Arial" w:cs="Arial"/>
          <w:color w:val="000000"/>
          <w:shd w:val="clear" w:color="auto" w:fill="FFFFFF"/>
        </w:rPr>
        <w:t xml:space="preserve"> utgjør </w:t>
      </w:r>
      <w:r w:rsidR="000B0401">
        <w:rPr>
          <w:rStyle w:val="normaltextrun"/>
          <w:rFonts w:ascii="Arial" w:hAnsi="Arial" w:cs="Arial"/>
          <w:color w:val="000000"/>
          <w:shd w:val="clear" w:color="auto" w:fill="FFFFFF"/>
        </w:rPr>
        <w:t>omtrent to tredeler</w:t>
      </w:r>
      <w:r w:rsidR="00AB154F">
        <w:rPr>
          <w:rStyle w:val="normaltextrun"/>
          <w:rFonts w:ascii="Arial" w:hAnsi="Arial" w:cs="Arial"/>
          <w:color w:val="000000"/>
          <w:shd w:val="clear" w:color="auto" w:fill="FFFFFF"/>
        </w:rPr>
        <w:t xml:space="preserve"> av økningen på </w:t>
      </w:r>
      <w:r w:rsidR="00990B5F">
        <w:rPr>
          <w:rStyle w:val="normaltextrun"/>
          <w:rFonts w:ascii="Arial" w:hAnsi="Arial" w:cs="Arial"/>
          <w:color w:val="000000"/>
          <w:shd w:val="clear" w:color="auto" w:fill="FFFFFF"/>
        </w:rPr>
        <w:t>integrert master totalt</w:t>
      </w:r>
      <w:r w:rsidR="00C77C47">
        <w:rPr>
          <w:rStyle w:val="normaltextrun"/>
          <w:rFonts w:ascii="Arial" w:hAnsi="Arial" w:cs="Arial"/>
          <w:color w:val="000000"/>
          <w:shd w:val="clear" w:color="auto" w:fill="FFFFFF"/>
        </w:rPr>
        <w:t xml:space="preserve">, se </w:t>
      </w:r>
      <w:proofErr w:type="spellStart"/>
      <w:r w:rsidR="00C77C47">
        <w:rPr>
          <w:rStyle w:val="normaltextrun"/>
          <w:rFonts w:ascii="Arial" w:hAnsi="Arial" w:cs="Arial"/>
          <w:color w:val="000000"/>
          <w:shd w:val="clear" w:color="auto" w:fill="FFFFFF"/>
        </w:rPr>
        <w:t>vedleggstabell</w:t>
      </w:r>
      <w:proofErr w:type="spellEnd"/>
      <w:r w:rsidR="00C77C47">
        <w:rPr>
          <w:rStyle w:val="normaltextrun"/>
          <w:rFonts w:ascii="Arial" w:hAnsi="Arial" w:cs="Arial"/>
          <w:color w:val="000000"/>
          <w:shd w:val="clear" w:color="auto" w:fill="FFFFFF"/>
        </w:rPr>
        <w:t xml:space="preserve"> </w:t>
      </w:r>
      <w:hyperlink r:id="rId37" w:history="1">
        <w:r w:rsidR="00C77C47" w:rsidRPr="00695398">
          <w:rPr>
            <w:rStyle w:val="Hyperkobling"/>
            <w:rFonts w:ascii="Arial" w:hAnsi="Arial" w:cs="Arial"/>
            <w:shd w:val="clear" w:color="auto" w:fill="FFFFFF"/>
          </w:rPr>
          <w:t>V2.29</w:t>
        </w:r>
      </w:hyperlink>
      <w:r w:rsidR="00950499">
        <w:rPr>
          <w:rStyle w:val="normaltextrun"/>
          <w:rFonts w:ascii="Arial" w:hAnsi="Arial" w:cs="Arial"/>
          <w:color w:val="000000"/>
          <w:shd w:val="clear" w:color="auto" w:fill="FFFFFF"/>
        </w:rPr>
        <w:t>.</w:t>
      </w:r>
      <w:r w:rsidR="00092194">
        <w:rPr>
          <w:rStyle w:val="normaltextrun"/>
          <w:rFonts w:ascii="Arial" w:hAnsi="Arial" w:cs="Arial"/>
          <w:color w:val="000000"/>
          <w:shd w:val="clear" w:color="auto" w:fill="FFFFFF"/>
        </w:rPr>
        <w:t xml:space="preserve"> </w:t>
      </w:r>
    </w:p>
    <w:p w14:paraId="37B0DEF9" w14:textId="4D5086F7" w:rsidR="000451E9" w:rsidRDefault="00CF07B5">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Vedleggstabellene </w:t>
      </w:r>
      <w:hyperlink r:id="rId38" w:history="1">
        <w:r w:rsidRPr="00695398">
          <w:rPr>
            <w:rStyle w:val="Hyperkobling"/>
            <w:rFonts w:ascii="Arial" w:hAnsi="Arial" w:cs="Arial"/>
            <w:shd w:val="clear" w:color="auto" w:fill="FFFFFF"/>
          </w:rPr>
          <w:t>V2.25</w:t>
        </w:r>
      </w:hyperlink>
      <w:r>
        <w:rPr>
          <w:rStyle w:val="normaltextrun"/>
          <w:rFonts w:ascii="Arial" w:hAnsi="Arial" w:cs="Arial"/>
          <w:color w:val="000000"/>
          <w:shd w:val="clear" w:color="auto" w:fill="FFFFFF"/>
        </w:rPr>
        <w:t xml:space="preserve"> og </w:t>
      </w:r>
      <w:hyperlink r:id="rId39" w:history="1">
        <w:r w:rsidRPr="00C85C9F">
          <w:rPr>
            <w:rStyle w:val="Hyperkobling"/>
            <w:rFonts w:ascii="Arial" w:hAnsi="Arial" w:cs="Arial"/>
            <w:shd w:val="clear" w:color="auto" w:fill="FFFFFF"/>
          </w:rPr>
          <w:t>V2.26</w:t>
        </w:r>
      </w:hyperlink>
      <w:r w:rsidR="00341A2A">
        <w:rPr>
          <w:rStyle w:val="normaltextrun"/>
          <w:rFonts w:ascii="Arial" w:hAnsi="Arial" w:cs="Arial"/>
          <w:color w:val="000000"/>
          <w:shd w:val="clear" w:color="auto" w:fill="FFFFFF"/>
        </w:rPr>
        <w:t xml:space="preserve"> </w:t>
      </w:r>
      <w:r w:rsidR="00ED18EA" w:rsidRPr="00B037F1">
        <w:rPr>
          <w:rStyle w:val="normaltextrun"/>
          <w:rFonts w:ascii="Arial" w:hAnsi="Arial" w:cs="Arial"/>
          <w:color w:val="000000"/>
          <w:shd w:val="clear" w:color="auto" w:fill="FFFFFF"/>
        </w:rPr>
        <w:t xml:space="preserve">viser antall uteksaminerte </w:t>
      </w:r>
      <w:r w:rsidR="006279ED">
        <w:rPr>
          <w:rStyle w:val="normaltextrun"/>
          <w:rFonts w:ascii="Arial" w:hAnsi="Arial" w:cs="Arial"/>
          <w:color w:val="000000"/>
          <w:shd w:val="clear" w:color="auto" w:fill="FFFFFF"/>
        </w:rPr>
        <w:t>per</w:t>
      </w:r>
      <w:r w:rsidR="006279ED" w:rsidRPr="00B037F1">
        <w:rPr>
          <w:rStyle w:val="normaltextrun"/>
          <w:rFonts w:ascii="Arial" w:hAnsi="Arial" w:cs="Arial"/>
          <w:color w:val="000000"/>
          <w:shd w:val="clear" w:color="auto" w:fill="FFFFFF"/>
        </w:rPr>
        <w:t xml:space="preserve"> </w:t>
      </w:r>
      <w:r w:rsidR="00ED18EA" w:rsidRPr="00B037F1">
        <w:rPr>
          <w:rStyle w:val="normaltextrun"/>
          <w:rFonts w:ascii="Arial" w:hAnsi="Arial" w:cs="Arial"/>
          <w:color w:val="000000"/>
          <w:shd w:val="clear" w:color="auto" w:fill="FFFFFF"/>
        </w:rPr>
        <w:t xml:space="preserve">institusjon for henholdsvis master- og bachelorstudier. </w:t>
      </w:r>
      <w:r w:rsidR="00591EE1">
        <w:rPr>
          <w:rStyle w:val="normaltextrun"/>
          <w:rFonts w:ascii="Arial" w:hAnsi="Arial" w:cs="Arial"/>
          <w:color w:val="000000"/>
          <w:shd w:val="clear" w:color="auto" w:fill="FFFFFF"/>
        </w:rPr>
        <w:t>NTNU har den største andelen</w:t>
      </w:r>
      <w:r w:rsidR="00037412">
        <w:rPr>
          <w:rStyle w:val="normaltextrun"/>
          <w:rFonts w:ascii="Arial" w:hAnsi="Arial" w:cs="Arial"/>
          <w:color w:val="000000"/>
          <w:shd w:val="clear" w:color="auto" w:fill="FFFFFF"/>
        </w:rPr>
        <w:t xml:space="preserve"> med i overkant av 23 prosent av </w:t>
      </w:r>
      <w:r w:rsidR="004B544B">
        <w:rPr>
          <w:rStyle w:val="normaltextrun"/>
          <w:rFonts w:ascii="Arial" w:hAnsi="Arial" w:cs="Arial"/>
          <w:color w:val="000000"/>
          <w:shd w:val="clear" w:color="auto" w:fill="FFFFFF"/>
        </w:rPr>
        <w:t xml:space="preserve">de uteksaminerte </w:t>
      </w:r>
      <w:r w:rsidR="00761FEF">
        <w:rPr>
          <w:rStyle w:val="normaltextrun"/>
          <w:rFonts w:ascii="Arial" w:hAnsi="Arial" w:cs="Arial"/>
          <w:color w:val="000000"/>
          <w:shd w:val="clear" w:color="auto" w:fill="FFFFFF"/>
        </w:rPr>
        <w:t xml:space="preserve">masterkandidatene </w:t>
      </w:r>
      <w:r w:rsidR="00762D80">
        <w:rPr>
          <w:rStyle w:val="normaltextrun"/>
          <w:rFonts w:ascii="Arial" w:hAnsi="Arial" w:cs="Arial"/>
          <w:color w:val="000000"/>
          <w:shd w:val="clear" w:color="auto" w:fill="FFFFFF"/>
        </w:rPr>
        <w:t>og 15 prosent av bachelorkandidatene</w:t>
      </w:r>
      <w:r w:rsidR="002161A7" w:rsidRPr="00762D80">
        <w:t xml:space="preserve"> </w:t>
      </w:r>
      <w:r w:rsidR="002161A7">
        <w:rPr>
          <w:rStyle w:val="normaltextrun"/>
          <w:rFonts w:ascii="Arial" w:hAnsi="Arial" w:cs="Arial"/>
          <w:color w:val="000000"/>
          <w:shd w:val="clear" w:color="auto" w:fill="FFFFFF"/>
        </w:rPr>
        <w:t>ved statlige institusjoner</w:t>
      </w:r>
      <w:r w:rsidR="00037412">
        <w:rPr>
          <w:rStyle w:val="normaltextrun"/>
          <w:rFonts w:ascii="Arial" w:hAnsi="Arial" w:cs="Arial"/>
          <w:color w:val="000000"/>
          <w:shd w:val="clear" w:color="auto" w:fill="FFFFFF"/>
        </w:rPr>
        <w:t xml:space="preserve">. </w:t>
      </w:r>
      <w:r w:rsidR="00883A3C">
        <w:rPr>
          <w:rStyle w:val="normaltextrun"/>
          <w:rFonts w:ascii="Arial" w:hAnsi="Arial" w:cs="Arial"/>
          <w:color w:val="000000"/>
          <w:shd w:val="clear" w:color="auto" w:fill="FFFFFF"/>
        </w:rPr>
        <w:t xml:space="preserve">UiO </w:t>
      </w:r>
      <w:r w:rsidR="00847C47">
        <w:rPr>
          <w:rStyle w:val="normaltextrun"/>
          <w:rFonts w:ascii="Arial" w:hAnsi="Arial" w:cs="Arial"/>
          <w:color w:val="000000"/>
          <w:shd w:val="clear" w:color="auto" w:fill="FFFFFF"/>
        </w:rPr>
        <w:t>følger</w:t>
      </w:r>
      <w:r w:rsidR="00085510">
        <w:rPr>
          <w:rStyle w:val="normaltextrun"/>
          <w:rFonts w:ascii="Arial" w:hAnsi="Arial" w:cs="Arial"/>
          <w:color w:val="000000"/>
          <w:shd w:val="clear" w:color="auto" w:fill="FFFFFF"/>
        </w:rPr>
        <w:t xml:space="preserve"> </w:t>
      </w:r>
      <w:r w:rsidR="00847C47">
        <w:rPr>
          <w:rStyle w:val="normaltextrun"/>
          <w:rFonts w:ascii="Arial" w:hAnsi="Arial" w:cs="Arial"/>
          <w:color w:val="000000"/>
          <w:shd w:val="clear" w:color="auto" w:fill="FFFFFF"/>
        </w:rPr>
        <w:t>der</w:t>
      </w:r>
      <w:r w:rsidR="00085510">
        <w:rPr>
          <w:rStyle w:val="normaltextrun"/>
          <w:rFonts w:ascii="Arial" w:hAnsi="Arial" w:cs="Arial"/>
          <w:color w:val="000000"/>
          <w:shd w:val="clear" w:color="auto" w:fill="FFFFFF"/>
        </w:rPr>
        <w:t>nest</w:t>
      </w:r>
      <w:r w:rsidR="00085510" w:rsidDel="00847C47">
        <w:rPr>
          <w:rStyle w:val="normaltextrun"/>
          <w:rFonts w:ascii="Arial" w:hAnsi="Arial" w:cs="Arial"/>
          <w:color w:val="000000"/>
          <w:shd w:val="clear" w:color="auto" w:fill="FFFFFF"/>
        </w:rPr>
        <w:t xml:space="preserve"> </w:t>
      </w:r>
      <w:r w:rsidR="00085510">
        <w:rPr>
          <w:rStyle w:val="normaltextrun"/>
          <w:rFonts w:ascii="Arial" w:hAnsi="Arial" w:cs="Arial"/>
          <w:color w:val="000000"/>
          <w:shd w:val="clear" w:color="auto" w:fill="FFFFFF"/>
        </w:rPr>
        <w:t>med en andel på nærmere 15 prosent</w:t>
      </w:r>
      <w:r w:rsidR="00847C47" w:rsidRPr="00847C47">
        <w:rPr>
          <w:rFonts w:ascii="Arial" w:hAnsi="Arial" w:cs="Arial"/>
          <w:color w:val="000000"/>
          <w:shd w:val="clear" w:color="auto" w:fill="FFFFFF"/>
        </w:rPr>
        <w:t xml:space="preserve"> </w:t>
      </w:r>
      <w:r w:rsidR="00847C47">
        <w:rPr>
          <w:rStyle w:val="normaltextrun"/>
          <w:rFonts w:ascii="Arial" w:hAnsi="Arial" w:cs="Arial"/>
          <w:color w:val="000000"/>
          <w:shd w:val="clear" w:color="auto" w:fill="FFFFFF"/>
        </w:rPr>
        <w:t>av masterkandidatene</w:t>
      </w:r>
      <w:r w:rsidR="00EC4C90">
        <w:rPr>
          <w:rStyle w:val="normaltextrun"/>
          <w:rFonts w:ascii="Arial" w:hAnsi="Arial" w:cs="Arial"/>
          <w:color w:val="000000"/>
          <w:shd w:val="clear" w:color="auto" w:fill="FFFFFF"/>
        </w:rPr>
        <w:t xml:space="preserve">, mens </w:t>
      </w:r>
      <w:proofErr w:type="spellStart"/>
      <w:r w:rsidR="00EC4C90">
        <w:rPr>
          <w:rStyle w:val="normaltextrun"/>
          <w:rFonts w:ascii="Arial" w:hAnsi="Arial" w:cs="Arial"/>
          <w:color w:val="000000"/>
          <w:shd w:val="clear" w:color="auto" w:fill="FFFFFF"/>
        </w:rPr>
        <w:t>OsloMet</w:t>
      </w:r>
      <w:proofErr w:type="spellEnd"/>
      <w:r w:rsidR="00EC4C90">
        <w:rPr>
          <w:rStyle w:val="normaltextrun"/>
          <w:rFonts w:ascii="Arial" w:hAnsi="Arial" w:cs="Arial"/>
          <w:color w:val="000000"/>
          <w:shd w:val="clear" w:color="auto" w:fill="FFFFFF"/>
        </w:rPr>
        <w:t xml:space="preserve"> er nest størst på bachelornivået med </w:t>
      </w:r>
      <w:r w:rsidR="004B198D">
        <w:rPr>
          <w:rStyle w:val="normaltextrun"/>
          <w:rFonts w:ascii="Arial" w:hAnsi="Arial" w:cs="Arial"/>
          <w:color w:val="000000"/>
          <w:shd w:val="clear" w:color="auto" w:fill="FFFFFF"/>
        </w:rPr>
        <w:t>12 prosent av de uteksaminerte</w:t>
      </w:r>
      <w:r w:rsidR="00085510">
        <w:rPr>
          <w:rStyle w:val="normaltextrun"/>
          <w:rFonts w:ascii="Arial" w:hAnsi="Arial" w:cs="Arial"/>
          <w:color w:val="000000"/>
          <w:shd w:val="clear" w:color="auto" w:fill="FFFFFF"/>
        </w:rPr>
        <w:t xml:space="preserve">. </w:t>
      </w:r>
      <w:r w:rsidR="00F51BD4">
        <w:rPr>
          <w:rStyle w:val="normaltextrun"/>
          <w:rFonts w:ascii="Arial" w:hAnsi="Arial" w:cs="Arial"/>
          <w:color w:val="000000"/>
          <w:shd w:val="clear" w:color="auto" w:fill="FFFFFF"/>
        </w:rPr>
        <w:t xml:space="preserve">De resterende </w:t>
      </w:r>
      <w:r w:rsidR="008453CB">
        <w:rPr>
          <w:rStyle w:val="normaltextrun"/>
          <w:rFonts w:ascii="Arial" w:hAnsi="Arial" w:cs="Arial"/>
          <w:color w:val="000000"/>
          <w:shd w:val="clear" w:color="auto" w:fill="FFFFFF"/>
        </w:rPr>
        <w:t xml:space="preserve">institusjonene </w:t>
      </w:r>
      <w:r w:rsidR="00F51BD4">
        <w:rPr>
          <w:rStyle w:val="normaltextrun"/>
          <w:rFonts w:ascii="Arial" w:hAnsi="Arial" w:cs="Arial"/>
          <w:color w:val="000000"/>
          <w:shd w:val="clear" w:color="auto" w:fill="FFFFFF"/>
        </w:rPr>
        <w:t>har andeler på under 10 prosent</w:t>
      </w:r>
      <w:r w:rsidR="008453CB">
        <w:rPr>
          <w:rStyle w:val="normaltextrun"/>
          <w:rFonts w:ascii="Arial" w:hAnsi="Arial" w:cs="Arial"/>
          <w:color w:val="000000"/>
          <w:shd w:val="clear" w:color="auto" w:fill="FFFFFF"/>
        </w:rPr>
        <w:t xml:space="preserve"> på begge studienivåene</w:t>
      </w:r>
      <w:r w:rsidR="00F51BD4">
        <w:rPr>
          <w:rStyle w:val="normaltextrun"/>
          <w:rFonts w:ascii="Arial" w:hAnsi="Arial" w:cs="Arial"/>
          <w:color w:val="000000"/>
          <w:shd w:val="clear" w:color="auto" w:fill="FFFFFF"/>
        </w:rPr>
        <w:t>.</w:t>
      </w:r>
      <w:r w:rsidR="00085510">
        <w:rPr>
          <w:rStyle w:val="normaltextrun"/>
          <w:rFonts w:ascii="Arial" w:hAnsi="Arial" w:cs="Arial"/>
          <w:color w:val="000000"/>
          <w:shd w:val="clear" w:color="auto" w:fill="FFFFFF"/>
        </w:rPr>
        <w:t xml:space="preserve"> </w:t>
      </w:r>
    </w:p>
    <w:p w14:paraId="4FF44297" w14:textId="77777777" w:rsidR="0053318A" w:rsidRDefault="0053318A">
      <w:pPr>
        <w:rPr>
          <w:rFonts w:asciiTheme="majorHAnsi" w:eastAsiaTheme="majorEastAsia" w:hAnsiTheme="majorHAnsi" w:cstheme="majorBidi"/>
          <w:b/>
          <w:color w:val="362683"/>
          <w:sz w:val="24"/>
          <w:szCs w:val="26"/>
        </w:rPr>
      </w:pPr>
      <w:r>
        <w:br w:type="page"/>
      </w:r>
    </w:p>
    <w:p w14:paraId="03E6F00B" w14:textId="282FE1C0" w:rsidR="00C36D5D" w:rsidRDefault="0073565C" w:rsidP="00AE4B98">
      <w:pPr>
        <w:pStyle w:val="Overskrift3"/>
      </w:pPr>
      <w:bookmarkStart w:id="53" w:name="_Toc134792723"/>
      <w:r w:rsidRPr="0073565C">
        <w:lastRenderedPageBreak/>
        <w:t>Nasjonal deleksamen – resultater for sykepleie</w:t>
      </w:r>
      <w:bookmarkEnd w:id="53"/>
    </w:p>
    <w:p w14:paraId="7BC15CE3" w14:textId="77777777" w:rsidR="00A50DC3" w:rsidRDefault="00F41655">
      <w:proofErr w:type="spellStart"/>
      <w:r w:rsidRPr="00F41655">
        <w:t>NOKUT</w:t>
      </w:r>
      <w:proofErr w:type="spellEnd"/>
      <w:r w:rsidRPr="00F41655">
        <w:t xml:space="preserve"> har siden 2015 administrert nasjonal eksamen for bachelorstudiet i sykepleie hver høst og vår i emnet anatomi, fysiologi og biokjemi</w:t>
      </w:r>
      <w:r w:rsidR="00F03303">
        <w:t xml:space="preserve"> (</w:t>
      </w:r>
      <w:proofErr w:type="spellStart"/>
      <w:r w:rsidR="00F03303">
        <w:t>AFB</w:t>
      </w:r>
      <w:proofErr w:type="spellEnd"/>
      <w:r w:rsidR="00F03303">
        <w:t>)</w:t>
      </w:r>
      <w:r w:rsidRPr="00F41655">
        <w:t xml:space="preserve">. Eksamen er digital, og består av en blanding av åpne og lukkede svarformater. Ordinær </w:t>
      </w:r>
      <w:r w:rsidR="00154436">
        <w:t>nasjonal del</w:t>
      </w:r>
      <w:r w:rsidRPr="00F41655">
        <w:t>eksamen ligger i første semester, og gjennomføres i desember hvert år for i overkant av 5</w:t>
      </w:r>
      <w:r w:rsidR="002A586C">
        <w:t> </w:t>
      </w:r>
      <w:r w:rsidRPr="00F41655">
        <w:t>000 kandidater. I april gjennomføres</w:t>
      </w:r>
      <w:r w:rsidRPr="00F41655" w:rsidDel="00093219">
        <w:t xml:space="preserve"> </w:t>
      </w:r>
      <w:r w:rsidRPr="00F41655">
        <w:t>ny eller utsatt eksamen for rundt 1</w:t>
      </w:r>
      <w:r w:rsidR="002A586C">
        <w:t> </w:t>
      </w:r>
      <w:r w:rsidRPr="00F41655">
        <w:t>200 kandidater. Det er felles nasjonal sensur på eksamen</w:t>
      </w:r>
      <w:r w:rsidR="00486E6C">
        <w:t xml:space="preserve"> med sensorer oppnevnt </w:t>
      </w:r>
      <w:r w:rsidRPr="00F41655">
        <w:t xml:space="preserve">av </w:t>
      </w:r>
      <w:proofErr w:type="spellStart"/>
      <w:r w:rsidR="00486E6C">
        <w:t>NOKUT</w:t>
      </w:r>
      <w:proofErr w:type="spellEnd"/>
      <w:r w:rsidR="00486E6C">
        <w:t xml:space="preserve">. </w:t>
      </w:r>
    </w:p>
    <w:p w14:paraId="3091C474" w14:textId="717E99D2" w:rsidR="00931566" w:rsidRDefault="00F41655">
      <w:r w:rsidRPr="00F41655">
        <w:t>Høst</w:t>
      </w:r>
      <w:r w:rsidR="001844A0">
        <w:t>en</w:t>
      </w:r>
      <w:r w:rsidRPr="00F41655">
        <w:t xml:space="preserve"> 2022 var andelen stryk tilnærmet uforandret</w:t>
      </w:r>
      <w:r w:rsidR="002303FF">
        <w:t xml:space="preserve"> fra året før</w:t>
      </w:r>
      <w:r w:rsidRPr="00F41655">
        <w:t xml:space="preserve">. Derimot var andelen toppkarakterer høyere enn den har vært tidligere. </w:t>
      </w:r>
      <w:r w:rsidRPr="00F41655" w:rsidDel="00DD234A">
        <w:t>9</w:t>
      </w:r>
      <w:r w:rsidRPr="00F41655">
        <w:t xml:space="preserve"> </w:t>
      </w:r>
      <w:r w:rsidR="000A32C0">
        <w:t>prosent</w:t>
      </w:r>
      <w:r w:rsidRPr="00F41655">
        <w:t xml:space="preserve"> av kandidatene oppnådde karakteren A</w:t>
      </w:r>
      <w:r w:rsidR="00AB4D28">
        <w:t>,</w:t>
      </w:r>
      <w:r w:rsidR="00156A8D">
        <w:t xml:space="preserve"> mot omkring</w:t>
      </w:r>
      <w:r w:rsidR="00E81894">
        <w:t xml:space="preserve"> </w:t>
      </w:r>
      <w:r w:rsidRPr="00F41655" w:rsidDel="00DD234A">
        <w:t>6</w:t>
      </w:r>
      <w:r w:rsidRPr="00F41655">
        <w:t xml:space="preserve"> </w:t>
      </w:r>
      <w:r w:rsidR="000A32C0">
        <w:t>prosent</w:t>
      </w:r>
      <w:r w:rsidR="00156A8D">
        <w:t xml:space="preserve"> </w:t>
      </w:r>
      <w:r w:rsidR="00960966">
        <w:t xml:space="preserve">i </w:t>
      </w:r>
      <w:r w:rsidR="00156A8D">
        <w:t>årene</w:t>
      </w:r>
      <w:r w:rsidR="00960966">
        <w:t xml:space="preserve"> før</w:t>
      </w:r>
      <w:r w:rsidRPr="00F41655">
        <w:t xml:space="preserve"> 2022</w:t>
      </w:r>
      <w:r w:rsidR="00960966">
        <w:t>.</w:t>
      </w:r>
      <w:r w:rsidR="00F27CCB">
        <w:t xml:space="preserve"> </w:t>
      </w:r>
      <w:r w:rsidR="000A19C2">
        <w:t xml:space="preserve">Til grunn for bokstavkarakterene ligger en tallskala fra 0 til 5 der </w:t>
      </w:r>
      <w:r w:rsidR="00347457">
        <w:t>5 er best</w:t>
      </w:r>
      <w:r w:rsidR="000A19C2">
        <w:t xml:space="preserve">. </w:t>
      </w:r>
      <w:r w:rsidR="00073474">
        <w:t>I</w:t>
      </w:r>
      <w:r w:rsidRPr="00F41655">
        <w:t xml:space="preserve"> alle årene </w:t>
      </w:r>
      <w:r w:rsidR="00073474">
        <w:t xml:space="preserve">eksamenene har blitt gjennomført, har </w:t>
      </w:r>
      <w:r w:rsidR="00687F02">
        <w:t xml:space="preserve">gjennomsnittet </w:t>
      </w:r>
      <w:r w:rsidRPr="00F41655">
        <w:t xml:space="preserve">ligget mellom 2,1 og 2,4, </w:t>
      </w:r>
      <w:r w:rsidR="000267CC">
        <w:t xml:space="preserve">det vil si </w:t>
      </w:r>
      <w:r w:rsidRPr="00F41655">
        <w:t>innenfor D-intervallet.</w:t>
      </w:r>
      <w:r w:rsidR="00687F02">
        <w:t xml:space="preserve"> </w:t>
      </w:r>
      <w:r w:rsidR="00483AA5">
        <w:t xml:space="preserve">I 2022 var gjennomsnittet 2,3 </w:t>
      </w:r>
      <w:r w:rsidR="00D61803">
        <w:t>(D),</w:t>
      </w:r>
      <w:r w:rsidR="000C5293">
        <w:t xml:space="preserve"> se</w:t>
      </w:r>
      <w:r w:rsidR="00552091">
        <w:t xml:space="preserve"> </w:t>
      </w:r>
      <w:r w:rsidR="00EF47D5">
        <w:fldChar w:fldCharType="begin"/>
      </w:r>
      <w:r w:rsidR="00EF47D5">
        <w:instrText xml:space="preserve"> REF  _Ref133166377 \* Lower \h </w:instrText>
      </w:r>
      <w:r w:rsidR="00EF47D5">
        <w:fldChar w:fldCharType="separate"/>
      </w:r>
      <w:r w:rsidR="00F262EF">
        <w:t xml:space="preserve">figur </w:t>
      </w:r>
      <w:r w:rsidR="00F262EF">
        <w:rPr>
          <w:noProof/>
        </w:rPr>
        <w:t>2</w:t>
      </w:r>
      <w:r w:rsidR="00F262EF">
        <w:t>.</w:t>
      </w:r>
      <w:r w:rsidR="00F262EF">
        <w:rPr>
          <w:noProof/>
        </w:rPr>
        <w:t>7</w:t>
      </w:r>
      <w:r w:rsidR="00EF47D5">
        <w:fldChar w:fldCharType="end"/>
      </w:r>
      <w:r w:rsidR="0075035E">
        <w:t>.</w:t>
      </w:r>
    </w:p>
    <w:p w14:paraId="5A26D0BF" w14:textId="4BCD5A64" w:rsidR="00ED5C0E" w:rsidRDefault="00ED5C0E" w:rsidP="00ED5C0E">
      <w:pPr>
        <w:pStyle w:val="Bildetekst"/>
        <w:keepNext/>
      </w:pPr>
      <w:bookmarkStart w:id="54" w:name="_Ref133166377"/>
      <w:bookmarkStart w:id="55" w:name="_Toc134792768"/>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7</w:t>
      </w:r>
      <w:r>
        <w:fldChar w:fldCharType="end"/>
      </w:r>
      <w:bookmarkEnd w:id="54"/>
      <w:r>
        <w:t xml:space="preserve"> </w:t>
      </w:r>
      <w:r w:rsidRPr="00ED5C0E">
        <w:t>Karakterfordeling sykepleie (anatomi, fysiologi og biokjemi), høst 2022. Prosent</w:t>
      </w:r>
      <w:bookmarkEnd w:id="55"/>
    </w:p>
    <w:p w14:paraId="5DF12B94" w14:textId="77777777" w:rsidR="00ED5C0E" w:rsidRDefault="00931566">
      <w:r>
        <w:rPr>
          <w:noProof/>
        </w:rPr>
        <w:drawing>
          <wp:inline distT="0" distB="0" distL="0" distR="0" wp14:anchorId="4D7D3B48" wp14:editId="457EDEE6">
            <wp:extent cx="5157216" cy="2743200"/>
            <wp:effectExtent l="0" t="0" r="5715" b="0"/>
            <wp:docPr id="378475469" name="Diagram 1">
              <a:extLst xmlns:a="http://schemas.openxmlformats.org/drawingml/2006/main">
                <a:ext uri="{FF2B5EF4-FFF2-40B4-BE49-F238E27FC236}">
                  <a16:creationId xmlns:a16="http://schemas.microsoft.com/office/drawing/2014/main" id="{1EE55350-C640-FAB5-592B-B64078669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DF1257" w14:textId="77777777" w:rsidR="00ED5C0E" w:rsidRDefault="00ED5C0E" w:rsidP="00ED5C0E">
      <w:pPr>
        <w:pStyle w:val="Kilde"/>
      </w:pPr>
      <w:r>
        <w:t xml:space="preserve">Kilde: </w:t>
      </w:r>
      <w:proofErr w:type="spellStart"/>
      <w:r>
        <w:t>NOKUT</w:t>
      </w:r>
      <w:proofErr w:type="spellEnd"/>
    </w:p>
    <w:p w14:paraId="2D492A8D" w14:textId="3CA75C58" w:rsidR="009A34DE" w:rsidRDefault="009A34DE" w:rsidP="009A34DE">
      <w:r>
        <w:t xml:space="preserve">Best resultater var det ved </w:t>
      </w:r>
      <w:proofErr w:type="spellStart"/>
      <w:r w:rsidR="00785523">
        <w:t>LDH</w:t>
      </w:r>
      <w:proofErr w:type="spellEnd"/>
      <w:r>
        <w:t xml:space="preserve">, som oppnådde en snittkarakter på 3,7 (B) og hele 31 </w:t>
      </w:r>
      <w:r w:rsidR="000A32C0">
        <w:t>prosent</w:t>
      </w:r>
      <w:r>
        <w:t xml:space="preserve"> </w:t>
      </w:r>
      <w:r w:rsidR="00CE783E">
        <w:t>fikk</w:t>
      </w:r>
      <w:r>
        <w:t xml:space="preserve"> karakteren A. </w:t>
      </w:r>
      <w:proofErr w:type="spellStart"/>
      <w:r>
        <w:t>HVL</w:t>
      </w:r>
      <w:proofErr w:type="spellEnd"/>
      <w:r>
        <w:t xml:space="preserve"> Bergen (3,3</w:t>
      </w:r>
      <w:r w:rsidR="00DB661F">
        <w:t>, i grenselandet mellom B og C</w:t>
      </w:r>
      <w:r>
        <w:t>),</w:t>
      </w:r>
      <w:r w:rsidRPr="00D735AD">
        <w:t xml:space="preserve"> </w:t>
      </w:r>
      <w:r>
        <w:t>NTNU Trondheim (3,2</w:t>
      </w:r>
      <w:r w:rsidR="00066E69">
        <w:t>, det vil si en sterk C</w:t>
      </w:r>
      <w:r>
        <w:t xml:space="preserve">) og </w:t>
      </w:r>
      <w:proofErr w:type="spellStart"/>
      <w:r>
        <w:t>UiA</w:t>
      </w:r>
      <w:proofErr w:type="spellEnd"/>
      <w:r>
        <w:t xml:space="preserve"> Kristiansand (snitt 3,1</w:t>
      </w:r>
      <w:r w:rsidR="009A4E1A">
        <w:t>, en sterk C</w:t>
      </w:r>
      <w:r>
        <w:t xml:space="preserve">). Disse studiestedene har tradisjonelt levert gode resultater på </w:t>
      </w:r>
      <w:proofErr w:type="spellStart"/>
      <w:r>
        <w:t>AFB</w:t>
      </w:r>
      <w:proofErr w:type="spellEnd"/>
      <w:r>
        <w:t xml:space="preserve">. Det </w:t>
      </w:r>
      <w:r w:rsidR="00C24CD3">
        <w:t>var knyttet en viss</w:t>
      </w:r>
      <w:r>
        <w:t xml:space="preserve"> spenning til årets resultater siden dette er førsteårsstudenter, og mange i dette årskullet har liten eller ingen </w:t>
      </w:r>
      <w:r w:rsidR="00040DFE">
        <w:t>erfaring med</w:t>
      </w:r>
      <w:r>
        <w:t xml:space="preserve"> tradisjonell eksamen </w:t>
      </w:r>
      <w:r w:rsidR="00040DFE">
        <w:t xml:space="preserve">fra </w:t>
      </w:r>
      <w:r>
        <w:t xml:space="preserve">videregående opplæring. </w:t>
      </w:r>
      <w:proofErr w:type="spellStart"/>
      <w:r>
        <w:t>NOKUT</w:t>
      </w:r>
      <w:proofErr w:type="spellEnd"/>
      <w:r>
        <w:t xml:space="preserve"> har foreløpig ikke analysert dette, men resultatene antyder at manglende eksamenserfaring ikke har hatt merkbar effekt, sett mot tidligere studentkull.</w:t>
      </w:r>
    </w:p>
    <w:p w14:paraId="27F2862B" w14:textId="027C7A39" w:rsidR="0053318A" w:rsidRDefault="0053318A" w:rsidP="00ED5C0E">
      <w:pPr>
        <w:rPr>
          <w:rFonts w:asciiTheme="majorHAnsi" w:eastAsiaTheme="majorEastAsia" w:hAnsiTheme="majorHAnsi" w:cstheme="majorBidi"/>
          <w:b/>
          <w:color w:val="362683"/>
          <w:sz w:val="24"/>
          <w:szCs w:val="26"/>
        </w:rPr>
      </w:pPr>
      <w:r>
        <w:br w:type="page"/>
      </w:r>
    </w:p>
    <w:p w14:paraId="64683AA5" w14:textId="0A6D8E23" w:rsidR="00041170" w:rsidRPr="00041170" w:rsidRDefault="00041170" w:rsidP="00AE4B98">
      <w:pPr>
        <w:pStyle w:val="Overskrift3"/>
      </w:pPr>
      <w:bookmarkStart w:id="56" w:name="_Toc134792724"/>
      <w:r w:rsidRPr="00041170">
        <w:lastRenderedPageBreak/>
        <w:t>Nasjonal deleksamen i matematikk for grunnskolelærerutdanningene (GLU), trinn 1–7 og 5–10</w:t>
      </w:r>
      <w:bookmarkEnd w:id="56"/>
    </w:p>
    <w:p w14:paraId="3FB992FA" w14:textId="3063B54D" w:rsidR="00674B83" w:rsidRDefault="003A101B" w:rsidP="003A101B">
      <w:proofErr w:type="spellStart"/>
      <w:r>
        <w:t>NOKUT</w:t>
      </w:r>
      <w:proofErr w:type="spellEnd"/>
      <w:r>
        <w:t xml:space="preserve"> administrerer nasjonale eksamener </w:t>
      </w:r>
      <w:r w:rsidR="00AF4235">
        <w:t xml:space="preserve">i </w:t>
      </w:r>
      <w:r>
        <w:t xml:space="preserve">matematikk </w:t>
      </w:r>
      <w:r w:rsidR="00AF4235">
        <w:t>for</w:t>
      </w:r>
      <w:r>
        <w:t xml:space="preserve"> grunnskolelærerutdanningene hver høst og vår</w:t>
      </w:r>
      <w:r w:rsidR="00AA3ADD">
        <w:t xml:space="preserve"> innen temaet algebraisk tenkning.</w:t>
      </w:r>
      <w:r>
        <w:t xml:space="preserve"> Det er separate eksamener for GLU 1-7 og GLU 5-10</w:t>
      </w:r>
      <w:r w:rsidR="00AA3ADD">
        <w:t>.</w:t>
      </w:r>
      <w:r w:rsidR="0019304C">
        <w:t xml:space="preserve"> Også her ligger en tallskala fra 0 til 5 der 5 er best</w:t>
      </w:r>
      <w:r w:rsidR="00A9665F">
        <w:t>,</w:t>
      </w:r>
      <w:r w:rsidR="0019304C">
        <w:t xml:space="preserve"> til grunn for bokstavkarakterene</w:t>
      </w:r>
      <w:r w:rsidR="00A9665F">
        <w:t>.</w:t>
      </w:r>
    </w:p>
    <w:p w14:paraId="4D2C4B1B" w14:textId="64B8159F" w:rsidR="003A101B" w:rsidRDefault="003A101B" w:rsidP="003A101B">
      <w:r>
        <w:t xml:space="preserve">Våren 2022 var det 932 kandidater som avla eksamen på GLU 1-7. Snittkarakteren var 1,9 </w:t>
      </w:r>
      <w:r w:rsidR="00A53DEC">
        <w:t xml:space="preserve">(D) </w:t>
      </w:r>
      <w:r w:rsidR="00467D8A">
        <w:t xml:space="preserve">og </w:t>
      </w:r>
      <w:r w:rsidR="00AA6BFB">
        <w:t>stryk</w:t>
      </w:r>
      <w:r w:rsidR="000A32C0">
        <w:t>prosent</w:t>
      </w:r>
      <w:r w:rsidR="00AA6BFB">
        <w:t>en var 24</w:t>
      </w:r>
      <w:r w:rsidR="008D2236">
        <w:t>.</w:t>
      </w:r>
      <w:r>
        <w:t xml:space="preserve"> </w:t>
      </w:r>
      <w:r w:rsidR="004E694D">
        <w:t>H</w:t>
      </w:r>
      <w:r>
        <w:t>østen</w:t>
      </w:r>
      <w:r w:rsidR="004E694D">
        <w:t xml:space="preserve"> 2022</w:t>
      </w:r>
      <w:r>
        <w:t xml:space="preserve"> var det 419 kandidater med snittkarakter 1,2 </w:t>
      </w:r>
      <w:r w:rsidR="00A9665F">
        <w:t>(</w:t>
      </w:r>
      <w:r w:rsidR="00371365">
        <w:t xml:space="preserve">E) </w:t>
      </w:r>
      <w:r>
        <w:t xml:space="preserve">og 41 </w:t>
      </w:r>
      <w:r w:rsidR="000A32C0">
        <w:t>prosent</w:t>
      </w:r>
      <w:r>
        <w:t xml:space="preserve"> </w:t>
      </w:r>
      <w:r w:rsidR="00371365">
        <w:t>stryk</w:t>
      </w:r>
      <w:r>
        <w:t xml:space="preserve">. Matematikkemnet er obligatorisk for alle studentene på programmet. </w:t>
      </w:r>
    </w:p>
    <w:p w14:paraId="374A3728" w14:textId="3C5F7AD8" w:rsidR="003A101B" w:rsidRDefault="003A101B" w:rsidP="003A101B">
      <w:r>
        <w:t xml:space="preserve">Våren 2022 var det 537 kandidater som avla eksamen på GLU 5-10-programmet, disse fikk 2,2 i snittkarakter </w:t>
      </w:r>
      <w:r w:rsidR="00371365">
        <w:t>(tilsvare</w:t>
      </w:r>
      <w:r w:rsidR="008B1772">
        <w:t>r D)</w:t>
      </w:r>
      <w:r>
        <w:t xml:space="preserve"> og 17 </w:t>
      </w:r>
      <w:r w:rsidR="000A32C0">
        <w:t>prosent</w:t>
      </w:r>
      <w:r>
        <w:t xml:space="preserve"> </w:t>
      </w:r>
      <w:r w:rsidR="008B1772">
        <w:t>stryk</w:t>
      </w:r>
      <w:r w:rsidR="0057391A">
        <w:t>.</w:t>
      </w:r>
      <w:r>
        <w:t xml:space="preserve"> </w:t>
      </w:r>
      <w:r w:rsidR="00674B83">
        <w:t>H</w:t>
      </w:r>
      <w:r>
        <w:t>østen</w:t>
      </w:r>
      <w:r w:rsidR="00674B83">
        <w:t xml:space="preserve"> 2022</w:t>
      </w:r>
      <w:r>
        <w:t xml:space="preserve"> var det 185 kandidater med snitt 1,4</w:t>
      </w:r>
      <w:r w:rsidR="0057391A">
        <w:t xml:space="preserve"> (E)</w:t>
      </w:r>
      <w:r>
        <w:t xml:space="preserve">, og 38 </w:t>
      </w:r>
      <w:r w:rsidR="000A32C0">
        <w:t>prosent</w:t>
      </w:r>
      <w:r>
        <w:t xml:space="preserve"> </w:t>
      </w:r>
      <w:r w:rsidR="0057391A">
        <w:t>stryk</w:t>
      </w:r>
      <w:r>
        <w:t xml:space="preserve">. </w:t>
      </w:r>
      <w:r w:rsidR="00B225BD">
        <w:t>Studentene på GLU 5-10 kan selv velge matematikk som en del av programmet.</w:t>
      </w:r>
    </w:p>
    <w:p w14:paraId="7B754EBF" w14:textId="17C9337C" w:rsidR="002B5A5C" w:rsidRDefault="003A101B" w:rsidP="003A101B">
      <w:r>
        <w:t xml:space="preserve">Forskjellen mellom vår og høst ved begge programmene følger en trend vi har observert </w:t>
      </w:r>
      <w:r w:rsidR="000338D1">
        <w:t>over tid</w:t>
      </w:r>
      <w:r>
        <w:t xml:space="preserve">. Dette har å gjøre med hvilke institusjoner som har ordinær eksamen i de forskjellige semestrene, og følgelig hvilke semestre som er preget av høy andel </w:t>
      </w:r>
      <w:r w:rsidR="00AB2E30">
        <w:t xml:space="preserve">henholdsvis </w:t>
      </w:r>
      <w:r>
        <w:t>ny</w:t>
      </w:r>
      <w:r w:rsidR="00861819">
        <w:t xml:space="preserve"> eller </w:t>
      </w:r>
      <w:r>
        <w:t>utsatt eksamen. Kandidatene avlegger denne eksamen på forskjellig tidspunkt i studieløpet, og det er dermed utfordrende å tolke resultatene.</w:t>
      </w:r>
      <w:r w:rsidR="00843E93">
        <w:t xml:space="preserve"> </w:t>
      </w:r>
    </w:p>
    <w:p w14:paraId="0A6910AC" w14:textId="5F625594" w:rsidR="00976D72" w:rsidRDefault="00FB260D" w:rsidP="00976D72">
      <w:r>
        <w:t xml:space="preserve">I </w:t>
      </w:r>
      <w:r w:rsidR="0002785F">
        <w:fldChar w:fldCharType="begin"/>
      </w:r>
      <w:r w:rsidR="0002785F">
        <w:instrText xml:space="preserve"> REF  _Ref132294308 \* Lower \h </w:instrText>
      </w:r>
      <w:r w:rsidR="0002785F">
        <w:fldChar w:fldCharType="separate"/>
      </w:r>
      <w:r w:rsidR="00F262EF">
        <w:t xml:space="preserve">figur </w:t>
      </w:r>
      <w:r w:rsidR="00F262EF">
        <w:rPr>
          <w:noProof/>
        </w:rPr>
        <w:t>2</w:t>
      </w:r>
      <w:r w:rsidR="00F262EF">
        <w:t>.</w:t>
      </w:r>
      <w:r w:rsidR="00F262EF">
        <w:rPr>
          <w:noProof/>
        </w:rPr>
        <w:t>8</w:t>
      </w:r>
      <w:r w:rsidR="0002785F">
        <w:fldChar w:fldCharType="end"/>
      </w:r>
      <w:r>
        <w:t xml:space="preserve"> og analysen under </w:t>
      </w:r>
      <w:r w:rsidR="00976D72">
        <w:t>presentere</w:t>
      </w:r>
      <w:r w:rsidR="00FF323B">
        <w:t>s</w:t>
      </w:r>
      <w:r w:rsidR="00976D72">
        <w:t xml:space="preserve"> data fra </w:t>
      </w:r>
      <w:r w:rsidR="004E101E">
        <w:t>vår</w:t>
      </w:r>
      <w:r w:rsidR="00976D72">
        <w:t>semesteret 2022</w:t>
      </w:r>
      <w:r w:rsidR="004E101E">
        <w:t>,</w:t>
      </w:r>
      <w:r w:rsidR="0002785F">
        <w:t xml:space="preserve"> </w:t>
      </w:r>
      <w:r w:rsidR="004E101E">
        <w:t>som hadde</w:t>
      </w:r>
      <w:r w:rsidR="00976D72" w:rsidDel="004E101E">
        <w:t xml:space="preserve"> </w:t>
      </w:r>
      <w:r w:rsidR="00976D72">
        <w:t>flest kandidater</w:t>
      </w:r>
      <w:r w:rsidR="00D31A2E">
        <w:t>.</w:t>
      </w:r>
      <w:r w:rsidR="00976D72">
        <w:t xml:space="preserve"> </w:t>
      </w:r>
      <w:r w:rsidR="00D31A2E">
        <w:t xml:space="preserve">Det var </w:t>
      </w:r>
      <w:r w:rsidR="00976D72">
        <w:t>da</w:t>
      </w:r>
      <w:r w:rsidR="00976D72" w:rsidDel="00D31A2E">
        <w:t xml:space="preserve"> </w:t>
      </w:r>
      <w:r w:rsidR="00976D72">
        <w:t>om lag tre ganger så mange kandidater som på høsten. Dette</w:t>
      </w:r>
      <w:r w:rsidR="00915CAD">
        <w:t xml:space="preserve"> gir </w:t>
      </w:r>
      <w:r w:rsidR="00976D72">
        <w:t xml:space="preserve">mer sammenlignbare </w:t>
      </w:r>
      <w:r w:rsidR="00915CAD">
        <w:t xml:space="preserve">tall </w:t>
      </w:r>
      <w:r w:rsidR="00976D72">
        <w:t xml:space="preserve">enn </w:t>
      </w:r>
      <w:r w:rsidR="00D760D4">
        <w:t>å inkludere</w:t>
      </w:r>
      <w:r w:rsidR="00976D72">
        <w:t xml:space="preserve"> begge semestrene.</w:t>
      </w:r>
      <w:r w:rsidR="005F1E3C">
        <w:t xml:space="preserve"> Samtidig </w:t>
      </w:r>
      <w:r w:rsidR="004120D7">
        <w:t>inneb</w:t>
      </w:r>
      <w:r w:rsidR="005D7FF4">
        <w:t xml:space="preserve">ærer valget </w:t>
      </w:r>
      <w:r w:rsidR="00976D72">
        <w:t xml:space="preserve">at </w:t>
      </w:r>
      <w:r w:rsidR="00497117">
        <w:t xml:space="preserve">ikke alle institusjoner </w:t>
      </w:r>
      <w:r w:rsidR="006554AC">
        <w:t xml:space="preserve">er inkludert i tallene </w:t>
      </w:r>
      <w:r w:rsidR="006F6AC8">
        <w:t>som ligger til grunn for</w:t>
      </w:r>
      <w:r w:rsidR="004B17F6">
        <w:t xml:space="preserve"> </w:t>
      </w:r>
      <w:r w:rsidR="004D43E0">
        <w:fldChar w:fldCharType="begin"/>
      </w:r>
      <w:r w:rsidR="004D43E0">
        <w:instrText xml:space="preserve"> REF  _Ref132294308 \* Lower \h </w:instrText>
      </w:r>
      <w:r w:rsidR="004D43E0">
        <w:fldChar w:fldCharType="separate"/>
      </w:r>
      <w:r w:rsidR="00F262EF">
        <w:t xml:space="preserve">figur </w:t>
      </w:r>
      <w:r w:rsidR="00F262EF">
        <w:rPr>
          <w:noProof/>
        </w:rPr>
        <w:t>2</w:t>
      </w:r>
      <w:r w:rsidR="00F262EF">
        <w:t>.</w:t>
      </w:r>
      <w:r w:rsidR="00F262EF">
        <w:rPr>
          <w:noProof/>
        </w:rPr>
        <w:t>8</w:t>
      </w:r>
      <w:r w:rsidR="004D43E0">
        <w:fldChar w:fldCharType="end"/>
      </w:r>
      <w:r w:rsidR="00365A72">
        <w:t xml:space="preserve"> </w:t>
      </w:r>
      <w:r w:rsidR="006F6AC8">
        <w:t xml:space="preserve">og omtalen nedenfor. </w:t>
      </w:r>
    </w:p>
    <w:p w14:paraId="1D94D0B4" w14:textId="6C24CA3C" w:rsidR="005D6D67" w:rsidRDefault="005D6D67" w:rsidP="005D6D67">
      <w:pPr>
        <w:pStyle w:val="Bildetekst"/>
        <w:keepNext/>
      </w:pPr>
      <w:bookmarkStart w:id="57" w:name="_Ref132294308"/>
      <w:bookmarkStart w:id="58" w:name="_Toc134792769"/>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8</w:t>
      </w:r>
      <w:r>
        <w:fldChar w:fldCharType="end"/>
      </w:r>
      <w:bookmarkEnd w:id="57"/>
      <w:r>
        <w:t xml:space="preserve"> </w:t>
      </w:r>
      <w:r w:rsidRPr="00A47CE5">
        <w:t>Karakterfordeling matematikk i grunnskolelærerutdanningene, våren 2022. Prosent</w:t>
      </w:r>
      <w:bookmarkEnd w:id="58"/>
    </w:p>
    <w:p w14:paraId="172CBF87" w14:textId="77777777" w:rsidR="005D6D67" w:rsidRDefault="002B5A5C">
      <w:r>
        <w:rPr>
          <w:noProof/>
        </w:rPr>
        <w:drawing>
          <wp:inline distT="0" distB="0" distL="0" distR="0" wp14:anchorId="160BA1E1" wp14:editId="52ACC20B">
            <wp:extent cx="5157216" cy="2743200"/>
            <wp:effectExtent l="0" t="0" r="5715" b="0"/>
            <wp:docPr id="2050134217" name="Diagram 1">
              <a:extLst xmlns:a="http://schemas.openxmlformats.org/drawingml/2006/main">
                <a:ext uri="{FF2B5EF4-FFF2-40B4-BE49-F238E27FC236}">
                  <a16:creationId xmlns:a16="http://schemas.microsoft.com/office/drawing/2014/main" id="{9AF3E775-6AC1-5AF2-DB3C-96C2FE3ED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651DA9" w14:textId="26550450" w:rsidR="008E33F8" w:rsidRDefault="005D6D67" w:rsidP="00843E93">
      <w:pPr>
        <w:pStyle w:val="Kilde"/>
      </w:pPr>
      <w:r>
        <w:t xml:space="preserve">Kilde: </w:t>
      </w:r>
      <w:proofErr w:type="spellStart"/>
      <w:r>
        <w:t>NOKUT</w:t>
      </w:r>
      <w:proofErr w:type="spellEnd"/>
      <w:r w:rsidR="008E33F8">
        <w:br w:type="page"/>
      </w:r>
    </w:p>
    <w:p w14:paraId="08F7FE94" w14:textId="08738DE4" w:rsidR="000A32C0" w:rsidRDefault="000A32C0" w:rsidP="000A32C0">
      <w:r>
        <w:lastRenderedPageBreak/>
        <w:t>På GLU 1-7 hadde NTNU (Trondheim) de beste resultatene, her oppnådde kandidatene en snittkarakter på 2,5 («svak» C)</w:t>
      </w:r>
      <w:r w:rsidR="00060FDB">
        <w:t>.</w:t>
      </w:r>
      <w:r>
        <w:t xml:space="preserve"> </w:t>
      </w:r>
      <w:r w:rsidR="00060FDB">
        <w:t>N</w:t>
      </w:r>
      <w:r>
        <w:t xml:space="preserve">est høyest var </w:t>
      </w:r>
      <w:r w:rsidR="00956344">
        <w:t>karaktersnittet</w:t>
      </w:r>
      <w:r w:rsidDel="00896D6B">
        <w:t xml:space="preserve"> </w:t>
      </w:r>
      <w:r w:rsidR="00896D6B">
        <w:t xml:space="preserve">ved </w:t>
      </w:r>
      <w:proofErr w:type="spellStart"/>
      <w:r>
        <w:t>UiS</w:t>
      </w:r>
      <w:proofErr w:type="spellEnd"/>
      <w:r>
        <w:t xml:space="preserve"> med 2,2 (D)</w:t>
      </w:r>
      <w:r w:rsidR="007D78B7">
        <w:t>, mens det</w:t>
      </w:r>
      <w:r>
        <w:t xml:space="preserve"> </w:t>
      </w:r>
      <w:r w:rsidR="007D78B7">
        <w:t>l</w:t>
      </w:r>
      <w:r>
        <w:t>avest</w:t>
      </w:r>
      <w:r w:rsidR="007D78B7">
        <w:t>e</w:t>
      </w:r>
      <w:r>
        <w:t xml:space="preserve"> karaktersnitt</w:t>
      </w:r>
      <w:r w:rsidR="004F6E2C">
        <w:t>et</w:t>
      </w:r>
      <w:r>
        <w:t xml:space="preserve"> var </w:t>
      </w:r>
      <w:r w:rsidR="004F6E2C">
        <w:t>å finne</w:t>
      </w:r>
      <w:r w:rsidDel="004F6E2C">
        <w:t xml:space="preserve"> </w:t>
      </w:r>
      <w:r>
        <w:t xml:space="preserve">på </w:t>
      </w:r>
      <w:proofErr w:type="spellStart"/>
      <w:r w:rsidRPr="00DB57F9">
        <w:t>USN</w:t>
      </w:r>
      <w:proofErr w:type="spellEnd"/>
      <w:r w:rsidRPr="00DB57F9">
        <w:t xml:space="preserve"> Drammen</w:t>
      </w:r>
      <w:r>
        <w:t xml:space="preserve"> med 0,9 (E). </w:t>
      </w:r>
    </w:p>
    <w:p w14:paraId="4D5DF802" w14:textId="2689EB41" w:rsidR="00891606" w:rsidRDefault="00A77EF4" w:rsidP="000A32C0">
      <w:r>
        <w:t>Også</w:t>
      </w:r>
      <w:r w:rsidR="00D70473">
        <w:t xml:space="preserve"> </w:t>
      </w:r>
      <w:r w:rsidR="00B37296">
        <w:t>p</w:t>
      </w:r>
      <w:r w:rsidR="000A32C0">
        <w:t xml:space="preserve">å GLU 5-10 hadde NTNU (Trondheim) de beste resultatene </w:t>
      </w:r>
      <w:r w:rsidR="004F6E2C">
        <w:t>med</w:t>
      </w:r>
      <w:r w:rsidR="000A32C0">
        <w:t xml:space="preserve"> en snittkarakter på 3,3 (på </w:t>
      </w:r>
      <w:r w:rsidR="000A32C0" w:rsidRPr="008D6DF0">
        <w:t>vippen mellom C og B</w:t>
      </w:r>
      <w:r w:rsidR="000A32C0">
        <w:t>)</w:t>
      </w:r>
      <w:r w:rsidR="00C11A95">
        <w:t>.</w:t>
      </w:r>
      <w:r w:rsidR="000A32C0">
        <w:t xml:space="preserve"> </w:t>
      </w:r>
      <w:r w:rsidR="00C11A95">
        <w:t>N</w:t>
      </w:r>
      <w:r w:rsidR="000A32C0">
        <w:t xml:space="preserve">est høyest var </w:t>
      </w:r>
      <w:r w:rsidR="0034252C">
        <w:t>gjennomsnit</w:t>
      </w:r>
      <w:r w:rsidR="007B7B08">
        <w:t>t</w:t>
      </w:r>
      <w:r w:rsidR="0034252C">
        <w:t xml:space="preserve">et </w:t>
      </w:r>
      <w:r w:rsidR="000A32C0">
        <w:t xml:space="preserve">på </w:t>
      </w:r>
      <w:proofErr w:type="spellStart"/>
      <w:r w:rsidR="000A32C0">
        <w:t>HVL</w:t>
      </w:r>
      <w:proofErr w:type="spellEnd"/>
      <w:r w:rsidR="000A32C0">
        <w:t xml:space="preserve"> Sogndal med 2,7 (C)</w:t>
      </w:r>
      <w:r w:rsidR="00D01165">
        <w:t>, mens det var lavest</w:t>
      </w:r>
      <w:r w:rsidR="000A32C0">
        <w:t xml:space="preserve"> på </w:t>
      </w:r>
      <w:proofErr w:type="spellStart"/>
      <w:r w:rsidR="000A32C0" w:rsidRPr="00DB57F9">
        <w:t>USN</w:t>
      </w:r>
      <w:proofErr w:type="spellEnd"/>
      <w:r w:rsidR="000A32C0" w:rsidRPr="00DB57F9">
        <w:t xml:space="preserve"> Drammen</w:t>
      </w:r>
      <w:r w:rsidR="000A32C0">
        <w:t xml:space="preserve"> med 0,7</w:t>
      </w:r>
      <w:r w:rsidR="0024695E">
        <w:t>, det vil si stryk.</w:t>
      </w:r>
      <w:r w:rsidR="000A32C0">
        <w:t xml:space="preserve"> </w:t>
      </w:r>
    </w:p>
    <w:bookmarkStart w:id="59" w:name="_Toc134792816"/>
    <w:p w14:paraId="49023492" w14:textId="0E27A33C" w:rsidR="000A32C0" w:rsidRDefault="0017149C" w:rsidP="00A94419">
      <w:pPr>
        <w:pStyle w:val="Bildetekst"/>
      </w:pPr>
      <w:r w:rsidRPr="00F577F0">
        <w:rPr>
          <w:noProof/>
        </w:rPr>
        <mc:AlternateContent>
          <mc:Choice Requires="wps">
            <w:drawing>
              <wp:anchor distT="45720" distB="45720" distL="114300" distR="114300" simplePos="0" relativeHeight="251658240" behindDoc="0" locked="0" layoutInCell="1" allowOverlap="1" wp14:anchorId="6B327786" wp14:editId="0FE15BBD">
                <wp:simplePos x="0" y="0"/>
                <wp:positionH relativeFrom="margin">
                  <wp:align>right</wp:align>
                </wp:positionH>
                <wp:positionV relativeFrom="paragraph">
                  <wp:posOffset>489478</wp:posOffset>
                </wp:positionV>
                <wp:extent cx="5146040" cy="5758815"/>
                <wp:effectExtent l="38100" t="38100" r="54610" b="51435"/>
                <wp:wrapSquare wrapText="bothSides"/>
                <wp:docPr id="699318409" name="Tekstboks 699318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5758851"/>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0AE2E56F" w14:textId="2B04BE48" w:rsidR="006B7C31" w:rsidRDefault="00A71812" w:rsidP="00A71812">
                            <w:r>
                              <w:t>Både i grunnskolen og i videregående skole har det vist seg at elever presterer svakt i algebraisk tenkning. Resultater fra nasjonale eksamener i matematikk viser at det samme gjelder for studenter på grunnskolelærerutdanningen. Tidligere studier har vist at forkunnskaper er viktig for fremtidig prestasjon, spesielt i matematiske fag. </w:t>
                            </w:r>
                            <w:proofErr w:type="spellStart"/>
                            <w:r>
                              <w:t>NOKUT</w:t>
                            </w:r>
                            <w:proofErr w:type="spellEnd"/>
                            <w:r>
                              <w:t xml:space="preserve"> har nylig gjort en studie som utforsker sammenhengen mellom prestasjoner på videregående skole og resultater på nasjonal deleksamen i algebraisk tenkning for grunnskolelærerutdanningene (GLU) 1-7 og 5-10.</w:t>
                            </w:r>
                            <w:r w:rsidR="006B7C31">
                              <w:t xml:space="preserve"> </w:t>
                            </w:r>
                            <w:r w:rsidR="0017149C" w:rsidRPr="0017149C">
                              <w:t>Prestasjoner fra videregående skole ble benyttet som mål på kandidatens forkunnskaper. Analysene kontrollerer for kjønn og alder. Data ble analysert med separate flernivåanalyser per studieløp der studenter ble gruppert under campus</w:t>
                            </w:r>
                            <w:r w:rsidR="006B7C31">
                              <w:t>.</w:t>
                            </w:r>
                          </w:p>
                          <w:p w14:paraId="4F0172D0" w14:textId="58E9F8A7" w:rsidR="00A71812" w:rsidRDefault="00A71812" w:rsidP="00A71812">
                            <w:r>
                              <w:t>Studien benytter data fra nasjonal deleksamen for GLU 1-7 (n = 932) og GLU 5-10 (</w:t>
                            </w:r>
                            <w:r w:rsidR="005B54F9">
                              <w:t xml:space="preserve">n = </w:t>
                            </w:r>
                            <w:r>
                              <w:t>537). Resultatene viser at forkunnskaper fra videregående har stor betydning for senere prestasjoner: Både det å ha hatt R- eller S-matte</w:t>
                            </w:r>
                            <w:r w:rsidR="00DD12DB">
                              <w:t xml:space="preserve">* </w:t>
                            </w:r>
                            <w:r>
                              <w:t xml:space="preserve">på videregående, det å ha fått høye matematikkarakterer og høy gjennomsnittskarakter, og det å ha gått på studieforberedende linje henger sammen med bedre karakterer på nasjonal deleksamen for GLU 1-7 og GLU 5-10. Matematikkarakterer fra videregående ser ut til å ha særlig mye å si for prestasjonene til studentene på GLU 5-10. Kjønn fremstår som ubetydelig for studentenes karakterprestasjon i seg selv, mens høyere alder synes å henge sammen med bedre karakterer. </w:t>
                            </w:r>
                          </w:p>
                          <w:p w14:paraId="059E64B1" w14:textId="77777777" w:rsidR="00A71812" w:rsidRDefault="00A71812" w:rsidP="00A71812">
                            <w:r>
                              <w:t>I praksis betyr funnene at en kandidat fra GLU 5-10 fra studieforberedende linje med R/S-matte fort vil skåre en til to karakterer høyere på nasjonal deleksamen enn en kandidat fra yrkesfag med P-matte. Samtidig gjenstår en del uforklart variasjon, noe som indikerer at andre faktorer også kan være av betydning for kandidatenes prestasjoner. Fremtidige studier bør derfor undersøke andre faktorer enn forkunnskaper for å gi mer innsikt i studentenes prestasjoner på nasjonal deleksamen. Dette fremstår særlig relevant for GLU 1-7, der forkunnskaper bare forklarer en moderat andel av variasjonen i kandidatenes prestasjoner.</w:t>
                            </w:r>
                          </w:p>
                          <w:p w14:paraId="0792139F" w14:textId="650317DB" w:rsidR="001E2EE4" w:rsidRDefault="00DD12DB" w:rsidP="00A71812">
                            <w:pPr>
                              <w:pStyle w:val="Kilde"/>
                              <w:rPr>
                                <w:b w:val="0"/>
                                <w:bCs/>
                                <w:szCs w:val="18"/>
                              </w:rPr>
                            </w:pPr>
                            <w:r>
                              <w:rPr>
                                <w:b w:val="0"/>
                                <w:bCs/>
                                <w:szCs w:val="18"/>
                              </w:rPr>
                              <w:t xml:space="preserve">* </w:t>
                            </w:r>
                            <w:r w:rsidR="00A71812" w:rsidRPr="00BE35FF">
                              <w:rPr>
                                <w:b w:val="0"/>
                                <w:bCs/>
                                <w:szCs w:val="18"/>
                              </w:rPr>
                              <w:t>Matematikk for realfag eller matematikk for samfunnsfag. Det vanligste alternativet er P-matte (praktisk matematikk).</w:t>
                            </w:r>
                          </w:p>
                          <w:p w14:paraId="0A076506" w14:textId="77777777" w:rsidR="00BE35FF" w:rsidRDefault="00BE35FF" w:rsidP="00A71812">
                            <w:pPr>
                              <w:pStyle w:val="Kilde"/>
                              <w:rPr>
                                <w:b w:val="0"/>
                                <w:bCs/>
                                <w:szCs w:val="18"/>
                              </w:rPr>
                            </w:pPr>
                          </w:p>
                          <w:p w14:paraId="58BB5BBD" w14:textId="77777777" w:rsidR="00BE35FF" w:rsidRPr="00BE35FF" w:rsidRDefault="00BE35FF" w:rsidP="00A71812">
                            <w:pPr>
                              <w:pStyle w:val="Kilde"/>
                              <w:rPr>
                                <w:bCs/>
                                <w:sz w:val="20"/>
                              </w:rPr>
                            </w:pPr>
                            <w:r w:rsidRPr="00BE35FF">
                              <w:rPr>
                                <w:bCs/>
                                <w:sz w:val="20"/>
                              </w:rPr>
                              <w:t xml:space="preserve">Utarbeidet av </w:t>
                            </w:r>
                            <w:proofErr w:type="spellStart"/>
                            <w:r w:rsidRPr="00BE35FF">
                              <w:rPr>
                                <w:bCs/>
                                <w:sz w:val="20"/>
                              </w:rPr>
                              <w:t>NOKUT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27786" id="Tekstboks 699318409" o:spid="_x0000_s1027" type="#_x0000_t202" style="position:absolute;margin-left:354pt;margin-top:38.55pt;width:405.2pt;height:453.4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" strokecolor="#362683">
                <v:textbox>
                  <w:txbxContent>
                    <w:p w14:paraId="0AE2E56F" w14:textId="2B04BE48" w:rsidR="006B7C31" w:rsidRDefault="00A71812" w:rsidP="00A71812">
                      <w:r>
                        <w:t>Både i grunnskolen og i videregående skole har det vist seg at elever presterer svakt i algebraisk tenkning. Resultater fra nasjonale eksamener i matematikk viser at det samme gjelder for studenter på grunnskolelærerutdanningen. Tidligere studier har vist at forkunnskaper er viktig for fremtidig prestasjon, spesielt i matematiske fag. NOKUT har nylig gjort en studie som utforsker sammenhengen mellom prestasjoner på videregående skole og resultater på nasjonal deleksamen i algebraisk tenkning for grunnskolelærerutdanningene (GLU) 1-7 og 5-10.</w:t>
                      </w:r>
                      <w:r w:rsidR="006B7C31">
                        <w:t xml:space="preserve"> </w:t>
                      </w:r>
                      <w:r w:rsidR="0017149C" w:rsidRPr="0017149C">
                        <w:t>Prestasjoner fra videregående skole ble benyttet som mål på kandidatens forkunnskaper. Analysene kontrollerer for kjønn og alder. Data ble analysert med separate flernivåanalyser per studieløp der studenter ble gruppert under campus</w:t>
                      </w:r>
                      <w:r w:rsidR="006B7C31">
                        <w:t>.</w:t>
                      </w:r>
                    </w:p>
                    <w:p w14:paraId="4F0172D0" w14:textId="58E9F8A7" w:rsidR="00A71812" w:rsidRDefault="00A71812" w:rsidP="00A71812">
                      <w:r>
                        <w:t>Studien benytter data fra nasjonal deleksamen for GLU 1-7 (n = 932) og GLU 5-10 (</w:t>
                      </w:r>
                      <w:r w:rsidR="005B54F9">
                        <w:t xml:space="preserve">n = </w:t>
                      </w:r>
                      <w:r>
                        <w:t>537). Resultatene viser at forkunnskaper fra videregående har stor betydning for senere prestasjoner: Både det å ha hatt R- eller S-matte</w:t>
                      </w:r>
                      <w:r w:rsidR="00DD12DB">
                        <w:t xml:space="preserve">* </w:t>
                      </w:r>
                      <w:r>
                        <w:t xml:space="preserve">på videregående, det å ha fått høye matematikkarakterer og høy gjennomsnittskarakter, og det å ha gått på studieforberedende linje henger sammen med bedre karakterer på nasjonal deleksamen for GLU 1-7 og GLU 5-10. Matematikkarakterer fra videregående ser ut til å ha særlig mye å si for prestasjonene til studentene på GLU 5-10. Kjønn fremstår som ubetydelig for studentenes karakterprestasjon i seg selv, mens høyere alder synes å henge sammen med bedre karakterer. </w:t>
                      </w:r>
                    </w:p>
                    <w:p w14:paraId="059E64B1" w14:textId="77777777" w:rsidR="00A71812" w:rsidRDefault="00A71812" w:rsidP="00A71812">
                      <w:r>
                        <w:t>I praksis betyr funnene at en kandidat fra GLU 5-10 fra studieforberedende linje med R/S-matte fort vil skåre en til to karakterer høyere på nasjonal deleksamen enn en kandidat fra yrkesfag med P-matte. Samtidig gjenstår en del uforklart variasjon, noe som indikerer at andre faktorer også kan være av betydning for kandidatenes prestasjoner. Fremtidige studier bør derfor undersøke andre faktorer enn forkunnskaper for å gi mer innsikt i studentenes prestasjoner på nasjonal deleksamen. Dette fremstår særlig relevant for GLU 1-7, der forkunnskaper bare forklarer en moderat andel av variasjonen i kandidatenes prestasjoner.</w:t>
                      </w:r>
                    </w:p>
                    <w:p w14:paraId="0792139F" w14:textId="650317DB" w:rsidR="001E2EE4" w:rsidRDefault="00DD12DB" w:rsidP="00A71812">
                      <w:pPr>
                        <w:pStyle w:val="Kilde"/>
                        <w:rPr>
                          <w:b w:val="0"/>
                          <w:bCs/>
                          <w:szCs w:val="18"/>
                        </w:rPr>
                      </w:pPr>
                      <w:r>
                        <w:rPr>
                          <w:b w:val="0"/>
                          <w:bCs/>
                          <w:szCs w:val="18"/>
                        </w:rPr>
                        <w:t xml:space="preserve">* </w:t>
                      </w:r>
                      <w:r w:rsidR="00A71812" w:rsidRPr="00BE35FF">
                        <w:rPr>
                          <w:b w:val="0"/>
                          <w:bCs/>
                          <w:szCs w:val="18"/>
                        </w:rPr>
                        <w:t>Matematikk for realfag eller matematikk for samfunnsfag. Det vanligste alternativet er P-matte (praktisk matematikk).</w:t>
                      </w:r>
                    </w:p>
                    <w:p w14:paraId="0A076506" w14:textId="77777777" w:rsidR="00BE35FF" w:rsidRDefault="00BE35FF" w:rsidP="00A71812">
                      <w:pPr>
                        <w:pStyle w:val="Kilde"/>
                        <w:rPr>
                          <w:b w:val="0"/>
                          <w:bCs/>
                          <w:szCs w:val="18"/>
                        </w:rPr>
                      </w:pPr>
                    </w:p>
                    <w:p w14:paraId="58BB5BBD" w14:textId="77777777" w:rsidR="00BE35FF" w:rsidRPr="00BE35FF" w:rsidRDefault="00BE35FF" w:rsidP="00A71812">
                      <w:pPr>
                        <w:pStyle w:val="Kilde"/>
                        <w:rPr>
                          <w:bCs/>
                          <w:sz w:val="20"/>
                        </w:rPr>
                      </w:pPr>
                      <w:r w:rsidRPr="00BE35FF">
                        <w:rPr>
                          <w:bCs/>
                          <w:sz w:val="20"/>
                        </w:rPr>
                        <w:t>Utarbeidet av NOKUT</w:t>
                      </w:r>
                    </w:p>
                  </w:txbxContent>
                </v:textbox>
                <w10:wrap type="square" anchorx="margin"/>
              </v:shape>
            </w:pict>
          </mc:Fallback>
        </mc:AlternateContent>
      </w:r>
      <w:r w:rsidR="00A94419">
        <w:t xml:space="preserve">Tekstboks </w:t>
      </w:r>
      <w:r>
        <w:fldChar w:fldCharType="begin"/>
      </w:r>
      <w:r>
        <w:instrText>STYLEREF 1 \s</w:instrText>
      </w:r>
      <w:r>
        <w:fldChar w:fldCharType="separate"/>
      </w:r>
      <w:r w:rsidR="00F262EF">
        <w:rPr>
          <w:noProof/>
        </w:rPr>
        <w:t>2</w:t>
      </w:r>
      <w:r>
        <w:fldChar w:fldCharType="end"/>
      </w:r>
      <w:r w:rsidR="00F11FCC">
        <w:t>.</w:t>
      </w:r>
      <w:r>
        <w:fldChar w:fldCharType="begin"/>
      </w:r>
      <w:r>
        <w:instrText>SEQ Tekstboks \* ARABIC \s 1</w:instrText>
      </w:r>
      <w:r>
        <w:fldChar w:fldCharType="separate"/>
      </w:r>
      <w:r w:rsidR="00F262EF">
        <w:rPr>
          <w:noProof/>
        </w:rPr>
        <w:t>2</w:t>
      </w:r>
      <w:r>
        <w:fldChar w:fldCharType="end"/>
      </w:r>
      <w:r w:rsidR="00A94419">
        <w:t xml:space="preserve"> </w:t>
      </w:r>
      <w:r w:rsidR="00A94419" w:rsidRPr="00B86857">
        <w:t>Lærerstudenters resultater på nasjonal eksamen i matematikk</w:t>
      </w:r>
      <w:r w:rsidR="00D71CEF">
        <w:t xml:space="preserve"> -</w:t>
      </w:r>
      <w:r w:rsidR="00A94419" w:rsidRPr="00B86857">
        <w:t xml:space="preserve"> betydningen av forkunnskaper</w:t>
      </w:r>
      <w:bookmarkEnd w:id="59"/>
    </w:p>
    <w:p w14:paraId="19E0DAAD" w14:textId="77777777" w:rsidR="008E33F8" w:rsidRDefault="008E33F8">
      <w:pPr>
        <w:rPr>
          <w:rFonts w:asciiTheme="majorHAnsi" w:eastAsiaTheme="majorEastAsia" w:hAnsiTheme="majorHAnsi" w:cstheme="majorBidi"/>
          <w:b/>
          <w:color w:val="362683"/>
          <w:sz w:val="24"/>
          <w:szCs w:val="26"/>
        </w:rPr>
      </w:pPr>
      <w:r>
        <w:br w:type="page"/>
      </w:r>
    </w:p>
    <w:p w14:paraId="33F70DF4" w14:textId="06F5AC55" w:rsidR="000449AE" w:rsidRDefault="00ED1C13" w:rsidP="00AE4B98">
      <w:pPr>
        <w:pStyle w:val="Overskrift3"/>
      </w:pPr>
      <w:bookmarkStart w:id="60" w:name="_Toc134792725"/>
      <w:r w:rsidRPr="00ED1C13">
        <w:lastRenderedPageBreak/>
        <w:t xml:space="preserve">Oppfyllelse måltall på helsefag- og lærerutdanningene </w:t>
      </w:r>
      <w:r w:rsidR="00CF30BD">
        <w:t xml:space="preserve">- </w:t>
      </w:r>
      <w:r w:rsidRPr="00ED1C13">
        <w:t>nasjonal styringsparameter</w:t>
      </w:r>
      <w:bookmarkEnd w:id="60"/>
    </w:p>
    <w:p w14:paraId="355ACC09" w14:textId="2A5258F8" w:rsidR="0035363B" w:rsidRDefault="003E160F" w:rsidP="003E160F">
      <w:pPr>
        <w:rPr>
          <w:rStyle w:val="normaltextrun"/>
          <w:rFonts w:ascii="Arial" w:hAnsi="Arial" w:cs="Arial"/>
          <w:color w:val="000000"/>
          <w:shd w:val="clear" w:color="auto" w:fill="FFFFFF"/>
        </w:rPr>
      </w:pPr>
      <w:r w:rsidRPr="007C13F8">
        <w:rPr>
          <w:rStyle w:val="normaltextrun"/>
          <w:rFonts w:ascii="Arial" w:hAnsi="Arial" w:cs="Arial"/>
          <w:color w:val="000000"/>
          <w:shd w:val="clear" w:color="auto" w:fill="FFFFFF"/>
        </w:rPr>
        <w:t>Tilgang på kvalifisert arbeidskraft innen helse- og omsorgstjenestene og skoleverket er avgjørende for det norske samfunnet. Kunnskapsdepartementet har derfor satt måltall for antallet uteksaminerte kandidater fra helsefaglige utdanninger og lærerutdanninger.</w:t>
      </w:r>
      <w:r w:rsidR="00945D0E">
        <w:rPr>
          <w:rStyle w:val="normaltextrun"/>
          <w:rFonts w:ascii="Arial" w:hAnsi="Arial" w:cs="Arial"/>
          <w:color w:val="000000"/>
          <w:shd w:val="clear" w:color="auto" w:fill="FFFFFF"/>
        </w:rPr>
        <w:t xml:space="preserve"> </w:t>
      </w:r>
      <w:r w:rsidR="00945D0E" w:rsidRPr="007C13F8">
        <w:rPr>
          <w:rStyle w:val="normaltextrun"/>
          <w:rFonts w:ascii="Arial" w:hAnsi="Arial" w:cs="Arial"/>
          <w:color w:val="000000"/>
          <w:shd w:val="clear" w:color="auto" w:fill="FFFFFF"/>
        </w:rPr>
        <w:t xml:space="preserve">Totalt ble det uteksaminert om lag </w:t>
      </w:r>
      <w:r w:rsidR="00945D0E">
        <w:rPr>
          <w:rStyle w:val="normaltextrun"/>
          <w:rFonts w:ascii="Arial" w:hAnsi="Arial" w:cs="Arial"/>
          <w:color w:val="000000"/>
          <w:shd w:val="clear" w:color="auto" w:fill="FFFFFF"/>
        </w:rPr>
        <w:t>9</w:t>
      </w:r>
      <w:r w:rsidR="00D46DFF">
        <w:rPr>
          <w:rStyle w:val="normaltextrun"/>
          <w:rFonts w:ascii="Arial" w:hAnsi="Arial" w:cs="Arial"/>
          <w:color w:val="000000"/>
          <w:shd w:val="clear" w:color="auto" w:fill="FFFFFF"/>
        </w:rPr>
        <w:t> 0</w:t>
      </w:r>
      <w:r w:rsidR="005C5A8B">
        <w:rPr>
          <w:rStyle w:val="normaltextrun"/>
          <w:rFonts w:ascii="Arial" w:hAnsi="Arial" w:cs="Arial"/>
          <w:color w:val="000000"/>
          <w:shd w:val="clear" w:color="auto" w:fill="FFFFFF"/>
        </w:rPr>
        <w:t>00</w:t>
      </w:r>
      <w:r w:rsidR="00945D0E" w:rsidRPr="007C13F8">
        <w:rPr>
          <w:rStyle w:val="normaltextrun"/>
          <w:rFonts w:ascii="Arial" w:hAnsi="Arial" w:cs="Arial"/>
          <w:color w:val="000000"/>
          <w:shd w:val="clear" w:color="auto" w:fill="FFFFFF"/>
        </w:rPr>
        <w:t xml:space="preserve"> helsefagstudenter i 20</w:t>
      </w:r>
      <w:r w:rsidR="00D46DFF">
        <w:rPr>
          <w:rStyle w:val="normaltextrun"/>
          <w:rFonts w:ascii="Arial" w:hAnsi="Arial" w:cs="Arial"/>
          <w:color w:val="000000"/>
          <w:shd w:val="clear" w:color="auto" w:fill="FFFFFF"/>
        </w:rPr>
        <w:t>22</w:t>
      </w:r>
      <w:r w:rsidR="00945D0E" w:rsidRPr="007C13F8">
        <w:rPr>
          <w:rStyle w:val="normaltextrun"/>
          <w:rFonts w:ascii="Arial" w:hAnsi="Arial" w:cs="Arial"/>
          <w:color w:val="000000"/>
          <w:shd w:val="clear" w:color="auto" w:fill="FFFFFF"/>
        </w:rPr>
        <w:t>. Dette utgjør en samlet vekst på</w:t>
      </w:r>
      <w:r w:rsidR="007F2D04">
        <w:rPr>
          <w:rStyle w:val="normaltextrun"/>
          <w:rFonts w:ascii="Arial" w:hAnsi="Arial" w:cs="Arial"/>
          <w:color w:val="000000"/>
          <w:shd w:val="clear" w:color="auto" w:fill="FFFFFF"/>
        </w:rPr>
        <w:t xml:space="preserve"> 6,7 prosent</w:t>
      </w:r>
      <w:r w:rsidR="00757773">
        <w:rPr>
          <w:rStyle w:val="normaltextrun"/>
          <w:rFonts w:ascii="Arial" w:hAnsi="Arial" w:cs="Arial"/>
          <w:color w:val="000000"/>
          <w:shd w:val="clear" w:color="auto" w:fill="FFFFFF"/>
        </w:rPr>
        <w:t xml:space="preserve"> i forhold til året før, se </w:t>
      </w:r>
      <w:proofErr w:type="spellStart"/>
      <w:r w:rsidR="00757773">
        <w:rPr>
          <w:rStyle w:val="normaltextrun"/>
          <w:rFonts w:ascii="Arial" w:hAnsi="Arial" w:cs="Arial"/>
          <w:color w:val="000000"/>
          <w:shd w:val="clear" w:color="auto" w:fill="FFFFFF"/>
        </w:rPr>
        <w:t>vedleggstabell</w:t>
      </w:r>
      <w:proofErr w:type="spellEnd"/>
      <w:r w:rsidR="00757773">
        <w:rPr>
          <w:rStyle w:val="normaltextrun"/>
          <w:rFonts w:ascii="Arial" w:hAnsi="Arial" w:cs="Arial"/>
          <w:color w:val="000000"/>
          <w:shd w:val="clear" w:color="auto" w:fill="FFFFFF"/>
        </w:rPr>
        <w:t xml:space="preserve"> </w:t>
      </w:r>
      <w:hyperlink r:id="rId42" w:history="1">
        <w:r w:rsidR="00757773" w:rsidRPr="00C02CD3">
          <w:rPr>
            <w:rStyle w:val="Hyperkobling"/>
            <w:rFonts w:ascii="Arial" w:hAnsi="Arial" w:cs="Arial"/>
            <w:shd w:val="clear" w:color="auto" w:fill="FFFFFF"/>
          </w:rPr>
          <w:t>V2.31</w:t>
        </w:r>
      </w:hyperlink>
      <w:r w:rsidR="00757773">
        <w:rPr>
          <w:rStyle w:val="normaltextrun"/>
          <w:rFonts w:ascii="Arial" w:hAnsi="Arial" w:cs="Arial"/>
          <w:color w:val="000000"/>
          <w:shd w:val="clear" w:color="auto" w:fill="FFFFFF"/>
        </w:rPr>
        <w:t xml:space="preserve">. </w:t>
      </w:r>
    </w:p>
    <w:p w14:paraId="551E82CB" w14:textId="5EAB40EB" w:rsidR="00AF7351" w:rsidRPr="007C13F8" w:rsidRDefault="00E37852" w:rsidP="00AF7351">
      <w:pPr>
        <w:rPr>
          <w:rStyle w:val="normaltextrun"/>
          <w:rFonts w:ascii="Arial" w:hAnsi="Arial" w:cs="Arial"/>
          <w:color w:val="000000"/>
          <w:shd w:val="clear" w:color="auto" w:fill="FFFFFF"/>
        </w:rPr>
      </w:pPr>
      <w:r w:rsidRPr="007C13F8">
        <w:rPr>
          <w:rStyle w:val="normaltextrun"/>
          <w:rFonts w:ascii="Arial" w:hAnsi="Arial" w:cs="Arial"/>
          <w:color w:val="000000"/>
          <w:shd w:val="clear" w:color="auto" w:fill="FFFFFF"/>
        </w:rPr>
        <w:t>Helsefagene oppfyller samlet sett måltallet på 7</w:t>
      </w:r>
      <w:r w:rsidR="002A275F">
        <w:rPr>
          <w:rStyle w:val="normaltextrun"/>
          <w:rFonts w:ascii="Arial" w:hAnsi="Arial" w:cs="Arial"/>
          <w:color w:val="000000"/>
          <w:shd w:val="clear" w:color="auto" w:fill="FFFFFF"/>
        </w:rPr>
        <w:t> </w:t>
      </w:r>
      <w:r w:rsidRPr="007C13F8">
        <w:rPr>
          <w:rStyle w:val="normaltextrun"/>
          <w:rFonts w:ascii="Arial" w:hAnsi="Arial" w:cs="Arial"/>
          <w:color w:val="000000"/>
          <w:shd w:val="clear" w:color="auto" w:fill="FFFFFF"/>
        </w:rPr>
        <w:t>5</w:t>
      </w:r>
      <w:r>
        <w:rPr>
          <w:rStyle w:val="normaltextrun"/>
          <w:rFonts w:ascii="Arial" w:hAnsi="Arial" w:cs="Arial"/>
          <w:color w:val="000000"/>
          <w:shd w:val="clear" w:color="auto" w:fill="FFFFFF"/>
        </w:rPr>
        <w:t>58</w:t>
      </w:r>
      <w:r w:rsidRPr="007C13F8">
        <w:rPr>
          <w:rStyle w:val="normaltextrun"/>
          <w:rFonts w:ascii="Arial" w:hAnsi="Arial" w:cs="Arial"/>
          <w:color w:val="000000"/>
          <w:shd w:val="clear" w:color="auto" w:fill="FFFFFF"/>
        </w:rPr>
        <w:t xml:space="preserve"> </w:t>
      </w:r>
      <w:r w:rsidR="00CC34EC">
        <w:rPr>
          <w:rStyle w:val="normaltextrun"/>
          <w:rFonts w:ascii="Arial" w:hAnsi="Arial" w:cs="Arial"/>
          <w:color w:val="000000"/>
          <w:shd w:val="clear" w:color="auto" w:fill="FFFFFF"/>
        </w:rPr>
        <w:t xml:space="preserve">kandidater </w:t>
      </w:r>
      <w:r w:rsidRPr="007C13F8">
        <w:rPr>
          <w:rStyle w:val="normaltextrun"/>
          <w:rFonts w:ascii="Arial" w:hAnsi="Arial" w:cs="Arial"/>
          <w:color w:val="000000"/>
          <w:shd w:val="clear" w:color="auto" w:fill="FFFFFF"/>
        </w:rPr>
        <w:t xml:space="preserve">med god margin, men det er </w:t>
      </w:r>
      <w:r w:rsidR="00FC15BB">
        <w:rPr>
          <w:rStyle w:val="normaltextrun"/>
          <w:rFonts w:ascii="Arial" w:hAnsi="Arial" w:cs="Arial"/>
          <w:color w:val="000000"/>
          <w:shd w:val="clear" w:color="auto" w:fill="FFFFFF"/>
        </w:rPr>
        <w:t xml:space="preserve">noen </w:t>
      </w:r>
      <w:r w:rsidRPr="007C13F8">
        <w:rPr>
          <w:rStyle w:val="normaltextrun"/>
          <w:rFonts w:ascii="Arial" w:hAnsi="Arial" w:cs="Arial"/>
          <w:color w:val="000000"/>
          <w:shd w:val="clear" w:color="auto" w:fill="FFFFFF"/>
        </w:rPr>
        <w:t xml:space="preserve">forskjeller </w:t>
      </w:r>
      <w:r w:rsidR="003E04F8">
        <w:rPr>
          <w:rStyle w:val="normaltextrun"/>
          <w:rFonts w:ascii="Arial" w:hAnsi="Arial" w:cs="Arial"/>
          <w:color w:val="000000"/>
          <w:shd w:val="clear" w:color="auto" w:fill="FFFFFF"/>
        </w:rPr>
        <w:t xml:space="preserve">i måloppnåelse </w:t>
      </w:r>
      <w:r w:rsidRPr="007C13F8">
        <w:rPr>
          <w:rStyle w:val="normaltextrun"/>
          <w:rFonts w:ascii="Arial" w:hAnsi="Arial" w:cs="Arial"/>
          <w:color w:val="000000"/>
          <w:shd w:val="clear" w:color="auto" w:fill="FFFFFF"/>
        </w:rPr>
        <w:t>mellom de ulike helsefagutdanningene.</w:t>
      </w:r>
      <w:r w:rsidR="008B6D3A">
        <w:rPr>
          <w:rStyle w:val="normaltextrun"/>
          <w:rFonts w:ascii="Arial" w:hAnsi="Arial" w:cs="Arial"/>
          <w:color w:val="000000"/>
          <w:shd w:val="clear" w:color="auto" w:fill="FFFFFF"/>
        </w:rPr>
        <w:t xml:space="preserve"> </w:t>
      </w:r>
      <w:r w:rsidR="009D6DBA">
        <w:rPr>
          <w:rStyle w:val="normaltextrun"/>
          <w:rFonts w:ascii="Arial" w:hAnsi="Arial" w:cs="Arial"/>
          <w:color w:val="000000"/>
          <w:shd w:val="clear" w:color="auto" w:fill="FFFFFF"/>
        </w:rPr>
        <w:fldChar w:fldCharType="begin"/>
      </w:r>
      <w:r w:rsidR="009D6DBA">
        <w:rPr>
          <w:rStyle w:val="normaltextrun"/>
          <w:rFonts w:ascii="Arial" w:hAnsi="Arial" w:cs="Arial"/>
          <w:color w:val="000000"/>
          <w:shd w:val="clear" w:color="auto" w:fill="FFFFFF"/>
        </w:rPr>
        <w:instrText xml:space="preserve"> REF _Ref134714564 \h </w:instrText>
      </w:r>
      <w:r w:rsidR="009D6DBA">
        <w:rPr>
          <w:rStyle w:val="normaltextrun"/>
          <w:rFonts w:ascii="Arial" w:hAnsi="Arial" w:cs="Arial"/>
          <w:color w:val="000000"/>
          <w:shd w:val="clear" w:color="auto" w:fill="FFFFFF"/>
        </w:rPr>
      </w:r>
      <w:r w:rsidR="009D6DBA">
        <w:rPr>
          <w:rStyle w:val="normaltextrun"/>
          <w:rFonts w:ascii="Arial" w:hAnsi="Arial" w:cs="Arial"/>
          <w:color w:val="000000"/>
          <w:shd w:val="clear" w:color="auto" w:fill="FFFFFF"/>
        </w:rPr>
        <w:fldChar w:fldCharType="separate"/>
      </w:r>
      <w:r w:rsidR="00F262EF">
        <w:t xml:space="preserve">Figur </w:t>
      </w:r>
      <w:r w:rsidR="00F262EF">
        <w:rPr>
          <w:noProof/>
        </w:rPr>
        <w:t>2</w:t>
      </w:r>
      <w:r w:rsidR="00F262EF">
        <w:t>.</w:t>
      </w:r>
      <w:r w:rsidR="00F262EF">
        <w:rPr>
          <w:noProof/>
        </w:rPr>
        <w:t>9</w:t>
      </w:r>
      <w:r w:rsidR="009D6DBA">
        <w:rPr>
          <w:rStyle w:val="normaltextrun"/>
          <w:rFonts w:ascii="Arial" w:hAnsi="Arial" w:cs="Arial"/>
          <w:color w:val="000000"/>
          <w:shd w:val="clear" w:color="auto" w:fill="FFFFFF"/>
        </w:rPr>
        <w:fldChar w:fldCharType="end"/>
      </w:r>
      <w:r w:rsidR="009D6DBA">
        <w:rPr>
          <w:rStyle w:val="normaltextrun"/>
          <w:rFonts w:ascii="Arial" w:hAnsi="Arial" w:cs="Arial"/>
          <w:color w:val="000000"/>
          <w:shd w:val="clear" w:color="auto" w:fill="FFFFFF"/>
        </w:rPr>
        <w:t xml:space="preserve"> </w:t>
      </w:r>
      <w:r w:rsidR="00AF7351" w:rsidRPr="007C13F8">
        <w:rPr>
          <w:rStyle w:val="normaltextrun"/>
          <w:rFonts w:ascii="Arial" w:hAnsi="Arial" w:cs="Arial"/>
          <w:color w:val="000000"/>
          <w:shd w:val="clear" w:color="auto" w:fill="FFFFFF"/>
        </w:rPr>
        <w:t>viser oppfyllelsen av måltall blant de største helsefagutdanningene i 202</w:t>
      </w:r>
      <w:r w:rsidR="00AF7351">
        <w:rPr>
          <w:rStyle w:val="normaltextrun"/>
          <w:rFonts w:ascii="Arial" w:hAnsi="Arial" w:cs="Arial"/>
          <w:color w:val="000000"/>
          <w:shd w:val="clear" w:color="auto" w:fill="FFFFFF"/>
        </w:rPr>
        <w:t>2</w:t>
      </w:r>
      <w:r w:rsidR="00AF7351" w:rsidRPr="007C13F8">
        <w:rPr>
          <w:rStyle w:val="normaltextrun"/>
          <w:rFonts w:ascii="Arial" w:hAnsi="Arial" w:cs="Arial"/>
          <w:color w:val="000000"/>
          <w:shd w:val="clear" w:color="auto" w:fill="FFFFFF"/>
        </w:rPr>
        <w:t>. Det er bare tre av de største helsefagutdanningene som ikke når målet for antall uteksaminerte i 202</w:t>
      </w:r>
      <w:r w:rsidR="00AF7351">
        <w:rPr>
          <w:rStyle w:val="normaltextrun"/>
          <w:rFonts w:ascii="Arial" w:hAnsi="Arial" w:cs="Arial"/>
          <w:color w:val="000000"/>
          <w:shd w:val="clear" w:color="auto" w:fill="FFFFFF"/>
        </w:rPr>
        <w:t>2</w:t>
      </w:r>
      <w:r w:rsidR="00AF7351" w:rsidRPr="007C13F8">
        <w:rPr>
          <w:rStyle w:val="normaltextrun"/>
          <w:rFonts w:ascii="Arial" w:hAnsi="Arial" w:cs="Arial"/>
          <w:color w:val="000000"/>
          <w:shd w:val="clear" w:color="auto" w:fill="FFFFFF"/>
        </w:rPr>
        <w:t xml:space="preserve">, </w:t>
      </w:r>
      <w:r w:rsidR="006600A6">
        <w:rPr>
          <w:rStyle w:val="normaltextrun"/>
          <w:rFonts w:ascii="Arial" w:hAnsi="Arial" w:cs="Arial"/>
          <w:color w:val="000000"/>
          <w:shd w:val="clear" w:color="auto" w:fill="FFFFFF"/>
        </w:rPr>
        <w:t>a</w:t>
      </w:r>
      <w:r w:rsidR="006600A6" w:rsidRPr="007C13F8">
        <w:rPr>
          <w:rStyle w:val="normaltextrun"/>
          <w:rFonts w:ascii="Arial" w:hAnsi="Arial" w:cs="Arial"/>
          <w:color w:val="000000"/>
          <w:shd w:val="clear" w:color="auto" w:fill="FFFFFF"/>
        </w:rPr>
        <w:t xml:space="preserve">v disse er </w:t>
      </w:r>
      <w:proofErr w:type="spellStart"/>
      <w:r w:rsidR="006600A6">
        <w:rPr>
          <w:rStyle w:val="normaltextrun"/>
          <w:rFonts w:ascii="Arial" w:hAnsi="Arial" w:cs="Arial"/>
          <w:color w:val="000000"/>
          <w:shd w:val="clear" w:color="auto" w:fill="FFFFFF"/>
        </w:rPr>
        <w:t>jordmor</w:t>
      </w:r>
      <w:r w:rsidR="006600A6" w:rsidRPr="007C13F8">
        <w:rPr>
          <w:rStyle w:val="normaltextrun"/>
          <w:rFonts w:ascii="Arial" w:hAnsi="Arial" w:cs="Arial"/>
          <w:color w:val="000000"/>
          <w:shd w:val="clear" w:color="auto" w:fill="FFFFFF"/>
        </w:rPr>
        <w:t>utdanningen</w:t>
      </w:r>
      <w:proofErr w:type="spellEnd"/>
      <w:r w:rsidR="006600A6" w:rsidRPr="007C13F8">
        <w:rPr>
          <w:rStyle w:val="normaltextrun"/>
          <w:rFonts w:ascii="Arial" w:hAnsi="Arial" w:cs="Arial"/>
          <w:color w:val="000000"/>
          <w:shd w:val="clear" w:color="auto" w:fill="FFFFFF"/>
        </w:rPr>
        <w:t xml:space="preserve"> lengst unna målet</w:t>
      </w:r>
      <w:r w:rsidR="006600A6">
        <w:rPr>
          <w:rStyle w:val="normaltextrun"/>
          <w:rFonts w:ascii="Arial" w:hAnsi="Arial" w:cs="Arial"/>
          <w:color w:val="000000"/>
          <w:shd w:val="clear" w:color="auto" w:fill="FFFFFF"/>
        </w:rPr>
        <w:t xml:space="preserve"> med 76 prosent måloppnåelse. </w:t>
      </w:r>
      <w:r w:rsidR="009006A2">
        <w:rPr>
          <w:rStyle w:val="normaltextrun"/>
          <w:rFonts w:ascii="Arial" w:hAnsi="Arial" w:cs="Arial"/>
          <w:color w:val="000000"/>
          <w:shd w:val="clear" w:color="auto" w:fill="FFFFFF"/>
        </w:rPr>
        <w:t>I</w:t>
      </w:r>
      <w:r w:rsidR="00AF7351" w:rsidRPr="007C13F8">
        <w:rPr>
          <w:rStyle w:val="normaltextrun"/>
          <w:rFonts w:ascii="Arial" w:hAnsi="Arial" w:cs="Arial"/>
          <w:color w:val="000000"/>
          <w:shd w:val="clear" w:color="auto" w:fill="FFFFFF"/>
        </w:rPr>
        <w:t xml:space="preserve"> tillegg til </w:t>
      </w:r>
      <w:proofErr w:type="spellStart"/>
      <w:r w:rsidR="00AF7351">
        <w:rPr>
          <w:rStyle w:val="normaltextrun"/>
          <w:rFonts w:ascii="Arial" w:hAnsi="Arial" w:cs="Arial"/>
          <w:color w:val="000000"/>
          <w:shd w:val="clear" w:color="auto" w:fill="FFFFFF"/>
        </w:rPr>
        <w:t>jordmor</w:t>
      </w:r>
      <w:r w:rsidR="00AF7351" w:rsidRPr="007C13F8">
        <w:rPr>
          <w:rStyle w:val="normaltextrun"/>
          <w:rFonts w:ascii="Arial" w:hAnsi="Arial" w:cs="Arial"/>
          <w:color w:val="000000"/>
          <w:shd w:val="clear" w:color="auto" w:fill="FFFFFF"/>
        </w:rPr>
        <w:t>utdanningene</w:t>
      </w:r>
      <w:proofErr w:type="spellEnd"/>
      <w:r w:rsidR="00AF7351" w:rsidRPr="007C13F8">
        <w:rPr>
          <w:rStyle w:val="normaltextrun"/>
          <w:rFonts w:ascii="Arial" w:hAnsi="Arial" w:cs="Arial"/>
          <w:color w:val="000000"/>
          <w:shd w:val="clear" w:color="auto" w:fill="FFFFFF"/>
        </w:rPr>
        <w:t xml:space="preserve"> er det </w:t>
      </w:r>
      <w:r w:rsidR="00AF7351">
        <w:rPr>
          <w:rStyle w:val="normaltextrun"/>
          <w:rFonts w:ascii="Arial" w:hAnsi="Arial" w:cs="Arial"/>
          <w:color w:val="000000"/>
          <w:shd w:val="clear" w:color="auto" w:fill="FFFFFF"/>
        </w:rPr>
        <w:t>odontologi</w:t>
      </w:r>
      <w:r w:rsidR="00AF7351" w:rsidRPr="007C13F8">
        <w:rPr>
          <w:rStyle w:val="normaltextrun"/>
          <w:rFonts w:ascii="Arial" w:hAnsi="Arial" w:cs="Arial"/>
          <w:color w:val="000000"/>
          <w:shd w:val="clear" w:color="auto" w:fill="FFFFFF"/>
        </w:rPr>
        <w:t>utdanningene og medisinutdanningene</w:t>
      </w:r>
      <w:r w:rsidR="009006A2">
        <w:rPr>
          <w:rStyle w:val="normaltextrun"/>
          <w:rFonts w:ascii="Arial" w:hAnsi="Arial" w:cs="Arial"/>
          <w:color w:val="000000"/>
          <w:shd w:val="clear" w:color="auto" w:fill="FFFFFF"/>
        </w:rPr>
        <w:t xml:space="preserve"> som ikke når måltallet</w:t>
      </w:r>
      <w:r w:rsidR="00AF7351" w:rsidRPr="007C13F8">
        <w:rPr>
          <w:rStyle w:val="normaltextrun"/>
          <w:rFonts w:ascii="Arial" w:hAnsi="Arial" w:cs="Arial"/>
          <w:color w:val="000000"/>
          <w:shd w:val="clear" w:color="auto" w:fill="FFFFFF"/>
        </w:rPr>
        <w:t>.</w:t>
      </w:r>
      <w:r w:rsidR="00AF7351" w:rsidRPr="007C13F8">
        <w:rPr>
          <w:rStyle w:val="normaltextrun"/>
          <w:color w:val="000000"/>
          <w:shd w:val="clear" w:color="auto" w:fill="FFFFFF"/>
        </w:rPr>
        <w:t> </w:t>
      </w:r>
    </w:p>
    <w:p w14:paraId="779C7828" w14:textId="7226383A" w:rsidR="00FF6E3D" w:rsidRPr="00CD3F59" w:rsidRDefault="00FF6E3D" w:rsidP="00FF6E3D">
      <w:pPr>
        <w:pStyle w:val="Bildetekst"/>
        <w:keepNext/>
        <w:rPr>
          <w:rStyle w:val="normaltextrun"/>
        </w:rPr>
      </w:pPr>
      <w:bookmarkStart w:id="61" w:name="_Ref134714564"/>
      <w:bookmarkStart w:id="62" w:name="_Toc134792770"/>
      <w:r>
        <w:t xml:space="preserve">Figur </w:t>
      </w:r>
      <w:r>
        <w:fldChar w:fldCharType="begin"/>
      </w:r>
      <w:r>
        <w:instrText>STYLEREF 1 \s</w:instrText>
      </w:r>
      <w:r>
        <w:fldChar w:fldCharType="separate"/>
      </w:r>
      <w:r w:rsidR="00F262EF">
        <w:rPr>
          <w:noProof/>
        </w:rPr>
        <w:t>2</w:t>
      </w:r>
      <w:r>
        <w:fldChar w:fldCharType="end"/>
      </w:r>
      <w:r>
        <w:t>.</w:t>
      </w:r>
      <w:r>
        <w:fldChar w:fldCharType="begin"/>
      </w:r>
      <w:r>
        <w:instrText>SEQ Figur \* ARABIC \s 1</w:instrText>
      </w:r>
      <w:r>
        <w:fldChar w:fldCharType="separate"/>
      </w:r>
      <w:r w:rsidR="00F262EF">
        <w:rPr>
          <w:noProof/>
        </w:rPr>
        <w:t>9</w:t>
      </w:r>
      <w:r>
        <w:fldChar w:fldCharType="end"/>
      </w:r>
      <w:bookmarkEnd w:id="61"/>
      <w:r>
        <w:t xml:space="preserve"> </w:t>
      </w:r>
      <w:r w:rsidRPr="002B76BF">
        <w:t>Oppfyllelse av måltall på helsefagutdanninger i 2022. Prosent</w:t>
      </w:r>
      <w:bookmarkEnd w:id="62"/>
    </w:p>
    <w:p w14:paraId="48BA905D" w14:textId="77777777" w:rsidR="00FF6E3D" w:rsidRDefault="00FF6E3D" w:rsidP="00FF6E3D">
      <w:pPr>
        <w:keepNext/>
        <w:keepLines/>
        <w:rPr>
          <w:rFonts w:ascii="Arial" w:hAnsi="Arial" w:cs="Arial"/>
          <w:color w:val="000000"/>
          <w:shd w:val="clear" w:color="auto" w:fill="FFFFFF"/>
        </w:rPr>
      </w:pPr>
      <w:r>
        <w:rPr>
          <w:noProof/>
        </w:rPr>
        <w:drawing>
          <wp:inline distT="0" distB="0" distL="0" distR="0" wp14:anchorId="58BF3FD1" wp14:editId="24659C51">
            <wp:extent cx="5184140" cy="3672231"/>
            <wp:effectExtent l="0" t="0" r="16510" b="4445"/>
            <wp:docPr id="18" name="Diagram 18">
              <a:extLst xmlns:a="http://schemas.openxmlformats.org/drawingml/2006/main">
                <a:ext uri="{FF2B5EF4-FFF2-40B4-BE49-F238E27FC236}">
                  <a16:creationId xmlns:a16="http://schemas.microsoft.com/office/drawing/2014/main" id="{F8A793F5-4484-46F4-80C2-66B24EF07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841271D" w14:textId="350D010B" w:rsidR="00FF6E3D" w:rsidRPr="006C1CB3" w:rsidRDefault="00FF6E3D" w:rsidP="006924A1">
      <w:pPr>
        <w:pStyle w:val="Merknad"/>
        <w:rPr>
          <w:lang w:eastAsia="nb-NO"/>
        </w:rPr>
      </w:pPr>
      <w:r w:rsidRPr="006C1CB3">
        <w:rPr>
          <w:lang w:eastAsia="nb-NO"/>
        </w:rPr>
        <w:t>Treårig farmasiutdanning, samt utdanninger med færre enn 100 uteksaminerte i 2022, er ikke tatt med i figuren.</w:t>
      </w:r>
    </w:p>
    <w:p w14:paraId="36864985" w14:textId="77777777" w:rsidR="00FF6E3D" w:rsidRDefault="00FF6E3D" w:rsidP="006924A1">
      <w:pPr>
        <w:pStyle w:val="Kilde"/>
        <w:rPr>
          <w:lang w:eastAsia="nb-NO"/>
        </w:rPr>
      </w:pPr>
      <w:r w:rsidRPr="00EB4840">
        <w:rPr>
          <w:lang w:eastAsia="nb-NO"/>
        </w:rPr>
        <w:t xml:space="preserve">Kilde: </w:t>
      </w:r>
      <w:proofErr w:type="spellStart"/>
      <w:r w:rsidRPr="00EB4840">
        <w:rPr>
          <w:lang w:eastAsia="nb-NO"/>
        </w:rPr>
        <w:t>DBH</w:t>
      </w:r>
      <w:proofErr w:type="spellEnd"/>
    </w:p>
    <w:p w14:paraId="24B65050" w14:textId="546EEB6E" w:rsidR="002C0DAB" w:rsidRPr="002C0DAB" w:rsidRDefault="00194B7C" w:rsidP="007C1ADA">
      <w:pPr>
        <w:rPr>
          <w:rFonts w:ascii="Arial" w:eastAsia="Times New Roman" w:hAnsi="Arial" w:cs="Arial"/>
          <w:b/>
          <w:bCs/>
          <w:color w:val="000000"/>
          <w:sz w:val="16"/>
          <w:szCs w:val="16"/>
          <w:lang w:eastAsia="nb-NO"/>
        </w:rPr>
      </w:pPr>
      <w:r>
        <w:rPr>
          <w:rStyle w:val="normaltextrun"/>
          <w:rFonts w:ascii="Arial" w:hAnsi="Arial" w:cs="Arial"/>
          <w:color w:val="000000"/>
          <w:shd w:val="clear" w:color="auto" w:fill="FFFFFF"/>
        </w:rPr>
        <w:t>Seks av de</w:t>
      </w:r>
      <w:r w:rsidR="00124D7C">
        <w:rPr>
          <w:rStyle w:val="normaltextrun"/>
          <w:rFonts w:ascii="Arial" w:hAnsi="Arial" w:cs="Arial"/>
          <w:color w:val="000000"/>
          <w:shd w:val="clear" w:color="auto" w:fill="FFFFFF"/>
        </w:rPr>
        <w:t xml:space="preserve"> </w:t>
      </w:r>
      <w:r w:rsidR="001006B7">
        <w:rPr>
          <w:rStyle w:val="normaltextrun"/>
          <w:rFonts w:ascii="Arial" w:hAnsi="Arial" w:cs="Arial"/>
          <w:color w:val="000000"/>
          <w:shd w:val="clear" w:color="auto" w:fill="FFFFFF"/>
        </w:rPr>
        <w:t>i alt</w:t>
      </w:r>
      <w:r w:rsidR="00124D7C">
        <w:rPr>
          <w:rStyle w:val="normaltextrun"/>
          <w:rFonts w:ascii="Arial" w:hAnsi="Arial" w:cs="Arial"/>
          <w:color w:val="000000"/>
          <w:shd w:val="clear" w:color="auto" w:fill="FFFFFF"/>
        </w:rPr>
        <w:t xml:space="preserve"> 19</w:t>
      </w:r>
      <w:r>
        <w:rPr>
          <w:rStyle w:val="normaltextrun"/>
          <w:rFonts w:ascii="Arial" w:hAnsi="Arial" w:cs="Arial"/>
          <w:color w:val="000000"/>
          <w:shd w:val="clear" w:color="auto" w:fill="FFFFFF"/>
        </w:rPr>
        <w:t xml:space="preserve"> </w:t>
      </w:r>
      <w:r w:rsidR="00124D7C" w:rsidRPr="007C13F8">
        <w:rPr>
          <w:rStyle w:val="normaltextrun"/>
          <w:rFonts w:ascii="Arial" w:hAnsi="Arial" w:cs="Arial"/>
          <w:color w:val="000000"/>
          <w:shd w:val="clear" w:color="auto" w:fill="FFFFFF"/>
        </w:rPr>
        <w:t>helsefagutdanningene har hatt en nedgang i antall uteksaminerte kandidater fra 202</w:t>
      </w:r>
      <w:r w:rsidR="00DE6258">
        <w:rPr>
          <w:rStyle w:val="normaltextrun"/>
          <w:rFonts w:ascii="Arial" w:hAnsi="Arial" w:cs="Arial"/>
          <w:color w:val="000000"/>
          <w:shd w:val="clear" w:color="auto" w:fill="FFFFFF"/>
        </w:rPr>
        <w:t>1</w:t>
      </w:r>
      <w:r w:rsidR="00124D7C" w:rsidRPr="007C13F8">
        <w:rPr>
          <w:rStyle w:val="normaltextrun"/>
          <w:rFonts w:ascii="Arial" w:hAnsi="Arial" w:cs="Arial"/>
          <w:color w:val="000000"/>
          <w:shd w:val="clear" w:color="auto" w:fill="FFFFFF"/>
        </w:rPr>
        <w:t>.</w:t>
      </w:r>
      <w:r w:rsidR="00DE6258">
        <w:rPr>
          <w:rStyle w:val="normaltextrun"/>
          <w:rFonts w:ascii="Arial" w:hAnsi="Arial" w:cs="Arial"/>
          <w:color w:val="000000"/>
          <w:shd w:val="clear" w:color="auto" w:fill="FFFFFF"/>
        </w:rPr>
        <w:t xml:space="preserve"> Det gjelder stort sett små utdanninger som </w:t>
      </w:r>
      <w:r w:rsidR="009006A2">
        <w:rPr>
          <w:rStyle w:val="normaltextrun"/>
          <w:rFonts w:ascii="Arial" w:hAnsi="Arial" w:cs="Arial"/>
          <w:color w:val="000000"/>
          <w:shd w:val="clear" w:color="auto" w:fill="FFFFFF"/>
        </w:rPr>
        <w:t xml:space="preserve">for eksempel </w:t>
      </w:r>
      <w:r w:rsidR="00DE6258">
        <w:rPr>
          <w:rStyle w:val="normaltextrun"/>
          <w:rFonts w:ascii="Arial" w:hAnsi="Arial" w:cs="Arial"/>
          <w:color w:val="000000"/>
          <w:shd w:val="clear" w:color="auto" w:fill="FFFFFF"/>
        </w:rPr>
        <w:t>audiograf, men også farmasiutdanninger og</w:t>
      </w:r>
      <w:r w:rsidR="005A7943">
        <w:rPr>
          <w:rStyle w:val="normaltextrun"/>
          <w:rFonts w:ascii="Arial" w:hAnsi="Arial" w:cs="Arial"/>
          <w:color w:val="000000"/>
          <w:shd w:val="clear" w:color="auto" w:fill="FFFFFF"/>
        </w:rPr>
        <w:t xml:space="preserve"> profesjonsutdanningen i</w:t>
      </w:r>
      <w:r w:rsidR="00DE6258">
        <w:rPr>
          <w:rStyle w:val="normaltextrun"/>
          <w:rFonts w:ascii="Arial" w:hAnsi="Arial" w:cs="Arial"/>
          <w:color w:val="000000"/>
          <w:shd w:val="clear" w:color="auto" w:fill="FFFFFF"/>
        </w:rPr>
        <w:t xml:space="preserve"> psykologi. </w:t>
      </w:r>
      <w:r w:rsidR="00425701">
        <w:rPr>
          <w:rStyle w:val="normaltextrun"/>
          <w:rFonts w:ascii="Arial" w:hAnsi="Arial" w:cs="Arial"/>
          <w:color w:val="000000"/>
          <w:shd w:val="clear" w:color="auto" w:fill="FFFFFF"/>
        </w:rPr>
        <w:t>De to sistnevnte</w:t>
      </w:r>
      <w:r w:rsidR="009B2454">
        <w:rPr>
          <w:rStyle w:val="normaltextrun"/>
          <w:rFonts w:ascii="Arial" w:hAnsi="Arial" w:cs="Arial"/>
          <w:color w:val="000000"/>
          <w:shd w:val="clear" w:color="auto" w:fill="FFFFFF"/>
        </w:rPr>
        <w:t xml:space="preserve"> ligger allikevel over </w:t>
      </w:r>
      <w:r w:rsidR="002D4DD6">
        <w:rPr>
          <w:rStyle w:val="normaltextrun"/>
          <w:rFonts w:ascii="Arial" w:hAnsi="Arial" w:cs="Arial"/>
          <w:color w:val="000000"/>
          <w:shd w:val="clear" w:color="auto" w:fill="FFFFFF"/>
        </w:rPr>
        <w:t xml:space="preserve">sine respektive </w:t>
      </w:r>
      <w:r w:rsidR="009B2454">
        <w:rPr>
          <w:rStyle w:val="normaltextrun"/>
          <w:rFonts w:ascii="Arial" w:hAnsi="Arial" w:cs="Arial"/>
          <w:color w:val="000000"/>
          <w:shd w:val="clear" w:color="auto" w:fill="FFFFFF"/>
        </w:rPr>
        <w:t>måltal</w:t>
      </w:r>
      <w:r w:rsidR="002D4DD6">
        <w:rPr>
          <w:rStyle w:val="normaltextrun"/>
          <w:rFonts w:ascii="Arial" w:hAnsi="Arial" w:cs="Arial"/>
          <w:color w:val="000000"/>
          <w:shd w:val="clear" w:color="auto" w:fill="FFFFFF"/>
        </w:rPr>
        <w:t>l</w:t>
      </w:r>
      <w:r w:rsidR="009B2454">
        <w:rPr>
          <w:rStyle w:val="normaltextrun"/>
          <w:rFonts w:ascii="Arial" w:hAnsi="Arial" w:cs="Arial"/>
          <w:color w:val="000000"/>
          <w:shd w:val="clear" w:color="auto" w:fill="FFFFFF"/>
        </w:rPr>
        <w:t>.</w:t>
      </w:r>
      <w:r w:rsidR="006237F8" w:rsidDel="001011AC">
        <w:rPr>
          <w:rStyle w:val="normaltextrun"/>
          <w:rFonts w:ascii="Arial" w:hAnsi="Arial" w:cs="Arial"/>
          <w:color w:val="000000"/>
          <w:shd w:val="clear" w:color="auto" w:fill="FFFFFF"/>
        </w:rPr>
        <w:t xml:space="preserve"> </w:t>
      </w:r>
      <w:r w:rsidR="00922DEF" w:rsidRPr="007C13F8">
        <w:rPr>
          <w:rStyle w:val="normaltextrun"/>
          <w:rFonts w:ascii="Arial" w:hAnsi="Arial" w:cs="Arial"/>
          <w:color w:val="000000"/>
          <w:shd w:val="clear" w:color="auto" w:fill="FFFFFF"/>
        </w:rPr>
        <w:t xml:space="preserve">Det er til sammen </w:t>
      </w:r>
      <w:r w:rsidR="00256318">
        <w:rPr>
          <w:rStyle w:val="normaltextrun"/>
          <w:rFonts w:ascii="Arial" w:hAnsi="Arial" w:cs="Arial"/>
          <w:color w:val="000000"/>
          <w:shd w:val="clear" w:color="auto" w:fill="FFFFFF"/>
        </w:rPr>
        <w:t>åtte</w:t>
      </w:r>
      <w:r w:rsidR="00922DEF" w:rsidRPr="007C13F8">
        <w:rPr>
          <w:rStyle w:val="normaltextrun"/>
          <w:rFonts w:ascii="Arial" w:hAnsi="Arial" w:cs="Arial"/>
          <w:color w:val="000000"/>
          <w:shd w:val="clear" w:color="auto" w:fill="FFFFFF"/>
        </w:rPr>
        <w:t xml:space="preserve"> utdanninger som ikke oppfyller måltallene for 202</w:t>
      </w:r>
      <w:r w:rsidR="004C4605">
        <w:rPr>
          <w:rStyle w:val="normaltextrun"/>
          <w:rFonts w:ascii="Arial" w:hAnsi="Arial" w:cs="Arial"/>
          <w:color w:val="000000"/>
          <w:shd w:val="clear" w:color="auto" w:fill="FFFFFF"/>
        </w:rPr>
        <w:t>2</w:t>
      </w:r>
      <w:r w:rsidR="00922DEF" w:rsidRPr="007C13F8">
        <w:rPr>
          <w:rStyle w:val="normaltextrun"/>
          <w:rFonts w:ascii="Arial" w:hAnsi="Arial" w:cs="Arial"/>
          <w:color w:val="000000"/>
          <w:shd w:val="clear" w:color="auto" w:fill="FFFFFF"/>
        </w:rPr>
        <w:t>, inkludert de tre som vises i</w:t>
      </w:r>
      <w:r w:rsidR="00E679E7">
        <w:rPr>
          <w:rStyle w:val="normaltextrun"/>
          <w:rFonts w:ascii="Arial" w:hAnsi="Arial" w:cs="Arial"/>
          <w:color w:val="000000"/>
          <w:shd w:val="clear" w:color="auto" w:fill="FFFFFF"/>
        </w:rPr>
        <w:t xml:space="preserve"> </w:t>
      </w:r>
      <w:r w:rsidR="00E679E7">
        <w:rPr>
          <w:rStyle w:val="normaltextrun"/>
          <w:rFonts w:ascii="Arial" w:hAnsi="Arial" w:cs="Arial"/>
          <w:color w:val="000000"/>
          <w:shd w:val="clear" w:color="auto" w:fill="FFFFFF"/>
        </w:rPr>
        <w:fldChar w:fldCharType="begin"/>
      </w:r>
      <w:r w:rsidR="00E679E7">
        <w:rPr>
          <w:rStyle w:val="normaltextrun"/>
          <w:rFonts w:ascii="Arial" w:hAnsi="Arial" w:cs="Arial"/>
          <w:color w:val="000000"/>
          <w:shd w:val="clear" w:color="auto" w:fill="FFFFFF"/>
        </w:rPr>
        <w:instrText xml:space="preserve"> REF  _Ref134714564 \* Lower \h </w:instrText>
      </w:r>
      <w:r w:rsidR="00E679E7">
        <w:rPr>
          <w:rStyle w:val="normaltextrun"/>
          <w:rFonts w:ascii="Arial" w:hAnsi="Arial" w:cs="Arial"/>
          <w:color w:val="000000"/>
          <w:shd w:val="clear" w:color="auto" w:fill="FFFFFF"/>
        </w:rPr>
      </w:r>
      <w:r w:rsidR="00E679E7">
        <w:rPr>
          <w:rStyle w:val="normaltextrun"/>
          <w:rFonts w:ascii="Arial" w:hAnsi="Arial" w:cs="Arial"/>
          <w:color w:val="000000"/>
          <w:shd w:val="clear" w:color="auto" w:fill="FFFFFF"/>
        </w:rPr>
        <w:fldChar w:fldCharType="separate"/>
      </w:r>
      <w:r w:rsidR="00F262EF">
        <w:t xml:space="preserve">figur </w:t>
      </w:r>
      <w:r w:rsidR="00F262EF">
        <w:rPr>
          <w:noProof/>
        </w:rPr>
        <w:t>2</w:t>
      </w:r>
      <w:r w:rsidR="00F262EF">
        <w:t>.</w:t>
      </w:r>
      <w:r w:rsidR="00F262EF">
        <w:rPr>
          <w:noProof/>
        </w:rPr>
        <w:t>9</w:t>
      </w:r>
      <w:r w:rsidR="00E679E7">
        <w:rPr>
          <w:rStyle w:val="normaltextrun"/>
          <w:rFonts w:ascii="Arial" w:hAnsi="Arial" w:cs="Arial"/>
          <w:color w:val="000000"/>
          <w:shd w:val="clear" w:color="auto" w:fill="FFFFFF"/>
        </w:rPr>
        <w:fldChar w:fldCharType="end"/>
      </w:r>
      <w:r w:rsidR="00E679E7">
        <w:rPr>
          <w:rStyle w:val="normaltextrun"/>
          <w:rFonts w:ascii="Arial" w:hAnsi="Arial" w:cs="Arial"/>
          <w:color w:val="000000"/>
          <w:shd w:val="clear" w:color="auto" w:fill="FFFFFF"/>
        </w:rPr>
        <w:t>.</w:t>
      </w:r>
      <w:r w:rsidR="00922DEF" w:rsidRPr="007C13F8">
        <w:rPr>
          <w:rStyle w:val="normaltextrun"/>
          <w:rFonts w:ascii="Arial" w:hAnsi="Arial" w:cs="Arial"/>
          <w:color w:val="000000"/>
          <w:shd w:val="clear" w:color="auto" w:fill="FFFFFF"/>
        </w:rPr>
        <w:t xml:space="preserve"> </w:t>
      </w:r>
      <w:r w:rsidR="00906BC2" w:rsidRPr="007C13F8">
        <w:rPr>
          <w:rStyle w:val="normaltextrun"/>
          <w:rFonts w:ascii="Arial" w:hAnsi="Arial" w:cs="Arial"/>
          <w:color w:val="000000"/>
          <w:shd w:val="clear" w:color="auto" w:fill="FFFFFF"/>
        </w:rPr>
        <w:t>De resterende f</w:t>
      </w:r>
      <w:r w:rsidR="00906BC2">
        <w:rPr>
          <w:rStyle w:val="normaltextrun"/>
          <w:rFonts w:ascii="Arial" w:hAnsi="Arial" w:cs="Arial"/>
          <w:color w:val="000000"/>
          <w:shd w:val="clear" w:color="auto" w:fill="FFFFFF"/>
        </w:rPr>
        <w:t>em</w:t>
      </w:r>
      <w:r w:rsidR="00906BC2" w:rsidRPr="007C13F8">
        <w:rPr>
          <w:rStyle w:val="normaltextrun"/>
          <w:rFonts w:ascii="Arial" w:hAnsi="Arial" w:cs="Arial"/>
          <w:color w:val="000000"/>
          <w:shd w:val="clear" w:color="auto" w:fill="FFFFFF"/>
        </w:rPr>
        <w:t xml:space="preserve"> har færre enn 100 uteksaminerte, se</w:t>
      </w:r>
      <w:r w:rsidR="00906BC2">
        <w:t xml:space="preserve"> </w:t>
      </w:r>
      <w:hyperlink r:id="rId44" w:history="1">
        <w:r w:rsidR="00906BC2" w:rsidRPr="00FC2791">
          <w:rPr>
            <w:rStyle w:val="Hyperkobling"/>
          </w:rPr>
          <w:t>V2.</w:t>
        </w:r>
        <w:r w:rsidR="00307816" w:rsidRPr="00FC2791">
          <w:rPr>
            <w:rStyle w:val="Hyperkobling"/>
          </w:rPr>
          <w:t>31</w:t>
        </w:r>
      </w:hyperlink>
      <w:r w:rsidR="00906BC2" w:rsidRPr="007C13F8">
        <w:rPr>
          <w:rStyle w:val="normaltextrun"/>
          <w:rFonts w:ascii="Arial" w:hAnsi="Arial" w:cs="Arial"/>
          <w:color w:val="000000"/>
          <w:shd w:val="clear" w:color="auto" w:fill="FFFFFF"/>
        </w:rPr>
        <w:t xml:space="preserve">. For enkelte av utdanningene kan variasjon i måloppnåelse fra år til år blant annet skyldes </w:t>
      </w:r>
      <w:r w:rsidR="00F53F5E">
        <w:rPr>
          <w:rStyle w:val="normaltextrun"/>
          <w:rFonts w:ascii="Arial" w:hAnsi="Arial" w:cs="Arial"/>
          <w:color w:val="000000"/>
          <w:shd w:val="clear" w:color="auto" w:fill="FFFFFF"/>
        </w:rPr>
        <w:t>at de ikke har årlige opptak</w:t>
      </w:r>
      <w:r w:rsidR="00906BC2" w:rsidRPr="007C13F8">
        <w:rPr>
          <w:rStyle w:val="normaltextrun"/>
          <w:rFonts w:ascii="Arial" w:hAnsi="Arial" w:cs="Arial"/>
          <w:color w:val="000000"/>
          <w:shd w:val="clear" w:color="auto" w:fill="FFFFFF"/>
        </w:rPr>
        <w:t xml:space="preserve"> </w:t>
      </w:r>
      <w:r w:rsidR="00FC110D">
        <w:rPr>
          <w:rStyle w:val="normaltextrun"/>
          <w:rFonts w:ascii="Arial" w:hAnsi="Arial" w:cs="Arial"/>
          <w:color w:val="000000"/>
          <w:shd w:val="clear" w:color="auto" w:fill="FFFFFF"/>
        </w:rPr>
        <w:t>eller</w:t>
      </w:r>
      <w:r w:rsidR="00906BC2" w:rsidRPr="007C13F8">
        <w:rPr>
          <w:rStyle w:val="normaltextrun"/>
          <w:rFonts w:ascii="Arial" w:hAnsi="Arial" w:cs="Arial"/>
          <w:color w:val="000000"/>
          <w:shd w:val="clear" w:color="auto" w:fill="FFFFFF"/>
        </w:rPr>
        <w:t xml:space="preserve"> andre institusjonsspesifikke </w:t>
      </w:r>
      <w:r w:rsidR="00FC110D">
        <w:rPr>
          <w:rStyle w:val="normaltextrun"/>
          <w:rFonts w:ascii="Arial" w:hAnsi="Arial" w:cs="Arial"/>
          <w:color w:val="000000"/>
          <w:shd w:val="clear" w:color="auto" w:fill="FFFFFF"/>
        </w:rPr>
        <w:t>faktorer</w:t>
      </w:r>
      <w:r w:rsidR="00906BC2" w:rsidRPr="007C13F8">
        <w:rPr>
          <w:rStyle w:val="normaltextrun"/>
          <w:rFonts w:ascii="Arial" w:hAnsi="Arial" w:cs="Arial"/>
          <w:color w:val="000000"/>
          <w:shd w:val="clear" w:color="auto" w:fill="FFFFFF"/>
        </w:rPr>
        <w:t>.</w:t>
      </w:r>
      <w:r w:rsidR="00750C6B">
        <w:rPr>
          <w:rStyle w:val="normaltextrun"/>
          <w:rFonts w:ascii="Arial" w:hAnsi="Arial" w:cs="Arial"/>
          <w:color w:val="000000"/>
          <w:shd w:val="clear" w:color="auto" w:fill="FFFFFF"/>
        </w:rPr>
        <w:t xml:space="preserve"> </w:t>
      </w:r>
      <w:r w:rsidR="004B63D7">
        <w:rPr>
          <w:rStyle w:val="normaltextrun"/>
          <w:rFonts w:ascii="Arial" w:hAnsi="Arial" w:cs="Arial"/>
          <w:color w:val="000000"/>
          <w:shd w:val="clear" w:color="auto" w:fill="FFFFFF"/>
        </w:rPr>
        <w:t xml:space="preserve">Disse </w:t>
      </w:r>
      <w:r w:rsidR="00426240">
        <w:rPr>
          <w:rStyle w:val="normaltextrun"/>
          <w:rFonts w:ascii="Arial" w:hAnsi="Arial" w:cs="Arial"/>
          <w:color w:val="000000"/>
          <w:shd w:val="clear" w:color="auto" w:fill="FFFFFF"/>
        </w:rPr>
        <w:t>må ses over tid</w:t>
      </w:r>
      <w:r w:rsidR="00962EFD">
        <w:rPr>
          <w:rStyle w:val="normaltextrun"/>
          <w:rFonts w:ascii="Arial" w:hAnsi="Arial" w:cs="Arial"/>
          <w:color w:val="000000"/>
          <w:shd w:val="clear" w:color="auto" w:fill="FFFFFF"/>
        </w:rPr>
        <w:t xml:space="preserve">, og </w:t>
      </w:r>
      <w:r w:rsidR="007C1ADA">
        <w:rPr>
          <w:rStyle w:val="normaltextrun"/>
          <w:rFonts w:ascii="Arial" w:hAnsi="Arial" w:cs="Arial"/>
          <w:color w:val="000000"/>
          <w:shd w:val="clear" w:color="auto" w:fill="FFFFFF"/>
        </w:rPr>
        <w:t xml:space="preserve">årlige svingninger er forventet. </w:t>
      </w:r>
    </w:p>
    <w:p w14:paraId="1B446FBB" w14:textId="0D33755D" w:rsidR="000A4E6C" w:rsidRDefault="0026797C" w:rsidP="003E160F">
      <w:pPr>
        <w:rPr>
          <w:rStyle w:val="normaltextrun"/>
          <w:rFonts w:ascii="Arial" w:hAnsi="Arial" w:cs="Arial"/>
          <w:color w:val="000000"/>
          <w:shd w:val="clear" w:color="auto" w:fill="FFFFFF"/>
        </w:rPr>
      </w:pPr>
      <w:r w:rsidRPr="007C13F8">
        <w:rPr>
          <w:rStyle w:val="normaltextrun"/>
          <w:rFonts w:ascii="Arial" w:hAnsi="Arial" w:cs="Arial"/>
          <w:color w:val="000000"/>
          <w:shd w:val="clear" w:color="auto" w:fill="FFFFFF"/>
        </w:rPr>
        <w:lastRenderedPageBreak/>
        <w:t xml:space="preserve">Innenfor lærerutdanning ble det uteksaminert </w:t>
      </w:r>
      <w:r w:rsidR="00136762">
        <w:rPr>
          <w:rStyle w:val="normaltextrun"/>
          <w:rFonts w:ascii="Arial" w:hAnsi="Arial" w:cs="Arial"/>
          <w:color w:val="000000"/>
          <w:shd w:val="clear" w:color="auto" w:fill="FFFFFF"/>
        </w:rPr>
        <w:t>i underkant av</w:t>
      </w:r>
      <w:r w:rsidRPr="007C13F8">
        <w:rPr>
          <w:rStyle w:val="normaltextrun"/>
          <w:rFonts w:ascii="Arial" w:hAnsi="Arial" w:cs="Arial"/>
          <w:color w:val="000000"/>
          <w:shd w:val="clear" w:color="auto" w:fill="FFFFFF"/>
        </w:rPr>
        <w:t xml:space="preserve"> </w:t>
      </w:r>
      <w:r w:rsidR="009659EE">
        <w:rPr>
          <w:rStyle w:val="normaltextrun"/>
          <w:rFonts w:ascii="Arial" w:hAnsi="Arial" w:cs="Arial"/>
          <w:color w:val="000000"/>
          <w:shd w:val="clear" w:color="auto" w:fill="FFFFFF"/>
        </w:rPr>
        <w:t>7</w:t>
      </w:r>
      <w:r w:rsidR="00032235">
        <w:rPr>
          <w:rStyle w:val="normaltextrun"/>
          <w:rFonts w:ascii="Arial" w:hAnsi="Arial" w:cs="Arial"/>
          <w:color w:val="000000"/>
          <w:shd w:val="clear" w:color="auto" w:fill="FFFFFF"/>
        </w:rPr>
        <w:t> </w:t>
      </w:r>
      <w:r w:rsidR="009659EE">
        <w:rPr>
          <w:rStyle w:val="normaltextrun"/>
          <w:rFonts w:ascii="Arial" w:hAnsi="Arial" w:cs="Arial"/>
          <w:color w:val="000000"/>
          <w:shd w:val="clear" w:color="auto" w:fill="FFFFFF"/>
        </w:rPr>
        <w:t>000</w:t>
      </w:r>
      <w:r w:rsidRPr="007C13F8">
        <w:rPr>
          <w:rStyle w:val="normaltextrun"/>
          <w:rFonts w:ascii="Arial" w:hAnsi="Arial" w:cs="Arial"/>
          <w:color w:val="000000"/>
          <w:shd w:val="clear" w:color="auto" w:fill="FFFFFF"/>
        </w:rPr>
        <w:t xml:space="preserve"> kandidater i 202</w:t>
      </w:r>
      <w:r w:rsidR="00214F6F">
        <w:rPr>
          <w:rStyle w:val="normaltextrun"/>
          <w:rFonts w:ascii="Arial" w:hAnsi="Arial" w:cs="Arial"/>
          <w:color w:val="000000"/>
          <w:shd w:val="clear" w:color="auto" w:fill="FFFFFF"/>
        </w:rPr>
        <w:t>2</w:t>
      </w:r>
      <w:r w:rsidRPr="007C13F8">
        <w:rPr>
          <w:rStyle w:val="normaltextrun"/>
          <w:rFonts w:ascii="Arial" w:hAnsi="Arial" w:cs="Arial"/>
          <w:color w:val="000000"/>
          <w:shd w:val="clear" w:color="auto" w:fill="FFFFFF"/>
        </w:rPr>
        <w:t xml:space="preserve"> mot omtrent </w:t>
      </w:r>
      <w:r w:rsidR="00032235">
        <w:rPr>
          <w:rStyle w:val="normaltextrun"/>
          <w:rFonts w:ascii="Arial" w:hAnsi="Arial" w:cs="Arial"/>
          <w:color w:val="000000"/>
          <w:shd w:val="clear" w:color="auto" w:fill="FFFFFF"/>
        </w:rPr>
        <w:t>5</w:t>
      </w:r>
      <w:r w:rsidR="003F2546">
        <w:rPr>
          <w:rStyle w:val="normaltextrun"/>
          <w:rFonts w:ascii="Arial" w:hAnsi="Arial" w:cs="Arial"/>
          <w:color w:val="000000"/>
          <w:shd w:val="clear" w:color="auto" w:fill="FFFFFF"/>
        </w:rPr>
        <w:t> </w:t>
      </w:r>
      <w:r w:rsidRPr="007C13F8">
        <w:rPr>
          <w:rStyle w:val="normaltextrun"/>
          <w:rFonts w:ascii="Arial" w:hAnsi="Arial" w:cs="Arial"/>
          <w:color w:val="000000"/>
          <w:shd w:val="clear" w:color="auto" w:fill="FFFFFF"/>
        </w:rPr>
        <w:t>5</w:t>
      </w:r>
      <w:r w:rsidR="009659EE">
        <w:rPr>
          <w:rStyle w:val="normaltextrun"/>
          <w:rFonts w:ascii="Arial" w:hAnsi="Arial" w:cs="Arial"/>
          <w:color w:val="000000"/>
          <w:shd w:val="clear" w:color="auto" w:fill="FFFFFF"/>
        </w:rPr>
        <w:t>00</w:t>
      </w:r>
      <w:r w:rsidRPr="007C13F8">
        <w:rPr>
          <w:rStyle w:val="normaltextrun"/>
          <w:rFonts w:ascii="Arial" w:hAnsi="Arial" w:cs="Arial"/>
          <w:color w:val="000000"/>
          <w:shd w:val="clear" w:color="auto" w:fill="FFFFFF"/>
        </w:rPr>
        <w:t xml:space="preserve"> kandidater i 202</w:t>
      </w:r>
      <w:r w:rsidR="00032235">
        <w:rPr>
          <w:rStyle w:val="normaltextrun"/>
          <w:rFonts w:ascii="Arial" w:hAnsi="Arial" w:cs="Arial"/>
          <w:color w:val="000000"/>
          <w:shd w:val="clear" w:color="auto" w:fill="FFFFFF"/>
        </w:rPr>
        <w:t>1</w:t>
      </w:r>
      <w:r w:rsidRPr="007C13F8">
        <w:rPr>
          <w:rStyle w:val="normaltextrun"/>
          <w:rFonts w:ascii="Arial" w:hAnsi="Arial" w:cs="Arial"/>
          <w:color w:val="000000"/>
          <w:shd w:val="clear" w:color="auto" w:fill="FFFFFF"/>
        </w:rPr>
        <w:t xml:space="preserve">. </w:t>
      </w:r>
      <w:r w:rsidR="00032235">
        <w:rPr>
          <w:rStyle w:val="normaltextrun"/>
          <w:rFonts w:ascii="Arial" w:hAnsi="Arial" w:cs="Arial"/>
          <w:color w:val="000000"/>
          <w:shd w:val="clear" w:color="auto" w:fill="FFFFFF"/>
        </w:rPr>
        <w:t>Etter nedgangen fra 202</w:t>
      </w:r>
      <w:r w:rsidR="001132DA">
        <w:rPr>
          <w:rStyle w:val="normaltextrun"/>
          <w:rFonts w:ascii="Arial" w:hAnsi="Arial" w:cs="Arial"/>
          <w:color w:val="000000"/>
          <w:shd w:val="clear" w:color="auto" w:fill="FFFFFF"/>
        </w:rPr>
        <w:t xml:space="preserve">0 til 2021 på grunn av omleggingen i grunnskoleutdanningene, er antallet kandidater nå omtrent på nivået for </w:t>
      </w:r>
      <w:r w:rsidR="001910AF">
        <w:rPr>
          <w:rStyle w:val="normaltextrun"/>
          <w:rFonts w:ascii="Arial" w:hAnsi="Arial" w:cs="Arial"/>
          <w:color w:val="000000"/>
          <w:shd w:val="clear" w:color="auto" w:fill="FFFFFF"/>
        </w:rPr>
        <w:t xml:space="preserve">2017. </w:t>
      </w:r>
      <w:r w:rsidR="00CE154A">
        <w:rPr>
          <w:rStyle w:val="normaltextrun"/>
          <w:rFonts w:ascii="Arial" w:hAnsi="Arial" w:cs="Arial"/>
          <w:color w:val="000000"/>
          <w:shd w:val="clear" w:color="auto" w:fill="FFFFFF"/>
        </w:rPr>
        <w:t xml:space="preserve">Det er økning på de </w:t>
      </w:r>
      <w:r w:rsidR="006F2FB8">
        <w:rPr>
          <w:rStyle w:val="normaltextrun"/>
          <w:rFonts w:ascii="Arial" w:hAnsi="Arial" w:cs="Arial"/>
          <w:color w:val="000000"/>
          <w:shd w:val="clear" w:color="auto" w:fill="FFFFFF"/>
        </w:rPr>
        <w:t>fleste</w:t>
      </w:r>
      <w:r w:rsidR="00CE154A">
        <w:rPr>
          <w:rStyle w:val="normaltextrun"/>
          <w:rFonts w:ascii="Arial" w:hAnsi="Arial" w:cs="Arial"/>
          <w:color w:val="000000"/>
          <w:shd w:val="clear" w:color="auto" w:fill="FFFFFF"/>
        </w:rPr>
        <w:t xml:space="preserve"> utdanningene, men spesielt på GLU 1-7 og GLU 5-10 på grunn av omleggingen. </w:t>
      </w:r>
      <w:r w:rsidR="00AB126C">
        <w:rPr>
          <w:rStyle w:val="normaltextrun"/>
          <w:rFonts w:ascii="Arial" w:hAnsi="Arial" w:cs="Arial"/>
          <w:color w:val="000000"/>
          <w:shd w:val="clear" w:color="auto" w:fill="FFFFFF"/>
        </w:rPr>
        <w:t>Nedgangen på yrkesfaglærerutdanningene fortsetter</w:t>
      </w:r>
      <w:r w:rsidR="0064626D">
        <w:rPr>
          <w:rStyle w:val="normaltextrun"/>
          <w:rFonts w:ascii="Arial" w:hAnsi="Arial" w:cs="Arial"/>
          <w:color w:val="000000"/>
          <w:shd w:val="clear" w:color="auto" w:fill="FFFFFF"/>
        </w:rPr>
        <w:t>, og</w:t>
      </w:r>
      <w:r w:rsidR="00AB126C">
        <w:rPr>
          <w:rStyle w:val="normaltextrun"/>
          <w:rFonts w:ascii="Arial" w:hAnsi="Arial" w:cs="Arial"/>
          <w:color w:val="000000"/>
          <w:shd w:val="clear" w:color="auto" w:fill="FFFFFF"/>
        </w:rPr>
        <w:t xml:space="preserve"> </w:t>
      </w:r>
      <w:r w:rsidR="00014BE8">
        <w:rPr>
          <w:rStyle w:val="normaltextrun"/>
          <w:rFonts w:ascii="Arial" w:hAnsi="Arial" w:cs="Arial"/>
          <w:color w:val="000000"/>
          <w:shd w:val="clear" w:color="auto" w:fill="FFFFFF"/>
        </w:rPr>
        <w:t>d</w:t>
      </w:r>
      <w:r w:rsidR="00EE125C">
        <w:rPr>
          <w:rStyle w:val="normaltextrun"/>
          <w:rFonts w:ascii="Arial" w:hAnsi="Arial" w:cs="Arial"/>
          <w:color w:val="000000"/>
          <w:shd w:val="clear" w:color="auto" w:fill="FFFFFF"/>
        </w:rPr>
        <w:t>et er en liten nedgang på barnehagelærerutdanningene</w:t>
      </w:r>
      <w:r w:rsidR="0064626D">
        <w:rPr>
          <w:rStyle w:val="normaltextrun"/>
          <w:rFonts w:ascii="Arial" w:hAnsi="Arial" w:cs="Arial"/>
          <w:color w:val="000000"/>
          <w:shd w:val="clear" w:color="auto" w:fill="FFFFFF"/>
        </w:rPr>
        <w:t xml:space="preserve"> og </w:t>
      </w:r>
      <w:proofErr w:type="spellStart"/>
      <w:r w:rsidR="0064626D">
        <w:rPr>
          <w:rStyle w:val="normaltextrun"/>
          <w:rFonts w:ascii="Arial" w:hAnsi="Arial" w:cs="Arial"/>
          <w:color w:val="000000"/>
          <w:shd w:val="clear" w:color="auto" w:fill="FFFFFF"/>
        </w:rPr>
        <w:t>PPU</w:t>
      </w:r>
      <w:proofErr w:type="spellEnd"/>
      <w:r w:rsidR="00EE125C">
        <w:rPr>
          <w:rStyle w:val="normaltextrun"/>
          <w:rFonts w:ascii="Arial" w:hAnsi="Arial" w:cs="Arial"/>
          <w:color w:val="000000"/>
          <w:shd w:val="clear" w:color="auto" w:fill="FFFFFF"/>
        </w:rPr>
        <w:t>.</w:t>
      </w:r>
      <w:r w:rsidR="009052CC">
        <w:rPr>
          <w:rStyle w:val="normaltextrun"/>
          <w:rFonts w:ascii="Arial" w:hAnsi="Arial" w:cs="Arial"/>
          <w:color w:val="000000"/>
          <w:shd w:val="clear" w:color="auto" w:fill="FFFFFF"/>
        </w:rPr>
        <w:t xml:space="preserve"> </w:t>
      </w:r>
      <w:r w:rsidR="00512462">
        <w:rPr>
          <w:rStyle w:val="normaltextrun"/>
          <w:rFonts w:ascii="Arial" w:hAnsi="Arial" w:cs="Arial"/>
          <w:color w:val="000000"/>
          <w:shd w:val="clear" w:color="auto" w:fill="FFFFFF"/>
        </w:rPr>
        <w:t xml:space="preserve">De treårige utdanningene i praktiske og estetiske fag, omtalt som «faglærerutdanningene» i det videre, har også en nedgang. </w:t>
      </w:r>
      <w:r w:rsidR="004E2577">
        <w:rPr>
          <w:rStyle w:val="normaltextrun"/>
          <w:rFonts w:ascii="Arial" w:hAnsi="Arial" w:cs="Arial"/>
          <w:color w:val="000000"/>
          <w:shd w:val="clear" w:color="auto" w:fill="FFFFFF"/>
        </w:rPr>
        <w:t>D</w:t>
      </w:r>
      <w:r w:rsidR="00C73291">
        <w:rPr>
          <w:rStyle w:val="normaltextrun"/>
          <w:rFonts w:ascii="Arial" w:hAnsi="Arial" w:cs="Arial"/>
          <w:color w:val="000000"/>
          <w:shd w:val="clear" w:color="auto" w:fill="FFFFFF"/>
        </w:rPr>
        <w:t>isse treårige utdanningene er under avvikling</w:t>
      </w:r>
      <w:r w:rsidR="00D44489">
        <w:rPr>
          <w:rStyle w:val="normaltextrun"/>
          <w:rFonts w:ascii="Arial" w:hAnsi="Arial" w:cs="Arial"/>
          <w:color w:val="000000"/>
          <w:shd w:val="clear" w:color="auto" w:fill="FFFFFF"/>
        </w:rPr>
        <w:t>,</w:t>
      </w:r>
      <w:r w:rsidR="00C73291">
        <w:rPr>
          <w:rStyle w:val="normaltextrun"/>
          <w:rFonts w:ascii="Arial" w:hAnsi="Arial" w:cs="Arial"/>
          <w:color w:val="000000"/>
          <w:shd w:val="clear" w:color="auto" w:fill="FFFFFF"/>
        </w:rPr>
        <w:t xml:space="preserve"> og vil bli erstattet av en femårig lærerutdanning i praktiske og estetiske fag. </w:t>
      </w:r>
    </w:p>
    <w:p w14:paraId="25958E9A" w14:textId="06041F5D" w:rsidR="00735DDB" w:rsidRDefault="00735DDB" w:rsidP="00735DDB">
      <w:pPr>
        <w:pStyle w:val="Bildetekst"/>
        <w:keepNext/>
      </w:pPr>
      <w:bookmarkStart w:id="63" w:name="_Ref133166644"/>
      <w:bookmarkStart w:id="64" w:name="_Toc134792771"/>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10</w:t>
      </w:r>
      <w:r>
        <w:fldChar w:fldCharType="end"/>
      </w:r>
      <w:bookmarkEnd w:id="63"/>
      <w:r>
        <w:t xml:space="preserve"> </w:t>
      </w:r>
      <w:r w:rsidRPr="00920B58">
        <w:t>Oppfyllelse av måltall på lærerutdanninger i 2022. Prosent</w:t>
      </w:r>
      <w:bookmarkEnd w:id="64"/>
    </w:p>
    <w:p w14:paraId="644BE5CD" w14:textId="01F5BDF9" w:rsidR="007003D9" w:rsidRDefault="007339E6" w:rsidP="004113AD">
      <w:pPr>
        <w:keepNext/>
        <w:keepLines/>
        <w:rPr>
          <w:rFonts w:ascii="Arial" w:hAnsi="Arial" w:cs="Arial"/>
          <w:color w:val="000000"/>
          <w:shd w:val="clear" w:color="auto" w:fill="FFFFFF"/>
        </w:rPr>
      </w:pPr>
      <w:r>
        <w:rPr>
          <w:noProof/>
        </w:rPr>
        <w:drawing>
          <wp:inline distT="0" distB="0" distL="0" distR="0" wp14:anchorId="25252B2F" wp14:editId="5F4EFAEB">
            <wp:extent cx="4976037" cy="2743200"/>
            <wp:effectExtent l="0" t="0" r="15240" b="0"/>
            <wp:docPr id="40" name="Diagram 4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E061BE" w14:textId="724DABD2" w:rsidR="001F4E98" w:rsidRDefault="00A04B72" w:rsidP="00DB65ED">
      <w:pPr>
        <w:pStyle w:val="Kilde"/>
        <w:rPr>
          <w:rFonts w:ascii="Arial" w:eastAsia="Times New Roman" w:hAnsi="Arial" w:cs="Arial"/>
          <w:b w:val="0"/>
          <w:color w:val="000000"/>
          <w:sz w:val="16"/>
          <w:szCs w:val="16"/>
          <w:lang w:eastAsia="nb-NO"/>
        </w:rPr>
      </w:pPr>
      <w:r w:rsidRPr="00A04B72">
        <w:rPr>
          <w:lang w:eastAsia="nb-NO"/>
        </w:rPr>
        <w:t xml:space="preserve">Kilde: </w:t>
      </w:r>
      <w:proofErr w:type="spellStart"/>
      <w:r w:rsidRPr="00A04B72">
        <w:rPr>
          <w:lang w:eastAsia="nb-NO"/>
        </w:rPr>
        <w:t>DBH</w:t>
      </w:r>
      <w:proofErr w:type="spellEnd"/>
    </w:p>
    <w:p w14:paraId="6EF9757E" w14:textId="53DE0756" w:rsidR="004626B5" w:rsidRDefault="00373E1E" w:rsidP="004626B5">
      <w:pPr>
        <w:rPr>
          <w:rFonts w:ascii="Arial" w:hAnsi="Arial" w:cs="Arial"/>
          <w:color w:val="000000"/>
          <w:shd w:val="clear" w:color="auto" w:fill="FFFFFF"/>
        </w:rPr>
      </w:pPr>
      <w:r>
        <w:rPr>
          <w:rFonts w:ascii="Arial" w:hAnsi="Arial" w:cs="Arial"/>
          <w:color w:val="000000"/>
          <w:shd w:val="clear" w:color="auto" w:fill="FFFFFF"/>
        </w:rPr>
        <w:fldChar w:fldCharType="begin"/>
      </w:r>
      <w:r>
        <w:rPr>
          <w:rFonts w:ascii="Arial" w:hAnsi="Arial" w:cs="Arial"/>
          <w:color w:val="000000"/>
          <w:shd w:val="clear" w:color="auto" w:fill="FFFFFF"/>
        </w:rPr>
        <w:instrText xml:space="preserve"> REF _Ref133166644 \h </w:instrText>
      </w:r>
      <w:r>
        <w:rPr>
          <w:rFonts w:ascii="Arial" w:hAnsi="Arial" w:cs="Arial"/>
          <w:color w:val="000000"/>
          <w:shd w:val="clear" w:color="auto" w:fill="FFFFFF"/>
        </w:rPr>
      </w:r>
      <w:r>
        <w:rPr>
          <w:rFonts w:ascii="Arial" w:hAnsi="Arial" w:cs="Arial"/>
          <w:color w:val="000000"/>
          <w:shd w:val="clear" w:color="auto" w:fill="FFFFFF"/>
        </w:rPr>
        <w:fldChar w:fldCharType="separate"/>
      </w:r>
      <w:r w:rsidR="00F262EF">
        <w:t xml:space="preserve">Figur </w:t>
      </w:r>
      <w:r w:rsidR="00F262EF">
        <w:rPr>
          <w:noProof/>
        </w:rPr>
        <w:t>2</w:t>
      </w:r>
      <w:r w:rsidR="00F262EF">
        <w:t>.</w:t>
      </w:r>
      <w:r w:rsidR="00F262EF">
        <w:rPr>
          <w:noProof/>
        </w:rPr>
        <w:t>10</w:t>
      </w:r>
      <w:r>
        <w:rPr>
          <w:rFonts w:ascii="Arial" w:hAnsi="Arial" w:cs="Arial"/>
          <w:color w:val="000000"/>
          <w:shd w:val="clear" w:color="auto" w:fill="FFFFFF"/>
        </w:rPr>
        <w:fldChar w:fldCharType="end"/>
      </w:r>
      <w:r>
        <w:rPr>
          <w:rFonts w:ascii="Arial" w:hAnsi="Arial" w:cs="Arial"/>
          <w:color w:val="000000"/>
          <w:shd w:val="clear" w:color="auto" w:fill="FFFFFF"/>
        </w:rPr>
        <w:t xml:space="preserve"> viser at det er </w:t>
      </w:r>
      <w:r w:rsidR="00B147A0">
        <w:rPr>
          <w:rFonts w:ascii="Arial" w:hAnsi="Arial" w:cs="Arial"/>
          <w:color w:val="000000"/>
          <w:shd w:val="clear" w:color="auto" w:fill="FFFFFF"/>
        </w:rPr>
        <w:t xml:space="preserve">stor variasjon mellom utdanningene </w:t>
      </w:r>
      <w:r w:rsidR="00AE5F26">
        <w:rPr>
          <w:rFonts w:ascii="Arial" w:hAnsi="Arial" w:cs="Arial"/>
          <w:color w:val="000000"/>
          <w:shd w:val="clear" w:color="auto" w:fill="FFFFFF"/>
        </w:rPr>
        <w:t xml:space="preserve">i </w:t>
      </w:r>
      <w:r w:rsidR="00B147A0">
        <w:rPr>
          <w:rFonts w:ascii="Arial" w:hAnsi="Arial" w:cs="Arial"/>
          <w:color w:val="000000"/>
          <w:shd w:val="clear" w:color="auto" w:fill="FFFFFF"/>
        </w:rPr>
        <w:t xml:space="preserve">hvorvidt de </w:t>
      </w:r>
      <w:r w:rsidR="004626B5">
        <w:rPr>
          <w:rFonts w:ascii="Arial" w:hAnsi="Arial" w:cs="Arial"/>
          <w:color w:val="000000"/>
          <w:shd w:val="clear" w:color="auto" w:fill="FFFFFF"/>
        </w:rPr>
        <w:t>oppfyller måltallet for 2022. GLU 5-10 oppfyller måltallet, men ikke GLU 1-7</w:t>
      </w:r>
      <w:r w:rsidR="00AE5F26">
        <w:rPr>
          <w:rFonts w:ascii="Arial" w:hAnsi="Arial" w:cs="Arial"/>
          <w:color w:val="000000"/>
          <w:shd w:val="clear" w:color="auto" w:fill="FFFFFF"/>
        </w:rPr>
        <w:t>.</w:t>
      </w:r>
      <w:r w:rsidR="004626B5">
        <w:rPr>
          <w:rFonts w:ascii="Arial" w:hAnsi="Arial" w:cs="Arial"/>
          <w:color w:val="000000"/>
          <w:shd w:val="clear" w:color="auto" w:fill="FFFFFF"/>
        </w:rPr>
        <w:t xml:space="preserve"> Barnehagelærerutdanningene oppfyller måltallet med god margin til tross for nedgangen fra 2021. </w:t>
      </w:r>
      <w:r w:rsidR="004626B5" w:rsidRPr="007C13F8">
        <w:rPr>
          <w:rStyle w:val="normaltextrun"/>
          <w:rFonts w:ascii="Arial" w:hAnsi="Arial" w:cs="Arial"/>
          <w:color w:val="000000"/>
          <w:shd w:val="clear" w:color="auto" w:fill="FFFFFF"/>
        </w:rPr>
        <w:t xml:space="preserve">Verken </w:t>
      </w:r>
      <w:proofErr w:type="spellStart"/>
      <w:r w:rsidR="004626B5" w:rsidRPr="007C13F8">
        <w:rPr>
          <w:rStyle w:val="normaltextrun"/>
          <w:rFonts w:ascii="Arial" w:hAnsi="Arial" w:cs="Arial"/>
          <w:color w:val="000000"/>
          <w:shd w:val="clear" w:color="auto" w:fill="FFFFFF"/>
        </w:rPr>
        <w:t>PPU</w:t>
      </w:r>
      <w:proofErr w:type="spellEnd"/>
      <w:r w:rsidR="004626B5">
        <w:rPr>
          <w:rStyle w:val="normaltextrun"/>
          <w:rFonts w:ascii="Arial" w:hAnsi="Arial" w:cs="Arial"/>
          <w:color w:val="000000"/>
          <w:shd w:val="clear" w:color="auto" w:fill="FFFFFF"/>
        </w:rPr>
        <w:t>,</w:t>
      </w:r>
      <w:r w:rsidR="004626B5" w:rsidRPr="007C13F8">
        <w:rPr>
          <w:rStyle w:val="normaltextrun"/>
          <w:rFonts w:ascii="Arial" w:hAnsi="Arial" w:cs="Arial"/>
          <w:color w:val="000000"/>
          <w:shd w:val="clear" w:color="auto" w:fill="FFFFFF"/>
        </w:rPr>
        <w:t xml:space="preserve"> faglærerutdanningene</w:t>
      </w:r>
      <w:r w:rsidR="004626B5">
        <w:rPr>
          <w:rStyle w:val="normaltextrun"/>
          <w:rFonts w:ascii="Arial" w:hAnsi="Arial" w:cs="Arial"/>
          <w:color w:val="000000"/>
          <w:shd w:val="clear" w:color="auto" w:fill="FFFFFF"/>
        </w:rPr>
        <w:t xml:space="preserve"> eller yrkesfaglærerutdanningene</w:t>
      </w:r>
      <w:r w:rsidR="004626B5" w:rsidRPr="007C13F8">
        <w:rPr>
          <w:rStyle w:val="normaltextrun"/>
          <w:rFonts w:ascii="Arial" w:hAnsi="Arial" w:cs="Arial"/>
          <w:color w:val="000000"/>
          <w:shd w:val="clear" w:color="auto" w:fill="FFFFFF"/>
        </w:rPr>
        <w:t xml:space="preserve"> oppfyller måltallene, men</w:t>
      </w:r>
      <w:r w:rsidR="00CA02CB">
        <w:rPr>
          <w:rStyle w:val="normaltextrun"/>
          <w:rFonts w:ascii="Arial" w:hAnsi="Arial" w:cs="Arial"/>
          <w:color w:val="000000"/>
          <w:shd w:val="clear" w:color="auto" w:fill="FFFFFF"/>
        </w:rPr>
        <w:t>s</w:t>
      </w:r>
      <w:r w:rsidR="004626B5" w:rsidRPr="007C13F8">
        <w:rPr>
          <w:rStyle w:val="normaltextrun"/>
          <w:rFonts w:ascii="Arial" w:hAnsi="Arial" w:cs="Arial"/>
          <w:color w:val="000000"/>
          <w:shd w:val="clear" w:color="auto" w:fill="FFFFFF"/>
        </w:rPr>
        <w:t xml:space="preserve"> de integrerte lektorutdanningene ligger langt over</w:t>
      </w:r>
      <w:r w:rsidR="00852F5E">
        <w:rPr>
          <w:rStyle w:val="normaltextrun"/>
          <w:rFonts w:ascii="Arial" w:hAnsi="Arial" w:cs="Arial"/>
          <w:color w:val="000000"/>
          <w:shd w:val="clear" w:color="auto" w:fill="FFFFFF"/>
        </w:rPr>
        <w:t xml:space="preserve"> sine</w:t>
      </w:r>
      <w:r w:rsidR="004732B8">
        <w:rPr>
          <w:rStyle w:val="normaltextrun"/>
          <w:rFonts w:ascii="Arial" w:hAnsi="Arial" w:cs="Arial"/>
          <w:color w:val="000000"/>
          <w:shd w:val="clear" w:color="auto" w:fill="FFFFFF"/>
        </w:rPr>
        <w:t xml:space="preserve">. </w:t>
      </w:r>
      <w:r w:rsidR="00ED353F">
        <w:rPr>
          <w:rStyle w:val="normaltextrun"/>
          <w:rFonts w:ascii="Arial" w:hAnsi="Arial" w:cs="Arial"/>
          <w:color w:val="000000"/>
          <w:shd w:val="clear" w:color="auto" w:fill="FFFFFF"/>
        </w:rPr>
        <w:t>A</w:t>
      </w:r>
      <w:r w:rsidR="004626B5" w:rsidRPr="007C13F8">
        <w:rPr>
          <w:rStyle w:val="normaltextrun"/>
          <w:rFonts w:ascii="Arial" w:hAnsi="Arial" w:cs="Arial"/>
          <w:color w:val="000000"/>
          <w:shd w:val="clear" w:color="auto" w:fill="FFFFFF"/>
        </w:rPr>
        <w:t xml:space="preserve">ntall uteksaminerte fra </w:t>
      </w:r>
      <w:proofErr w:type="spellStart"/>
      <w:r w:rsidR="004626B5" w:rsidRPr="007C13F8">
        <w:rPr>
          <w:rStyle w:val="normaltextrun"/>
          <w:rFonts w:ascii="Arial" w:hAnsi="Arial" w:cs="Arial"/>
          <w:color w:val="000000"/>
          <w:shd w:val="clear" w:color="auto" w:fill="FFFFFF"/>
        </w:rPr>
        <w:t>PPU</w:t>
      </w:r>
      <w:proofErr w:type="spellEnd"/>
      <w:r w:rsidR="004626B5" w:rsidRPr="007C13F8">
        <w:rPr>
          <w:rStyle w:val="normaltextrun"/>
          <w:rFonts w:ascii="Arial" w:hAnsi="Arial" w:cs="Arial"/>
          <w:color w:val="000000"/>
          <w:shd w:val="clear" w:color="auto" w:fill="FFFFFF"/>
        </w:rPr>
        <w:t xml:space="preserve"> har gått ned samtidig </w:t>
      </w:r>
      <w:r w:rsidR="002029D1">
        <w:rPr>
          <w:rStyle w:val="normaltextrun"/>
          <w:rFonts w:ascii="Arial" w:hAnsi="Arial" w:cs="Arial"/>
          <w:color w:val="000000"/>
          <w:shd w:val="clear" w:color="auto" w:fill="FFFFFF"/>
        </w:rPr>
        <w:t xml:space="preserve">som </w:t>
      </w:r>
      <w:r w:rsidR="004626B5" w:rsidRPr="007C13F8">
        <w:rPr>
          <w:rStyle w:val="normaltextrun"/>
          <w:rFonts w:ascii="Arial" w:hAnsi="Arial" w:cs="Arial"/>
          <w:color w:val="000000"/>
          <w:shd w:val="clear" w:color="auto" w:fill="FFFFFF"/>
        </w:rPr>
        <w:t>de integrerte lektorutdanningene</w:t>
      </w:r>
      <w:r w:rsidR="002029D1">
        <w:rPr>
          <w:rStyle w:val="normaltextrun"/>
          <w:rFonts w:ascii="Arial" w:hAnsi="Arial" w:cs="Arial"/>
          <w:color w:val="000000"/>
          <w:shd w:val="clear" w:color="auto" w:fill="FFFFFF"/>
        </w:rPr>
        <w:t xml:space="preserve"> har vokst</w:t>
      </w:r>
      <w:r w:rsidR="004626B5" w:rsidRPr="007C13F8">
        <w:rPr>
          <w:rStyle w:val="normaltextrun"/>
          <w:rFonts w:ascii="Arial" w:hAnsi="Arial" w:cs="Arial"/>
          <w:color w:val="000000"/>
          <w:shd w:val="clear" w:color="auto" w:fill="FFFFFF"/>
        </w:rPr>
        <w:t xml:space="preserve">. Nedgangen på </w:t>
      </w:r>
      <w:proofErr w:type="spellStart"/>
      <w:r w:rsidR="004626B5" w:rsidRPr="007C13F8">
        <w:rPr>
          <w:rStyle w:val="normaltextrun"/>
          <w:rFonts w:ascii="Arial" w:hAnsi="Arial" w:cs="Arial"/>
          <w:color w:val="000000"/>
          <w:shd w:val="clear" w:color="auto" w:fill="FFFFFF"/>
        </w:rPr>
        <w:t>PPU</w:t>
      </w:r>
      <w:proofErr w:type="spellEnd"/>
      <w:r w:rsidR="004626B5" w:rsidRPr="007C13F8">
        <w:rPr>
          <w:rStyle w:val="normaltextrun"/>
          <w:rFonts w:ascii="Arial" w:hAnsi="Arial" w:cs="Arial"/>
          <w:color w:val="000000"/>
          <w:shd w:val="clear" w:color="auto" w:fill="FFFFFF"/>
        </w:rPr>
        <w:t xml:space="preserve"> er </w:t>
      </w:r>
      <w:r w:rsidR="00B1416D">
        <w:rPr>
          <w:rStyle w:val="normaltextrun"/>
          <w:rFonts w:ascii="Arial" w:hAnsi="Arial" w:cs="Arial"/>
          <w:color w:val="000000"/>
          <w:shd w:val="clear" w:color="auto" w:fill="FFFFFF"/>
        </w:rPr>
        <w:t xml:space="preserve">tallmessig imidlertid </w:t>
      </w:r>
      <w:r w:rsidR="004626B5" w:rsidRPr="007C13F8">
        <w:rPr>
          <w:rStyle w:val="normaltextrun"/>
          <w:rFonts w:ascii="Arial" w:hAnsi="Arial" w:cs="Arial"/>
          <w:color w:val="000000"/>
          <w:shd w:val="clear" w:color="auto" w:fill="FFFFFF"/>
        </w:rPr>
        <w:t>noe større en</w:t>
      </w:r>
      <w:r w:rsidR="004626B5">
        <w:rPr>
          <w:rStyle w:val="normaltextrun"/>
          <w:rFonts w:ascii="Arial" w:hAnsi="Arial" w:cs="Arial"/>
          <w:color w:val="000000"/>
          <w:shd w:val="clear" w:color="auto" w:fill="FFFFFF"/>
        </w:rPr>
        <w:t>n</w:t>
      </w:r>
      <w:r w:rsidR="004626B5" w:rsidRPr="007C13F8">
        <w:rPr>
          <w:rStyle w:val="normaltextrun"/>
          <w:rFonts w:ascii="Arial" w:hAnsi="Arial" w:cs="Arial"/>
          <w:color w:val="000000"/>
          <w:shd w:val="clear" w:color="auto" w:fill="FFFFFF"/>
        </w:rPr>
        <w:t xml:space="preserve"> økningen på de integrerte lektorutdanningene, og dermed </w:t>
      </w:r>
      <w:r w:rsidR="004978A6">
        <w:rPr>
          <w:rStyle w:val="normaltextrun"/>
          <w:rFonts w:ascii="Arial" w:hAnsi="Arial" w:cs="Arial"/>
          <w:color w:val="000000"/>
          <w:shd w:val="clear" w:color="auto" w:fill="FFFFFF"/>
        </w:rPr>
        <w:t>når ikke utdanningene de samlede måltallene, om vi ser dem under ett.</w:t>
      </w:r>
    </w:p>
    <w:p w14:paraId="70CA129A" w14:textId="4227289D" w:rsidR="001F4E98" w:rsidRPr="00F066F4" w:rsidRDefault="00A83264" w:rsidP="003E160F">
      <w:pPr>
        <w:rPr>
          <w:rFonts w:ascii="Arial" w:hAnsi="Arial" w:cs="Arial"/>
          <w:color w:val="000000"/>
          <w:shd w:val="clear" w:color="auto" w:fill="FFFFFF"/>
        </w:rPr>
      </w:pPr>
      <w:proofErr w:type="spellStart"/>
      <w:r w:rsidRPr="006F3C54">
        <w:t>Vedleggstabell</w:t>
      </w:r>
      <w:proofErr w:type="spellEnd"/>
      <w:r w:rsidRPr="006F3C54">
        <w:t xml:space="preserve"> </w:t>
      </w:r>
      <w:hyperlink r:id="rId46" w:history="1">
        <w:r w:rsidR="00FE0F23" w:rsidRPr="00265B35">
          <w:rPr>
            <w:rStyle w:val="Hyperkobling"/>
          </w:rPr>
          <w:t>V2.</w:t>
        </w:r>
        <w:r w:rsidRPr="00265B35">
          <w:rPr>
            <w:rStyle w:val="Hyperkobling"/>
          </w:rPr>
          <w:t>31</w:t>
        </w:r>
      </w:hyperlink>
      <w:r w:rsidR="00FE0F23">
        <w:t xml:space="preserve"> </w:t>
      </w:r>
      <w:r w:rsidRPr="006F3C54">
        <w:t xml:space="preserve">viser stor variasjon mellom de ulike institusjonenes oppfyllelse av måltallene for helse- og lærerutdanninger. </w:t>
      </w:r>
      <w:r w:rsidR="00923F90" w:rsidRPr="00923F90">
        <w:t xml:space="preserve">Flere av institusjonene </w:t>
      </w:r>
      <w:r w:rsidR="00B97419" w:rsidRPr="00923F90">
        <w:t>som ikke har oppfylt måltallene for lærerutdanninger</w:t>
      </w:r>
      <w:r w:rsidR="00923F90" w:rsidRPr="00923F90">
        <w:t xml:space="preserve"> samlet sett, preges av </w:t>
      </w:r>
      <w:r w:rsidR="00D21D17" w:rsidRPr="00923F90">
        <w:t xml:space="preserve">at </w:t>
      </w:r>
      <w:r w:rsidR="00923F90" w:rsidRPr="00923F90">
        <w:t>de ikke har hatt en tilstrekkelig vekst</w:t>
      </w:r>
      <w:r w:rsidR="00D21D17" w:rsidRPr="00923F90">
        <w:t xml:space="preserve"> i </w:t>
      </w:r>
      <w:r w:rsidR="008827EB" w:rsidRPr="00923F90">
        <w:t>kandidater</w:t>
      </w:r>
      <w:r w:rsidR="00D21D17" w:rsidRPr="00923F90">
        <w:t xml:space="preserve"> fra integrert lektorutdanning</w:t>
      </w:r>
      <w:r w:rsidR="008827EB" w:rsidRPr="00923F90">
        <w:t xml:space="preserve"> </w:t>
      </w:r>
      <w:r w:rsidR="00923F90" w:rsidRPr="00923F90">
        <w:t>til å veie</w:t>
      </w:r>
      <w:r w:rsidR="008827EB" w:rsidRPr="00923F90">
        <w:t xml:space="preserve"> opp </w:t>
      </w:r>
      <w:r w:rsidR="0076798C">
        <w:t xml:space="preserve">for </w:t>
      </w:r>
      <w:r w:rsidR="008827EB" w:rsidRPr="00923F90">
        <w:t xml:space="preserve">nedgangen på </w:t>
      </w:r>
      <w:proofErr w:type="spellStart"/>
      <w:r w:rsidR="008827EB" w:rsidRPr="00923F90">
        <w:t>PPU</w:t>
      </w:r>
      <w:proofErr w:type="spellEnd"/>
      <w:r w:rsidR="008827EB" w:rsidRPr="00923F90">
        <w:t xml:space="preserve"> og </w:t>
      </w:r>
      <w:proofErr w:type="spellStart"/>
      <w:r w:rsidR="008827EB" w:rsidRPr="00923F90">
        <w:t>PPU</w:t>
      </w:r>
      <w:proofErr w:type="spellEnd"/>
      <w:r w:rsidR="008827EB" w:rsidRPr="00923F90">
        <w:t>-Y</w:t>
      </w:r>
      <w:r w:rsidR="00923F90" w:rsidRPr="00923F90">
        <w:t>.</w:t>
      </w:r>
      <w:r w:rsidR="006F1985" w:rsidRPr="006F3C54">
        <w:t xml:space="preserve"> </w:t>
      </w:r>
      <w:r w:rsidR="00DE48B6" w:rsidRPr="006F3C54">
        <w:t xml:space="preserve">Mange institusjoner </w:t>
      </w:r>
      <w:r w:rsidR="0035333A">
        <w:t xml:space="preserve">har god måloppnåelse på </w:t>
      </w:r>
      <w:r w:rsidR="00B05C33">
        <w:t xml:space="preserve">noen av utdanningene, mens de kommer svakere ut på andre. </w:t>
      </w:r>
      <w:r w:rsidR="00D961B3">
        <w:t xml:space="preserve">Det å sikre rekrutteringen til disse </w:t>
      </w:r>
      <w:r w:rsidR="00671501">
        <w:t xml:space="preserve">utdanningene vil være en viktig nasjonal oppgave framover. </w:t>
      </w:r>
    </w:p>
    <w:bookmarkStart w:id="65" w:name="_Toc134792817"/>
    <w:bookmarkStart w:id="66" w:name="_Ref69885713"/>
    <w:p w14:paraId="6A19DE34" w14:textId="5307EFAA" w:rsidR="00163218" w:rsidRDefault="00451D4A" w:rsidP="00E830F4">
      <w:pPr>
        <w:pStyle w:val="Bildetekst"/>
        <w:rPr>
          <w:rFonts w:asciiTheme="majorHAnsi" w:eastAsiaTheme="majorEastAsia" w:hAnsiTheme="majorHAnsi" w:cstheme="majorBidi"/>
          <w:b/>
          <w:color w:val="362683"/>
          <w:sz w:val="24"/>
          <w:szCs w:val="26"/>
        </w:rPr>
      </w:pPr>
      <w:r w:rsidRPr="00F577F0">
        <w:rPr>
          <w:noProof/>
        </w:rPr>
        <w:lastRenderedPageBreak/>
        <mc:AlternateContent>
          <mc:Choice Requires="wps">
            <w:drawing>
              <wp:anchor distT="45720" distB="45720" distL="114300" distR="114300" simplePos="0" relativeHeight="251658241" behindDoc="0" locked="0" layoutInCell="1" allowOverlap="1" wp14:anchorId="7672B9D0" wp14:editId="066F52CF">
                <wp:simplePos x="0" y="0"/>
                <wp:positionH relativeFrom="margin">
                  <wp:posOffset>2540</wp:posOffset>
                </wp:positionH>
                <wp:positionV relativeFrom="paragraph">
                  <wp:posOffset>292100</wp:posOffset>
                </wp:positionV>
                <wp:extent cx="5238750" cy="8201025"/>
                <wp:effectExtent l="38100" t="38100" r="57150" b="66675"/>
                <wp:wrapSquare wrapText="bothSides"/>
                <wp:docPr id="30" name="Tekstboks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8201025"/>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3F2EBC8C" w14:textId="77777777" w:rsidR="00163218" w:rsidRDefault="00163218" w:rsidP="00163218">
                            <w:proofErr w:type="spellStart"/>
                            <w:r>
                              <w:t>NOKUT</w:t>
                            </w:r>
                            <w:proofErr w:type="spellEnd"/>
                            <w:r>
                              <w:t xml:space="preserve"> evaluerte i perioden 2020–2022 lektorutdanningene for trinn 8–13 på de </w:t>
                            </w:r>
                            <w:r w:rsidRPr="005E0504">
                              <w:t>elleve institusjonene som tilbyr</w:t>
                            </w:r>
                            <w:r>
                              <w:t xml:space="preserve"> denne utdanningen. Evalueringens formål var å frembringe kunnskap om kvalitet og bidra til videre utvikling. Evalueringen ble gjort av en sakkyndig komité.</w:t>
                            </w:r>
                          </w:p>
                          <w:p w14:paraId="7F0419A7" w14:textId="77777777" w:rsidR="00163218" w:rsidRDefault="00163218" w:rsidP="00163218">
                            <w:r>
                              <w:t>Evalueringen viser at lektorutdanningene er preget av mange av de samme utfordringene, og at dette til dels handler om velkjente utfordringer vi har sett over tid i norsk og internasjonal lærerutdanning. Alle lærerutdanninger er komplekse, men lektorutdanningen har tradisjonelt stått i en særstilling av flere grunner: Lektorutdanningen er gjerne organisert på tvers av universitet eller høyskole og praksisskoler og den er organisert på tvers av ulike disipliner, institutter og fakulteter. Dette styrker kvaliteten på den disiplinfaglige undervisningen i lektorprogrammet, men skaper utfordringer med samhandling mellom disiplinfag, profesjonsfag og praksis. Under beskrives, helt kort, noen av komiteens anbefalinger, fordelt på tre hovedområder.</w:t>
                            </w:r>
                          </w:p>
                          <w:p w14:paraId="5B5910DB" w14:textId="77777777" w:rsidR="00163218" w:rsidRPr="005576D7" w:rsidRDefault="00163218" w:rsidP="00163218">
                            <w:pPr>
                              <w:spacing w:after="0"/>
                              <w:rPr>
                                <w:b/>
                                <w:bCs/>
                              </w:rPr>
                            </w:pPr>
                            <w:r w:rsidRPr="005576D7">
                              <w:rPr>
                                <w:b/>
                                <w:bCs/>
                              </w:rPr>
                              <w:t xml:space="preserve">Bedre balanse mellom nasjonal styring og institusjonell autonomi </w:t>
                            </w:r>
                          </w:p>
                          <w:p w14:paraId="02E87EB3" w14:textId="77777777" w:rsidR="00163218" w:rsidRDefault="00163218" w:rsidP="00163218">
                            <w:r>
                              <w:t>Komiteen anbefaler nasjonale myndigheter å myke opp nasjonal styring av lektorutdanningene, særlig knyttet til kravet om organisering av praksis fordelt over fire av fem studieår og obligatorisk bacheloroppgave i tredje studieår. Komiteen anbefaler institusjonene å vurdere hvilke fagkombinasjoner som tilbys med tanke på behov i skole og samfunn.</w:t>
                            </w:r>
                          </w:p>
                          <w:p w14:paraId="2C51440A" w14:textId="77777777" w:rsidR="00163218" w:rsidRPr="002D37C4" w:rsidRDefault="00163218" w:rsidP="00163218">
                            <w:pPr>
                              <w:spacing w:after="0"/>
                              <w:rPr>
                                <w:b/>
                                <w:bCs/>
                              </w:rPr>
                            </w:pPr>
                            <w:r w:rsidRPr="002D37C4">
                              <w:rPr>
                                <w:b/>
                                <w:bCs/>
                              </w:rPr>
                              <w:t xml:space="preserve">Etablering av lektorutdanningskultur og større </w:t>
                            </w:r>
                            <w:proofErr w:type="gramStart"/>
                            <w:r w:rsidRPr="002D37C4">
                              <w:rPr>
                                <w:b/>
                                <w:bCs/>
                              </w:rPr>
                              <w:t>fokus</w:t>
                            </w:r>
                            <w:proofErr w:type="gramEnd"/>
                            <w:r w:rsidRPr="002D37C4">
                              <w:rPr>
                                <w:b/>
                                <w:bCs/>
                              </w:rPr>
                              <w:t xml:space="preserve"> på programlederrollen</w:t>
                            </w:r>
                          </w:p>
                          <w:p w14:paraId="44ABF127" w14:textId="630F5A87" w:rsidR="00163218" w:rsidRDefault="00163218" w:rsidP="00163218">
                            <w:r>
                              <w:t xml:space="preserve">Komiteen anbefaler nasjonale myndigheter å presisere og konkretisere skoleeiers plikt til å bidra i praksisopplæringen. </w:t>
                            </w:r>
                            <w:r w:rsidRPr="00670413">
                              <w:t xml:space="preserve">Komiteen anbefaler institusjonene å legge til rette for at en kultur for lektorutdanning kan utvikle seg, der relasjonelt arbeid </w:t>
                            </w:r>
                            <w:r w:rsidR="002B5629">
                              <w:t>mellom</w:t>
                            </w:r>
                            <w:r w:rsidR="00EB4B6C">
                              <w:t xml:space="preserve"> ulike</w:t>
                            </w:r>
                            <w:r w:rsidRPr="00670413">
                              <w:t xml:space="preserve"> aktører er vesentlig, og der det er muligheter for dialog om begrep, innhold</w:t>
                            </w:r>
                            <w:r>
                              <w:t xml:space="preserve"> </w:t>
                            </w:r>
                            <w:r w:rsidRPr="00670413">
                              <w:t>og organis</w:t>
                            </w:r>
                            <w:r>
                              <w:t>ering</w:t>
                            </w:r>
                            <w:r w:rsidRPr="00670413">
                              <w:t xml:space="preserve">. Komiteen anbefaler også institusjonene å ha </w:t>
                            </w:r>
                            <w:proofErr w:type="gramStart"/>
                            <w:r w:rsidRPr="00670413">
                              <w:t>fokus</w:t>
                            </w:r>
                            <w:proofErr w:type="gramEnd"/>
                            <w:r w:rsidRPr="00670413">
                              <w:t xml:space="preserve"> på programleders rolle og sørge for at programleder har de ressursene og den myndigheten som trengs for å utøve jobben på en solid måte. Dette innebærer institusjonelle endringer som gir programleder økt myndighet.</w:t>
                            </w:r>
                          </w:p>
                          <w:p w14:paraId="134F3485" w14:textId="77777777" w:rsidR="00163218" w:rsidRPr="002D37C4" w:rsidRDefault="00163218" w:rsidP="00163218">
                            <w:pPr>
                              <w:spacing w:after="0"/>
                              <w:rPr>
                                <w:b/>
                                <w:bCs/>
                              </w:rPr>
                            </w:pPr>
                            <w:r w:rsidRPr="002D37C4">
                              <w:rPr>
                                <w:b/>
                                <w:bCs/>
                              </w:rPr>
                              <w:t>Grad av helhet og sammenheng og lektorstudentenes arbeidsbyrde</w:t>
                            </w:r>
                          </w:p>
                          <w:p w14:paraId="609E9381" w14:textId="77777777" w:rsidR="00163218" w:rsidRDefault="00163218" w:rsidP="00163218">
                            <w:r>
                              <w:t>Komiteen anbefaler nasjonale myndigheter å ta hensyn til utdanningens kompleksitet og behov for koordinering og samarbeid i vurdering av lektorutdanningens finansiering. Komiteen anbefaler institusjonene å se på lokal ressursfordeling med tanke på å kunne iverksette nødvendige tiltak for å skape helhet og sammenheng, samt å tilpasse læringsaktiviteter til henholdsvis lektor- og disiplinstudenter i større grad, selv om de undervises i samkjørte emner.</w:t>
                            </w:r>
                          </w:p>
                          <w:p w14:paraId="3E8D96C0" w14:textId="77777777" w:rsidR="00163218" w:rsidRPr="00C17A87" w:rsidRDefault="00163218" w:rsidP="00163218">
                            <w:pPr>
                              <w:spacing w:after="0"/>
                              <w:rPr>
                                <w:b/>
                                <w:bCs/>
                              </w:rPr>
                            </w:pPr>
                            <w:r w:rsidRPr="76DD12B3">
                              <w:rPr>
                                <w:b/>
                                <w:bCs/>
                              </w:rPr>
                              <w:t xml:space="preserve">Fagenes relevans </w:t>
                            </w:r>
                            <w:r w:rsidRPr="00C17A87">
                              <w:rPr>
                                <w:b/>
                                <w:bCs/>
                              </w:rPr>
                              <w:t xml:space="preserve">i lektorutdanningen </w:t>
                            </w:r>
                            <w:r w:rsidRPr="00740295">
                              <w:rPr>
                                <w:b/>
                                <w:bCs/>
                              </w:rPr>
                              <w:t>og kvalitetssikring av praksisopplæring og veiledning</w:t>
                            </w:r>
                          </w:p>
                          <w:p w14:paraId="58DD2A40" w14:textId="77777777" w:rsidR="00163218" w:rsidRDefault="00163218" w:rsidP="00163218">
                            <w:pPr>
                              <w:pStyle w:val="Kilde"/>
                              <w:rPr>
                                <w:b w:val="0"/>
                                <w:sz w:val="20"/>
                              </w:rPr>
                            </w:pPr>
                            <w:r w:rsidRPr="00B47CA4">
                              <w:rPr>
                                <w:b w:val="0"/>
                                <w:sz w:val="20"/>
                              </w:rPr>
                              <w:t>Komiteen anbefaler nasjonale myndigheter å kartlegge og kvalitetssikre lektorstudentenes praksisopplæring. Komiteen anbefaler institusjonene å arbeide med tilpassing av disiplinfaglige emner til lektorstudentene, gjerne i samarbeid med profesjonsfaglige aktører og skolene. Komiteen anbefaler skolene å kvalitetssikre veiledning av lektorstudenter i større grad.</w:t>
                            </w:r>
                          </w:p>
                          <w:p w14:paraId="2147E628" w14:textId="77777777" w:rsidR="00867F97" w:rsidRDefault="00867F97" w:rsidP="00163218">
                            <w:pPr>
                              <w:pStyle w:val="Kilde"/>
                              <w:rPr>
                                <w:bCs/>
                                <w:sz w:val="20"/>
                              </w:rPr>
                            </w:pPr>
                          </w:p>
                          <w:p w14:paraId="3A8C4A27" w14:textId="3799C5D9" w:rsidR="00163218" w:rsidRPr="000910EE" w:rsidRDefault="000910EE" w:rsidP="00163218">
                            <w:pPr>
                              <w:pStyle w:val="Kilde"/>
                              <w:rPr>
                                <w:sz w:val="20"/>
                              </w:rPr>
                            </w:pPr>
                            <w:r w:rsidRPr="000910EE">
                              <w:rPr>
                                <w:bCs/>
                                <w:sz w:val="20"/>
                              </w:rPr>
                              <w:t xml:space="preserve">Utarbeidet av </w:t>
                            </w:r>
                            <w:proofErr w:type="spellStart"/>
                            <w:r w:rsidRPr="000910EE">
                              <w:rPr>
                                <w:bCs/>
                                <w:sz w:val="20"/>
                              </w:rPr>
                              <w:t>NOKUT</w:t>
                            </w:r>
                            <w:proofErr w:type="spellEnd"/>
                            <w:r w:rsidR="00590383">
                              <w:rPr>
                                <w:bCs/>
                                <w:sz w:val="20"/>
                              </w:rPr>
                              <w:t xml:space="preserve">, se også </w:t>
                            </w:r>
                            <w:hyperlink r:id="rId47" w:history="1">
                              <w:r w:rsidR="00867F97" w:rsidRPr="00867F97">
                                <w:rPr>
                                  <w:rStyle w:val="Hyperkobling"/>
                                  <w:bCs/>
                                  <w:sz w:val="20"/>
                                </w:rPr>
                                <w:t>(</w:t>
                              </w:r>
                              <w:proofErr w:type="spellStart"/>
                              <w:r w:rsidR="00867F97" w:rsidRPr="00867F97">
                                <w:rPr>
                                  <w:rStyle w:val="Hyperkobling"/>
                                  <w:bCs/>
                                  <w:sz w:val="20"/>
                                </w:rPr>
                                <w:t>NOKUT</w:t>
                              </w:r>
                              <w:proofErr w:type="spellEnd"/>
                              <w:r w:rsidR="00867F97" w:rsidRPr="00867F97">
                                <w:rPr>
                                  <w:rStyle w:val="Hyperkobling"/>
                                  <w:bCs/>
                                  <w:sz w:val="20"/>
                                </w:rPr>
                                <w:t>, 2022)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2B9D0" id="Tekstboks 30" o:spid="_x0000_s1028" type="#_x0000_t202" style="position:absolute;margin-left:.2pt;margin-top:23pt;width:412.5pt;height:645.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" strokecolor="#362683">
                <v:textbox>
                  <w:txbxContent>
                    <w:p w14:paraId="3F2EBC8C" w14:textId="77777777" w:rsidR="00163218" w:rsidRDefault="00163218" w:rsidP="00163218">
                      <w:r>
                        <w:t xml:space="preserve">NOKUT evaluerte i perioden 2020–2022 lektorutdanningene for trinn 8–13 på de </w:t>
                      </w:r>
                      <w:r w:rsidRPr="005E0504">
                        <w:t>elleve institusjonene som tilbyr</w:t>
                      </w:r>
                      <w:r>
                        <w:t xml:space="preserve"> denne utdanningen. Evalueringens formål var å frembringe kunnskap om kvalitet og bidra til videre utvikling. Evalueringen ble gjort av en sakkyndig komité.</w:t>
                      </w:r>
                    </w:p>
                    <w:p w14:paraId="7F0419A7" w14:textId="77777777" w:rsidR="00163218" w:rsidRDefault="00163218" w:rsidP="00163218">
                      <w:r>
                        <w:t>Evalueringen viser at lektorutdanningene er preget av mange av de samme utfordringene, og at dette til dels handler om velkjente utfordringer vi har sett over tid i norsk og internasjonal lærerutdanning. Alle lærerutdanninger er komplekse, men lektorutdanningen har tradisjonelt stått i en særstilling av flere grunner: Lektorutdanningen er gjerne organisert på tvers av universitet eller høyskole og praksisskoler og den er organisert på tvers av ulike disipliner, institutter og fakulteter. Dette styrker kvaliteten på den disiplinfaglige undervisningen i lektorprogrammet, men skaper utfordringer med samhandling mellom disiplinfag, profesjonsfag og praksis. Under beskrives, helt kort, noen av komiteens anbefalinger, fordelt på tre hovedområder.</w:t>
                      </w:r>
                    </w:p>
                    <w:p w14:paraId="5B5910DB" w14:textId="77777777" w:rsidR="00163218" w:rsidRPr="005576D7" w:rsidRDefault="00163218" w:rsidP="00163218">
                      <w:pPr>
                        <w:spacing w:after="0"/>
                        <w:rPr>
                          <w:b/>
                          <w:bCs/>
                        </w:rPr>
                      </w:pPr>
                      <w:r w:rsidRPr="005576D7">
                        <w:rPr>
                          <w:b/>
                          <w:bCs/>
                        </w:rPr>
                        <w:t xml:space="preserve">Bedre balanse mellom nasjonal styring og institusjonell autonomi </w:t>
                      </w:r>
                    </w:p>
                    <w:p w14:paraId="02E87EB3" w14:textId="77777777" w:rsidR="00163218" w:rsidRDefault="00163218" w:rsidP="00163218">
                      <w:r>
                        <w:t>Komiteen anbefaler nasjonale myndigheter å myke opp nasjonal styring av lektorutdanningene, særlig knyttet til kravet om organisering av praksis fordelt over fire av fem studieår og obligatorisk bacheloroppgave i tredje studieår. Komiteen anbefaler institusjonene å vurdere hvilke fagkombinasjoner som tilbys med tanke på behov i skole og samfunn.</w:t>
                      </w:r>
                    </w:p>
                    <w:p w14:paraId="2C51440A" w14:textId="77777777" w:rsidR="00163218" w:rsidRPr="002D37C4" w:rsidRDefault="00163218" w:rsidP="00163218">
                      <w:pPr>
                        <w:spacing w:after="0"/>
                        <w:rPr>
                          <w:b/>
                          <w:bCs/>
                        </w:rPr>
                      </w:pPr>
                      <w:r w:rsidRPr="002D37C4">
                        <w:rPr>
                          <w:b/>
                          <w:bCs/>
                        </w:rPr>
                        <w:t>Etablering av lektorutdanningskultur og større fokus på programlederrollen</w:t>
                      </w:r>
                    </w:p>
                    <w:p w14:paraId="44ABF127" w14:textId="630F5A87" w:rsidR="00163218" w:rsidRDefault="00163218" w:rsidP="00163218">
                      <w:r>
                        <w:t xml:space="preserve">Komiteen anbefaler nasjonale myndigheter å presisere og konkretisere skoleeiers plikt til å bidra i praksisopplæringen. </w:t>
                      </w:r>
                      <w:r w:rsidRPr="00670413">
                        <w:t xml:space="preserve">Komiteen anbefaler institusjonene å legge til rette for at en kultur for lektorutdanning kan utvikle seg, der relasjonelt arbeid </w:t>
                      </w:r>
                      <w:r w:rsidR="002B5629">
                        <w:t>mellom</w:t>
                      </w:r>
                      <w:r w:rsidR="00EB4B6C">
                        <w:t xml:space="preserve"> ulike</w:t>
                      </w:r>
                      <w:r w:rsidRPr="00670413">
                        <w:t xml:space="preserve"> aktører er vesentlig, og der det er muligheter for dialog om begrep, innhold</w:t>
                      </w:r>
                      <w:r>
                        <w:t xml:space="preserve"> </w:t>
                      </w:r>
                      <w:r w:rsidRPr="00670413">
                        <w:t>og organis</w:t>
                      </w:r>
                      <w:r>
                        <w:t>ering</w:t>
                      </w:r>
                      <w:r w:rsidRPr="00670413">
                        <w:t>. Komiteen anbefaler også institusjonene å ha fokus på programleders rolle og sørge for at programleder har de ressursene og den myndigheten som trengs for å utøve jobben på en solid måte. Dette innebærer institusjonelle endringer som gir programleder økt myndighet.</w:t>
                      </w:r>
                    </w:p>
                    <w:p w14:paraId="134F3485" w14:textId="77777777" w:rsidR="00163218" w:rsidRPr="002D37C4" w:rsidRDefault="00163218" w:rsidP="00163218">
                      <w:pPr>
                        <w:spacing w:after="0"/>
                        <w:rPr>
                          <w:b/>
                          <w:bCs/>
                        </w:rPr>
                      </w:pPr>
                      <w:r w:rsidRPr="002D37C4">
                        <w:rPr>
                          <w:b/>
                          <w:bCs/>
                        </w:rPr>
                        <w:t>Grad av helhet og sammenheng og lektorstudentenes arbeidsbyrde</w:t>
                      </w:r>
                    </w:p>
                    <w:p w14:paraId="609E9381" w14:textId="77777777" w:rsidR="00163218" w:rsidRDefault="00163218" w:rsidP="00163218">
                      <w:r>
                        <w:t>Komiteen anbefaler nasjonale myndigheter å ta hensyn til utdanningens kompleksitet og behov for koordinering og samarbeid i vurdering av lektorutdanningens finansiering. Komiteen anbefaler institusjonene å se på lokal ressursfordeling med tanke på å kunne iverksette nødvendige tiltak for å skape helhet og sammenheng, samt å tilpasse læringsaktiviteter til henholdsvis lektor- og disiplinstudenter i større grad, selv om de undervises i samkjørte emner.</w:t>
                      </w:r>
                    </w:p>
                    <w:p w14:paraId="3E8D96C0" w14:textId="77777777" w:rsidR="00163218" w:rsidRPr="00C17A87" w:rsidRDefault="00163218" w:rsidP="00163218">
                      <w:pPr>
                        <w:spacing w:after="0"/>
                        <w:rPr>
                          <w:b/>
                          <w:bCs/>
                        </w:rPr>
                      </w:pPr>
                      <w:r w:rsidRPr="76DD12B3">
                        <w:rPr>
                          <w:b/>
                          <w:bCs/>
                        </w:rPr>
                        <w:t xml:space="preserve">Fagenes relevans </w:t>
                      </w:r>
                      <w:r w:rsidRPr="00C17A87">
                        <w:rPr>
                          <w:b/>
                          <w:bCs/>
                        </w:rPr>
                        <w:t xml:space="preserve">i lektorutdanningen </w:t>
                      </w:r>
                      <w:r w:rsidRPr="00740295">
                        <w:rPr>
                          <w:b/>
                          <w:bCs/>
                        </w:rPr>
                        <w:t>og kvalitetssikring av praksisopplæring og veiledning</w:t>
                      </w:r>
                    </w:p>
                    <w:p w14:paraId="58DD2A40" w14:textId="77777777" w:rsidR="00163218" w:rsidRDefault="00163218" w:rsidP="00163218">
                      <w:pPr>
                        <w:pStyle w:val="Kilde"/>
                        <w:rPr>
                          <w:b w:val="0"/>
                          <w:sz w:val="20"/>
                        </w:rPr>
                      </w:pPr>
                      <w:r w:rsidRPr="00B47CA4">
                        <w:rPr>
                          <w:b w:val="0"/>
                          <w:sz w:val="20"/>
                        </w:rPr>
                        <w:t>Komiteen anbefaler nasjonale myndigheter å kartlegge og kvalitetssikre lektorstudentenes praksisopplæring. Komiteen anbefaler institusjonene å arbeide med tilpassing av disiplinfaglige emner til lektorstudentene, gjerne i samarbeid med profesjonsfaglige aktører og skolene. Komiteen anbefaler skolene å kvalitetssikre veiledning av lektorstudenter i større grad.</w:t>
                      </w:r>
                    </w:p>
                    <w:p w14:paraId="2147E628" w14:textId="77777777" w:rsidR="00867F97" w:rsidRDefault="00867F97" w:rsidP="00163218">
                      <w:pPr>
                        <w:pStyle w:val="Kilde"/>
                        <w:rPr>
                          <w:bCs/>
                          <w:sz w:val="20"/>
                        </w:rPr>
                      </w:pPr>
                    </w:p>
                    <w:p w14:paraId="3A8C4A27" w14:textId="3799C5D9" w:rsidR="00163218" w:rsidRPr="000910EE" w:rsidRDefault="000910EE" w:rsidP="00163218">
                      <w:pPr>
                        <w:pStyle w:val="Kilde"/>
                        <w:rPr>
                          <w:sz w:val="20"/>
                        </w:rPr>
                      </w:pPr>
                      <w:r w:rsidRPr="000910EE">
                        <w:rPr>
                          <w:bCs/>
                          <w:sz w:val="20"/>
                        </w:rPr>
                        <w:t>Utarbeidet av NOKUT</w:t>
                      </w:r>
                      <w:r w:rsidR="00590383">
                        <w:rPr>
                          <w:bCs/>
                          <w:sz w:val="20"/>
                        </w:rPr>
                        <w:t xml:space="preserve">, se også </w:t>
                      </w:r>
                      <w:hyperlink r:id="rId48" w:history="1">
                        <w:r w:rsidR="00867F97" w:rsidRPr="00867F97">
                          <w:rPr>
                            <w:rStyle w:val="Hyperkobling"/>
                            <w:bCs/>
                            <w:sz w:val="20"/>
                          </w:rPr>
                          <w:t>(NOKUT, 2022)</w:t>
                        </w:r>
                      </w:hyperlink>
                    </w:p>
                  </w:txbxContent>
                </v:textbox>
                <w10:wrap type="square" anchorx="margin"/>
              </v:shape>
            </w:pict>
          </mc:Fallback>
        </mc:AlternateContent>
      </w:r>
      <w:r w:rsidR="00E830F4">
        <w:t xml:space="preserve">Tekstboks </w:t>
      </w:r>
      <w:r>
        <w:fldChar w:fldCharType="begin"/>
      </w:r>
      <w:r>
        <w:instrText>STYLEREF 1 \s</w:instrText>
      </w:r>
      <w:r>
        <w:fldChar w:fldCharType="separate"/>
      </w:r>
      <w:r w:rsidR="00F262EF">
        <w:rPr>
          <w:noProof/>
        </w:rPr>
        <w:t>2</w:t>
      </w:r>
      <w:r>
        <w:fldChar w:fldCharType="end"/>
      </w:r>
      <w:r w:rsidR="00F11FCC">
        <w:t>.</w:t>
      </w:r>
      <w:r>
        <w:fldChar w:fldCharType="begin"/>
      </w:r>
      <w:r>
        <w:instrText>SEQ Tekstboks \* ARABIC \s 1</w:instrText>
      </w:r>
      <w:r>
        <w:fldChar w:fldCharType="separate"/>
      </w:r>
      <w:r w:rsidR="00F262EF">
        <w:rPr>
          <w:noProof/>
        </w:rPr>
        <w:t>3</w:t>
      </w:r>
      <w:r>
        <w:fldChar w:fldCharType="end"/>
      </w:r>
      <w:r w:rsidR="00E830F4">
        <w:t xml:space="preserve"> Evaluering </w:t>
      </w:r>
      <w:r w:rsidR="00E830F4">
        <w:rPr>
          <w:noProof/>
        </w:rPr>
        <w:t>av lektorutdanningene</w:t>
      </w:r>
      <w:bookmarkEnd w:id="65"/>
      <w:r w:rsidR="00163218">
        <w:br w:type="page"/>
      </w:r>
    </w:p>
    <w:p w14:paraId="20D24DEC" w14:textId="03C2FABD" w:rsidR="00CF30BD" w:rsidRDefault="001A0C64" w:rsidP="00AE4B98">
      <w:pPr>
        <w:pStyle w:val="Overskrift3"/>
      </w:pPr>
      <w:bookmarkStart w:id="67" w:name="_Toc134792726"/>
      <w:r w:rsidRPr="001A0C64">
        <w:lastRenderedPageBreak/>
        <w:t xml:space="preserve">Studentenes tidsbruk </w:t>
      </w:r>
      <w:r>
        <w:t xml:space="preserve">- </w:t>
      </w:r>
      <w:r w:rsidRPr="001A0C64">
        <w:t>nasjonal styringsparameter</w:t>
      </w:r>
      <w:bookmarkEnd w:id="66"/>
      <w:bookmarkEnd w:id="67"/>
    </w:p>
    <w:p w14:paraId="5D43D5C6" w14:textId="145BD873" w:rsidR="002035FD" w:rsidRDefault="002035FD" w:rsidP="002035FD">
      <w:r>
        <w:t xml:space="preserve">Tilstrekkelig høy studieinnsats er </w:t>
      </w:r>
      <w:r w:rsidR="00F50F4E">
        <w:t>e</w:t>
      </w:r>
      <w:r w:rsidRPr="00E4578F">
        <w:t xml:space="preserve">n </w:t>
      </w:r>
      <w:r w:rsidR="00F50F4E">
        <w:t xml:space="preserve">viktig </w:t>
      </w:r>
      <w:r>
        <w:t>forutsetning for at studentene skal sitte igjen med et godt læringsutbytte. Data fra Studiebarometeret viser at norske heltidsstudenter i snitt bruker 33,5 timer på studiene og 9,4 timer på betalt arbeid per uke (</w:t>
      </w:r>
      <w:proofErr w:type="spellStart"/>
      <w:r>
        <w:t>NOKUT</w:t>
      </w:r>
      <w:proofErr w:type="spellEnd"/>
      <w:r>
        <w:t>, 2023). Samlet sett er dette klart mer enn en normal arbeidsuke. De nasjonale tallene på total faglig tidsbruk har vært</w:t>
      </w:r>
      <w:r w:rsidR="003C5181">
        <w:t xml:space="preserve"> relativt</w:t>
      </w:r>
      <w:r>
        <w:t xml:space="preserve"> stabile i den perioden vi har sammenlignbare data </w:t>
      </w:r>
      <w:r w:rsidR="00744BAD">
        <w:t xml:space="preserve">for </w:t>
      </w:r>
      <w:r>
        <w:t>(2014–2022), men med en svakt nedadgående trend fra toppåret i 2016 (35,5). Den faglige tidsbruken var noe lavere under koronapandemien (2020</w:t>
      </w:r>
      <w:r w:rsidR="003E2BB9">
        <w:t>–</w:t>
      </w:r>
      <w:r>
        <w:t xml:space="preserve">2021) enn tidligere, og </w:t>
      </w:r>
      <w:r w:rsidR="00A604D8">
        <w:t>trenden fortsatte</w:t>
      </w:r>
      <w:r>
        <w:t xml:space="preserve"> i 2022.</w:t>
      </w:r>
    </w:p>
    <w:p w14:paraId="0E6CEC64" w14:textId="11AFD670" w:rsidR="001C2089" w:rsidRPr="00535914" w:rsidRDefault="001C2089" w:rsidP="001C2089">
      <w:r w:rsidRPr="00535914">
        <w:t>Tidsbruk på organiserte læringsaktiviteter var noe lavere i 2020</w:t>
      </w:r>
      <w:r w:rsidR="00C16378">
        <w:t>–</w:t>
      </w:r>
      <w:r w:rsidRPr="00535914">
        <w:t xml:space="preserve">2021 enn </w:t>
      </w:r>
      <w:r w:rsidRPr="00535914" w:rsidDel="00BF3ABA">
        <w:t xml:space="preserve">i </w:t>
      </w:r>
      <w:r w:rsidRPr="00535914">
        <w:t xml:space="preserve">årene </w:t>
      </w:r>
      <w:r w:rsidR="002B1BF6">
        <w:t>både</w:t>
      </w:r>
      <w:r w:rsidRPr="00535914">
        <w:t xml:space="preserve"> før og etter. Tidsbruk på egenstudier var noe høyere under pandemien enn før, og gikk deretter ned i 2022. Nedgangen i tid brukt på egenstudier i 2022 har vært større enn </w:t>
      </w:r>
      <w:r w:rsidR="00641866">
        <w:t>økningen</w:t>
      </w:r>
      <w:r w:rsidR="00641866" w:rsidRPr="00535914">
        <w:t xml:space="preserve"> </w:t>
      </w:r>
      <w:r w:rsidRPr="00535914">
        <w:t>i tid brukt på organiserte læringsaktiviteter</w:t>
      </w:r>
      <w:r w:rsidR="00535140">
        <w:t>.</w:t>
      </w:r>
      <w:r w:rsidR="001245C9">
        <w:t xml:space="preserve"> </w:t>
      </w:r>
    </w:p>
    <w:p w14:paraId="03B57B8B" w14:textId="585E4F2C" w:rsidR="001C2089" w:rsidRPr="00535914" w:rsidRDefault="001C2089" w:rsidP="001C2089">
      <w:r w:rsidRPr="00535914">
        <w:t>I 2021 rapporterte studentene om økt tidsbruk på betalt arbeid. De</w:t>
      </w:r>
      <w:r w:rsidR="00B91205">
        <w:t>tte</w:t>
      </w:r>
      <w:r w:rsidRPr="00535914">
        <w:t xml:space="preserve"> har økt ytterligere i 2022. Gjennomsnittstudenten på heltidsprogrammer brukte rundt 8 timer i uken på betalt arbeid i årene 2017–2020, </w:t>
      </w:r>
      <w:r w:rsidR="001B0D9E">
        <w:t xml:space="preserve">mens </w:t>
      </w:r>
      <w:r w:rsidRPr="00535914">
        <w:t>tilsvarende tall i 2022 er 9,4</w:t>
      </w:r>
      <w:r w:rsidR="00CE07BB">
        <w:t xml:space="preserve"> timer</w:t>
      </w:r>
      <w:r w:rsidRPr="00535914">
        <w:t xml:space="preserve">. Økningen kommer både av at flere studenter er i arbeid, og at studentene </w:t>
      </w:r>
      <w:r w:rsidR="00CE07BB">
        <w:t>som er</w:t>
      </w:r>
      <w:r w:rsidRPr="00535914">
        <w:t xml:space="preserve"> i arbeid jobber flere timer enn tidligere. </w:t>
      </w:r>
      <w:r w:rsidR="00AF42AE">
        <w:t>D</w:t>
      </w:r>
      <w:r w:rsidRPr="00535914">
        <w:t>en lave arbeidsledigheten</w:t>
      </w:r>
      <w:r w:rsidR="004C1066">
        <w:t>,</w:t>
      </w:r>
      <w:r w:rsidRPr="00535914" w:rsidDel="004C1066">
        <w:t xml:space="preserve"> </w:t>
      </w:r>
      <w:r w:rsidR="00EE1978">
        <w:t>den generelt</w:t>
      </w:r>
      <w:r w:rsidRPr="00535914">
        <w:t xml:space="preserve"> høye inflasjonen</w:t>
      </w:r>
      <w:r w:rsidR="001619EC">
        <w:t xml:space="preserve"> og prisøkning på </w:t>
      </w:r>
      <w:r w:rsidR="0060197E">
        <w:t>en nøkkel</w:t>
      </w:r>
      <w:r w:rsidR="00BF0AB6">
        <w:t>vare</w:t>
      </w:r>
      <w:r w:rsidR="0060197E">
        <w:t xml:space="preserve"> som strøm</w:t>
      </w:r>
      <w:r w:rsidRPr="00535914">
        <w:t xml:space="preserve"> høsten 2022</w:t>
      </w:r>
      <w:r w:rsidR="00717D78">
        <w:t xml:space="preserve"> er mulige årsaker til økningen </w:t>
      </w:r>
      <w:r w:rsidR="00EE4D4C">
        <w:t>i tid brukt på betalt arbeid</w:t>
      </w:r>
      <w:r w:rsidRPr="00535914">
        <w:t>.</w:t>
      </w:r>
      <w:r w:rsidR="006670DE">
        <w:t xml:space="preserve"> </w:t>
      </w:r>
      <w:r w:rsidR="00115C9A">
        <w:t xml:space="preserve">Forskningslitteraturen </w:t>
      </w:r>
      <w:r w:rsidR="00046881">
        <w:t xml:space="preserve">tilsier at det </w:t>
      </w:r>
      <w:r w:rsidR="00046881" w:rsidRPr="00046881">
        <w:t xml:space="preserve">å jobbe mye og det å jobbe i semesteret er assosiert med dårligere </w:t>
      </w:r>
      <w:r w:rsidR="000E2A8D" w:rsidRPr="00046881">
        <w:t>utdannings</w:t>
      </w:r>
      <w:r w:rsidR="000E2A8D">
        <w:t>resultater</w:t>
      </w:r>
      <w:r w:rsidR="00046881">
        <w:t xml:space="preserve">. </w:t>
      </w:r>
      <w:r w:rsidR="004E7CCF">
        <w:t>Det er</w:t>
      </w:r>
      <w:r w:rsidR="0041462E">
        <w:t xml:space="preserve"> </w:t>
      </w:r>
      <w:r w:rsidR="00736CBD">
        <w:t>imidlertid</w:t>
      </w:r>
      <w:r w:rsidR="004E7CCF">
        <w:t xml:space="preserve"> vanskelig å </w:t>
      </w:r>
      <w:r w:rsidR="00B91FAA">
        <w:t xml:space="preserve">avgjøre om </w:t>
      </w:r>
      <w:r w:rsidR="00D27136">
        <w:t xml:space="preserve">det </w:t>
      </w:r>
      <w:r w:rsidR="000F5FFF">
        <w:t xml:space="preserve">kun </w:t>
      </w:r>
      <w:r w:rsidR="00D27136">
        <w:t>er korrelasjon eller</w:t>
      </w:r>
      <w:r w:rsidR="000F5FFF">
        <w:t xml:space="preserve"> også </w:t>
      </w:r>
      <w:r w:rsidR="00A61580">
        <w:t>en</w:t>
      </w:r>
      <w:r w:rsidR="00D27136">
        <w:t xml:space="preserve"> </w:t>
      </w:r>
      <w:r w:rsidR="00F40350">
        <w:t>årsakssammenheng</w:t>
      </w:r>
      <w:r w:rsidR="005326AF">
        <w:t xml:space="preserve"> </w:t>
      </w:r>
      <w:r w:rsidR="00F40350">
        <w:t xml:space="preserve">mellom </w:t>
      </w:r>
      <w:r w:rsidR="005A1D68">
        <w:t xml:space="preserve">arbeid ved siden av studiene og </w:t>
      </w:r>
      <w:r w:rsidR="000E2A8D">
        <w:t>utdanningsresultater</w:t>
      </w:r>
      <w:r w:rsidR="005F0A70">
        <w:t>.</w:t>
      </w:r>
      <w:r w:rsidR="000161C4">
        <w:rPr>
          <w:rStyle w:val="Fotnotereferanse"/>
        </w:rPr>
        <w:footnoteReference w:id="5"/>
      </w:r>
      <w:r w:rsidR="004E7CCF">
        <w:t xml:space="preserve"> </w:t>
      </w:r>
    </w:p>
    <w:p w14:paraId="64513459" w14:textId="1F8890AC" w:rsidR="001C2089" w:rsidRPr="00535914" w:rsidRDefault="001C2089" w:rsidP="001C2089">
      <w:r w:rsidRPr="00535914">
        <w:t>Bak de overordnede tallene er det betydelige forskjeller mellom institusjonene, se</w:t>
      </w:r>
      <w:r w:rsidR="00B65F70">
        <w:t xml:space="preserve"> </w:t>
      </w:r>
      <w:r w:rsidR="00567093">
        <w:fldChar w:fldCharType="begin"/>
      </w:r>
      <w:r w:rsidR="00567093">
        <w:instrText xml:space="preserve"> REF  _Ref132292164 \* Lower \h </w:instrText>
      </w:r>
      <w:r w:rsidR="00567093">
        <w:fldChar w:fldCharType="separate"/>
      </w:r>
      <w:r w:rsidR="00F262EF">
        <w:t xml:space="preserve">figur </w:t>
      </w:r>
      <w:r w:rsidR="00F262EF">
        <w:rPr>
          <w:noProof/>
        </w:rPr>
        <w:t>2</w:t>
      </w:r>
      <w:r w:rsidR="00F262EF">
        <w:t>.</w:t>
      </w:r>
      <w:r w:rsidR="00F262EF">
        <w:rPr>
          <w:noProof/>
        </w:rPr>
        <w:t>11</w:t>
      </w:r>
      <w:r w:rsidR="00567093">
        <w:fldChar w:fldCharType="end"/>
      </w:r>
      <w:r w:rsidR="002035FD">
        <w:t>.</w:t>
      </w:r>
      <w:r w:rsidRPr="00535914">
        <w:t xml:space="preserve"> Dette handler trolig mer om forskjeller mellom utdanningstypene som tilbys på institusjonene, enn at egenskaper ved institusjonene i seg selv påvirker tidsbruken. Spesialiserte</w:t>
      </w:r>
      <w:r w:rsidR="002037A9">
        <w:t xml:space="preserve"> og gjerne mindre</w:t>
      </w:r>
      <w:r w:rsidRPr="00535914">
        <w:t xml:space="preserve"> institusjoner vil ofte</w:t>
      </w:r>
      <w:r w:rsidR="00D5459F">
        <w:t xml:space="preserve"> </w:t>
      </w:r>
      <w:r w:rsidRPr="00535914">
        <w:t xml:space="preserve">få </w:t>
      </w:r>
      <w:r w:rsidR="00D5459F">
        <w:t>både</w:t>
      </w:r>
      <w:r w:rsidRPr="00535914">
        <w:t xml:space="preserve"> de laveste og høyeste tallene. Figuren er kategorisert etter universiteter, vitenskapelige høyskoler og høyskoler. Som i årene før er tidsbruken størst på institusjoner med tyngde på kunst- eller arkitektutdanning. Blant institusjoner med mer enn 20 respondenter, brukte studentene ved BAS mest tid med noe over 50 timer i uka, og på </w:t>
      </w:r>
      <w:proofErr w:type="spellStart"/>
      <w:r w:rsidRPr="00535914">
        <w:t>KHiO</w:t>
      </w:r>
      <w:proofErr w:type="spellEnd"/>
      <w:r w:rsidRPr="00535914">
        <w:t xml:space="preserve"> og AHO rundt 45 timer. De fleste universitetene ligger relativt samlet rundt gjennomsnittet, men </w:t>
      </w:r>
      <w:proofErr w:type="spellStart"/>
      <w:r w:rsidRPr="00535914">
        <w:t>NMBU</w:t>
      </w:r>
      <w:proofErr w:type="spellEnd"/>
      <w:r w:rsidRPr="00535914">
        <w:t xml:space="preserve"> ligger godt over med 37 timer. Blant de vitenskapelige høyskolene er variasjonen i tidsbruk større, fra den store tidsbruken på kunsthøyskolene til under 30 timer på MF. Blant høyskolene </w:t>
      </w:r>
      <w:r w:rsidR="00721CFF">
        <w:t>som ikke</w:t>
      </w:r>
      <w:r w:rsidRPr="00535914">
        <w:t xml:space="preserve"> er </w:t>
      </w:r>
      <w:r w:rsidR="00721CFF">
        <w:t xml:space="preserve">nevnt ovenfor, </w:t>
      </w:r>
      <w:r w:rsidRPr="00535914">
        <w:t xml:space="preserve">er tidsbruken størst på </w:t>
      </w:r>
      <w:proofErr w:type="spellStart"/>
      <w:r w:rsidRPr="00535914">
        <w:t>LDH</w:t>
      </w:r>
      <w:proofErr w:type="spellEnd"/>
      <w:r w:rsidRPr="00535914">
        <w:t xml:space="preserve"> med 40 timer og P</w:t>
      </w:r>
      <w:r w:rsidR="00294873">
        <w:t>HS</w:t>
      </w:r>
      <w:r w:rsidRPr="00535914">
        <w:t xml:space="preserve"> med 38 timer. Blant institusjonene Tilstandsrapporten omfatter, er tidsbruken lavest ved RS og NLA med henholdsvis 28 og 25 timer.</w:t>
      </w:r>
    </w:p>
    <w:p w14:paraId="2A8A68B9" w14:textId="35B890DD" w:rsidR="00053879" w:rsidRDefault="003F5FE8">
      <w:r>
        <w:t xml:space="preserve">Når vi ser på </w:t>
      </w:r>
      <w:r w:rsidR="001C2089" w:rsidRPr="00535914">
        <w:t>utdanningstyper</w:t>
      </w:r>
      <w:r w:rsidR="00A211C4">
        <w:t>,</w:t>
      </w:r>
      <w:r w:rsidR="001C2089" w:rsidRPr="00535914">
        <w:t xml:space="preserve"> </w:t>
      </w:r>
      <w:r>
        <w:t>finner vi at</w:t>
      </w:r>
      <w:r w:rsidR="001C2089" w:rsidRPr="00535914" w:rsidDel="0010469E">
        <w:t xml:space="preserve"> </w:t>
      </w:r>
      <w:r w:rsidR="001C2089" w:rsidRPr="00535914">
        <w:t>tannlegestudentene mest tid på studiene i 202</w:t>
      </w:r>
      <w:r w:rsidR="00C36B34">
        <w:t>2</w:t>
      </w:r>
      <w:r w:rsidR="001C2089" w:rsidRPr="00535914">
        <w:t xml:space="preserve">, med 50 timer. På medisin, arkitektur og farmasi er tilsvarende tall rundt 42. I den andre enden av skalaen finner vi språk og arkeologi med noe under 25 timer per uke. Det er lite variasjon over tid, både for disse utdanningstypene og for andre utdanningstyper. Se </w:t>
      </w:r>
      <w:proofErr w:type="spellStart"/>
      <w:r w:rsidR="001C2089" w:rsidRPr="00535914">
        <w:t>vedleggstabell</w:t>
      </w:r>
      <w:proofErr w:type="spellEnd"/>
      <w:r w:rsidR="001C2089" w:rsidRPr="00535914">
        <w:t xml:space="preserve"> </w:t>
      </w:r>
      <w:hyperlink r:id="rId49" w:history="1">
        <w:r w:rsidR="00E35D16" w:rsidRPr="00265B35">
          <w:rPr>
            <w:rStyle w:val="Hyperkobling"/>
          </w:rPr>
          <w:t>V2.</w:t>
        </w:r>
        <w:r w:rsidR="00422752" w:rsidRPr="00265B35">
          <w:rPr>
            <w:rStyle w:val="Hyperkobling"/>
          </w:rPr>
          <w:t>39</w:t>
        </w:r>
      </w:hyperlink>
      <w:r w:rsidR="001C2089" w:rsidRPr="00535914">
        <w:t xml:space="preserve"> for tidsserie per utdanningstype.</w:t>
      </w:r>
      <w:r w:rsidR="008B62AB">
        <w:t xml:space="preserve"> Mer om resultatene </w:t>
      </w:r>
      <w:r w:rsidR="00441D5F">
        <w:t xml:space="preserve">kan leses i </w:t>
      </w:r>
      <w:proofErr w:type="spellStart"/>
      <w:r w:rsidR="00441D5F">
        <w:t>NOKUTs</w:t>
      </w:r>
      <w:proofErr w:type="spellEnd"/>
      <w:r w:rsidR="00441D5F">
        <w:t xml:space="preserve"> rapport fra Studieba</w:t>
      </w:r>
      <w:r w:rsidR="008920E7">
        <w:t xml:space="preserve">rometeret 2022 </w:t>
      </w:r>
      <w:r w:rsidR="00763C82">
        <w:fldChar w:fldCharType="begin"/>
      </w:r>
      <w:r w:rsidR="006C5A72">
        <w:instrText xml:space="preserve"> ADDIN EN.CITE &lt;EndNote&gt;&lt;Cite&gt;&lt;Author&gt;NOKUT&lt;/Author&gt;&lt;Year&gt;2023&lt;/Year&gt;&lt;RecNum&gt;1869&lt;/RecNum&gt;&lt;DisplayText&gt;(NOKUT, 2023)&lt;/DisplayText&gt;&lt;record&gt;&lt;rec-number&gt;1869&lt;/rec-number&gt;&lt;foreign-keys&gt;&lt;key app="EN" db-id="s09wp0wxtwz9aue509w52eagvset90vxefrw" timestamp="1683288610" guid="b0dfa84f-6b0a-4e80-8c5a-fcd1146cbebe"&gt;1869&lt;/key&gt;&lt;/foreign-keys&gt;&lt;ref-type name="Report"&gt;27&lt;/ref-type&gt;&lt;contributors&gt;&lt;authors&gt;&lt;author&gt;NOKUT&lt;/author&gt;&lt;/authors&gt;&lt;tertiary-authors&gt;&lt;author&gt;NOKUT&lt;/author&gt;&lt;/tertiary-authors&gt;&lt;/contributors&gt;&lt;titles&gt;&lt;title&gt;Studiebarometeret 2022 – Hovedtendenser&lt;/title&gt;&lt;/titles&gt;&lt;dates&gt;&lt;year&gt;2023&lt;/year&gt;&lt;/dates&gt;&lt;publisher&gt;NOKUT&lt;/publisher&gt;&lt;isbn&gt;2/2023&lt;/isbn&gt;&lt;urls&gt;&lt;related-urls&gt;&lt;url&gt;https://www.nokut.no/globalassets/studiebarometeret/2023/hoyere-utdanning/studiebarometeret-2022_hovedtendenser_2-2023.pdf&lt;/url&gt;&lt;/related-urls&gt;&lt;/urls&gt;&lt;/record&gt;&lt;/Cite&gt;&lt;/EndNote&gt;</w:instrText>
      </w:r>
      <w:r w:rsidR="00763C82">
        <w:fldChar w:fldCharType="separate"/>
      </w:r>
      <w:r w:rsidR="00763C82">
        <w:rPr>
          <w:noProof/>
        </w:rPr>
        <w:t>(NOKUT, 2023)</w:t>
      </w:r>
      <w:r w:rsidR="00763C82">
        <w:fldChar w:fldCharType="end"/>
      </w:r>
      <w:r w:rsidR="00763C82">
        <w:t>.</w:t>
      </w:r>
      <w:r w:rsidR="00053879">
        <w:br w:type="page"/>
      </w:r>
    </w:p>
    <w:p w14:paraId="042819D5" w14:textId="42EA2114" w:rsidR="0052645E" w:rsidRDefault="0052645E" w:rsidP="0052645E">
      <w:pPr>
        <w:pStyle w:val="Bildetekst"/>
        <w:keepNext/>
      </w:pPr>
      <w:bookmarkStart w:id="68" w:name="_Ref132292164"/>
      <w:bookmarkStart w:id="69" w:name="_Toc134792772"/>
      <w:r>
        <w:lastRenderedPageBreak/>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11</w:t>
      </w:r>
      <w:r>
        <w:fldChar w:fldCharType="end"/>
      </w:r>
      <w:bookmarkEnd w:id="68"/>
      <w:r>
        <w:t xml:space="preserve"> </w:t>
      </w:r>
      <w:r w:rsidRPr="00C442F8">
        <w:t xml:space="preserve">Faglig tidsbruk i timer per uke, heltidsprogrammer, per institusjon, </w:t>
      </w:r>
      <w:proofErr w:type="spellStart"/>
      <w:proofErr w:type="gramStart"/>
      <w:r w:rsidRPr="00C442F8">
        <w:t>gj.snitt</w:t>
      </w:r>
      <w:proofErr w:type="spellEnd"/>
      <w:proofErr w:type="gramEnd"/>
      <w:r w:rsidRPr="00C442F8">
        <w:t xml:space="preserve"> 202</w:t>
      </w:r>
      <w:r>
        <w:t>2</w:t>
      </w:r>
      <w:bookmarkEnd w:id="69"/>
    </w:p>
    <w:p w14:paraId="0D2E2E96" w14:textId="77777777" w:rsidR="00520B45" w:rsidRDefault="00AA34B8">
      <w:r>
        <w:rPr>
          <w:noProof/>
        </w:rPr>
        <w:drawing>
          <wp:inline distT="0" distB="0" distL="0" distR="0" wp14:anchorId="704DFBB6" wp14:editId="23616B6D">
            <wp:extent cx="5184140" cy="6414770"/>
            <wp:effectExtent l="0" t="0" r="16510" b="5080"/>
            <wp:docPr id="34" name="Diagram 34">
              <a:extLst xmlns:a="http://schemas.openxmlformats.org/drawingml/2006/main">
                <a:ext uri="{FF2B5EF4-FFF2-40B4-BE49-F238E27FC236}">
                  <a16:creationId xmlns:a16="http://schemas.microsoft.com/office/drawing/2014/main" id="{407A5526-AA58-4E47-BBEF-B1AC30965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0D0455" w14:textId="77777777" w:rsidR="00344B0A" w:rsidRDefault="00823F78" w:rsidP="00344B0A">
      <w:pPr>
        <w:pStyle w:val="Merknad"/>
      </w:pPr>
      <w:r>
        <w:t xml:space="preserve">Figuren viser gjennomsnittlig faglig tidsbruk i antall timer per uke. Bare institusjoner med </w:t>
      </w:r>
      <w:r w:rsidR="00344B0A">
        <w:t>et tilstrekkelig høyt antall svar i Studiebarometeret 2022 er inkludert.</w:t>
      </w:r>
    </w:p>
    <w:p w14:paraId="519EC5E7" w14:textId="2865ECAD" w:rsidR="006C1236" w:rsidRPr="00805407" w:rsidRDefault="00344B0A" w:rsidP="00344B0A">
      <w:pPr>
        <w:pStyle w:val="Kilde"/>
      </w:pPr>
      <w:r>
        <w:t xml:space="preserve">Kilde: </w:t>
      </w:r>
      <w:proofErr w:type="spellStart"/>
      <w:r>
        <w:t>NOKUT</w:t>
      </w:r>
      <w:proofErr w:type="spellEnd"/>
      <w:r>
        <w:t>, Studiebarometeret</w:t>
      </w:r>
      <w:r w:rsidR="006C1236">
        <w:br w:type="page"/>
      </w:r>
    </w:p>
    <w:p w14:paraId="1B0996D3" w14:textId="77777777" w:rsidR="00AE3BDA" w:rsidRDefault="00AE3BDA" w:rsidP="00AE4B98">
      <w:pPr>
        <w:pStyle w:val="Overskrift3"/>
      </w:pPr>
      <w:bookmarkStart w:id="70" w:name="_Toc134792727"/>
      <w:bookmarkStart w:id="71" w:name="_Ref132269656"/>
      <w:r w:rsidRPr="001A0C64">
        <w:lastRenderedPageBreak/>
        <w:t xml:space="preserve">Studenttilfredshet </w:t>
      </w:r>
      <w:r>
        <w:t xml:space="preserve">- </w:t>
      </w:r>
      <w:r w:rsidRPr="001A0C64">
        <w:t>nasjonal styringsparameter</w:t>
      </w:r>
      <w:bookmarkEnd w:id="70"/>
    </w:p>
    <w:p w14:paraId="59EBEC86" w14:textId="250AE146" w:rsidR="00AE3BDA" w:rsidRPr="00535914" w:rsidRDefault="00AE3BDA" w:rsidP="00AE3BDA">
      <w:r w:rsidRPr="00535914">
        <w:t>Denne indikatoren sier noe om hvordan studentene oppfatter kvaliteten på studiene (</w:t>
      </w:r>
      <w:proofErr w:type="spellStart"/>
      <w:r w:rsidRPr="00535914">
        <w:t>NOKUT</w:t>
      </w:r>
      <w:proofErr w:type="spellEnd"/>
      <w:r w:rsidRPr="00535914">
        <w:t>, 2023). Påstanden i Studiebarometeret som indikatoren er basert på, er formulert åpent og generelt: «Jeg er, alt i alt, tilfreds med studieprogrammet jeg går på», og besvares på en skala fra én til fem, med ytterpunktene «1 – Ikke enig til «5 – Helt enig». Studentene bestemmer selv hva som er viktigst for dem når de vurderer overordnet tilfredshet. Det er sannsynlig at svarene også påvirkes av</w:t>
      </w:r>
      <w:r w:rsidR="00DB21CF">
        <w:t xml:space="preserve"> andre forhold e</w:t>
      </w:r>
      <w:r w:rsidR="00652B4F">
        <w:t>n</w:t>
      </w:r>
      <w:r w:rsidR="00DB21CF">
        <w:t>n bare det faglige.</w:t>
      </w:r>
      <w:r w:rsidRPr="00535914">
        <w:t xml:space="preserve"> Det kan også være en tendens til å besvare generelle spørsmål mer positivt enn spesifikke spørsmål, og dette spørsmålet er langt mer generelt enn de andre i spørreundersøkelsen. Alle disse faktorene kan være med å forklare at dette spørsmålet jevnt over får høyere skår enn de fleste andre i Studiebarometeret. </w:t>
      </w:r>
    </w:p>
    <w:p w14:paraId="4ADDC2A5" w14:textId="77777777" w:rsidR="00AE3BDA" w:rsidRPr="00535914" w:rsidRDefault="00AE3BDA" w:rsidP="00AE3BDA">
      <w:r w:rsidRPr="00535914">
        <w:t>Mellom 2013 og 2019 lå det nasjonale gjennomsnittet på 4,1. I 2020 og 2021 var gjennomsnittet 4,0. Den lille nedgangen skyldtes kanskje pandemien og smitteverntiltakene. I 2022 fortsatte imidlertid nedgangen, tilsvarende tall er nå 3,8. Nedgangen til tross, er de aller fleste studentene godt fornøyde med studieprogrammet sitt. Rundt 70 prosent valgte de to mest positive svaralternativene i 2022, mens 11 prosent valgte de to mest negative. Tilsvarende tall for de foregående årene har vært om lag 75 prosent positive og om lag 9 prosent negative svar. Samtidig valgte en noe større andel enn før midtkategorien.</w:t>
      </w:r>
    </w:p>
    <w:p w14:paraId="38811859" w14:textId="77777777" w:rsidR="00AE3BDA" w:rsidRDefault="00AE3BDA" w:rsidP="00AE3BDA">
      <w:r>
        <w:t xml:space="preserve">Nedgangen i gjennomsnittstallet fra 2021 til 2022 kan i stor grad tilskrives at andelen som er helt enig i påstanden (verdi 5), har gått markant ned. Tidligere har denne andelen vært stabil på omkring 40 prosent, i 2022 var den på rett under 30 prosent. Samtidig har andelen som svarer verdien 4 økt. Så bak nedgangen i gjennomsnittstallet, ligger det i mye større grad en endring i bruk av de to mest «positive» svarkategoriene, enn en endring i andelen som velger de mest «negative» svarkategoriene. </w:t>
      </w:r>
    </w:p>
    <w:p w14:paraId="4B8FD118" w14:textId="23929B6C" w:rsidR="00AE3BDA" w:rsidRPr="00535914" w:rsidRDefault="000308E2" w:rsidP="00AE3BDA">
      <w:r>
        <w:fldChar w:fldCharType="begin"/>
      </w:r>
      <w:r>
        <w:instrText xml:space="preserve"> REF _Ref134188388 \h </w:instrText>
      </w:r>
      <w:r>
        <w:fldChar w:fldCharType="separate"/>
      </w:r>
      <w:r w:rsidR="00F262EF">
        <w:t xml:space="preserve">Figur </w:t>
      </w:r>
      <w:r w:rsidR="00F262EF">
        <w:rPr>
          <w:noProof/>
        </w:rPr>
        <w:t>2</w:t>
      </w:r>
      <w:r w:rsidR="00F262EF">
        <w:t>.</w:t>
      </w:r>
      <w:r w:rsidR="00F262EF">
        <w:rPr>
          <w:noProof/>
        </w:rPr>
        <w:t>12</w:t>
      </w:r>
      <w:r>
        <w:fldChar w:fldCharType="end"/>
      </w:r>
      <w:r w:rsidR="00AE3BDA" w:rsidRPr="00535914">
        <w:t xml:space="preserve"> viser at studentene jevnt over er tilfreds med studiekvaliteten. På flere av de små, spesialiserte institusjonene er studentene svært tilfreds. På noen av disse institusjonene er antallet studenter, og dermed antall respondenter i Studiebarometeret, lavt. Blant institusjonene med flere enn 20 respondenter er det høyest overordnet tilfredshet blant studentene på BAS, med 4,8 i gjennomsnitt. Deretter følger </w:t>
      </w:r>
      <w:proofErr w:type="spellStart"/>
      <w:r w:rsidR="00AE3BDA" w:rsidRPr="00535914">
        <w:t>HLT</w:t>
      </w:r>
      <w:proofErr w:type="spellEnd"/>
      <w:r w:rsidR="00AE3BDA" w:rsidRPr="00535914">
        <w:t xml:space="preserve"> og AHO, med henholdsvis 4,4 og 4,3. De største institusjonene ligger svært nært det nasjonale snittet på 3,8. Blant universitetene ligger </w:t>
      </w:r>
      <w:proofErr w:type="spellStart"/>
      <w:r w:rsidR="00AE3BDA" w:rsidRPr="00535914">
        <w:t>NMBU</w:t>
      </w:r>
      <w:proofErr w:type="spellEnd"/>
      <w:r w:rsidR="00AE3BDA" w:rsidRPr="00535914">
        <w:t xml:space="preserve"> høyest med 4,2. De fleste universitetene og høyskolene ligger stabilt på denne indikatoren over tid. Se </w:t>
      </w:r>
      <w:proofErr w:type="spellStart"/>
      <w:r w:rsidR="00AE3BDA" w:rsidRPr="00535914">
        <w:t>vedleggstabell</w:t>
      </w:r>
      <w:proofErr w:type="spellEnd"/>
      <w:r w:rsidR="00AE3BDA" w:rsidRPr="00535914">
        <w:t xml:space="preserve"> </w:t>
      </w:r>
      <w:hyperlink r:id="rId51" w:history="1">
        <w:r w:rsidR="00AE3BDA" w:rsidRPr="005E5B2A">
          <w:rPr>
            <w:rStyle w:val="Hyperkobling"/>
          </w:rPr>
          <w:t>V2.38</w:t>
        </w:r>
      </w:hyperlink>
      <w:r w:rsidR="00AE3BDA" w:rsidRPr="00535914">
        <w:t xml:space="preserve"> for tidsserie per institusjon.</w:t>
      </w:r>
    </w:p>
    <w:p w14:paraId="6755597D" w14:textId="13294654" w:rsidR="00AE3BDA" w:rsidRPr="00535914" w:rsidRDefault="00AE3BDA" w:rsidP="00AE3BDA">
      <w:r w:rsidRPr="00535914">
        <w:t xml:space="preserve">De fleste utdanningstyper har hatt en nedgang i tilfredshet fra 2021 til 2022. Se </w:t>
      </w:r>
      <w:proofErr w:type="spellStart"/>
      <w:r w:rsidRPr="00535914">
        <w:t>vedleggstabell</w:t>
      </w:r>
      <w:proofErr w:type="spellEnd"/>
      <w:r w:rsidRPr="00535914">
        <w:t xml:space="preserve"> </w:t>
      </w:r>
      <w:hyperlink r:id="rId52" w:history="1">
        <w:r w:rsidRPr="005E5B2A">
          <w:rPr>
            <w:rStyle w:val="Hyperkobling"/>
          </w:rPr>
          <w:t>V2.39</w:t>
        </w:r>
      </w:hyperlink>
      <w:r w:rsidRPr="00535914">
        <w:t xml:space="preserve"> for tidsserie per utdanningstype. Studenter på fysikk, arkeologi og geologi de mest fornøyde, med 4,3 i gjennomsnitt. Disse utdanningstypene har vært blant de med mest tilfredse studenter over tid. Grunnskolelærer- og lektorstudenter er de minst fornøyde, med henholdsvis 3,4 og 3,5 i gjennomsnitt. Disse to utdanningstypene har vært blant de med lavest </w:t>
      </w:r>
      <w:r>
        <w:t>skår</w:t>
      </w:r>
      <w:r w:rsidR="00DC5296">
        <w:t xml:space="preserve"> </w:t>
      </w:r>
      <w:r w:rsidRPr="00535914">
        <w:t xml:space="preserve">helt siden 2014. Utdanningstypen med mest markant nedgang de siste årene er sykepleie. Her har studentene </w:t>
      </w:r>
      <w:r>
        <w:t>blitt</w:t>
      </w:r>
      <w:r w:rsidRPr="00535914">
        <w:t xml:space="preserve"> gradvis mindre tilfredse de siste årene, fra 4,0 i 2016–2019, til 3,6 2021 og 2022</w:t>
      </w:r>
      <w:r>
        <w:t>.</w:t>
      </w:r>
      <w:r w:rsidRPr="00535914">
        <w:t xml:space="preserve"> </w:t>
      </w:r>
      <w:r w:rsidR="00180453">
        <w:t xml:space="preserve">Ekstra belastning gjennom praksis </w:t>
      </w:r>
      <w:r w:rsidR="002C5E68">
        <w:t>i pandemien kan være med å forklare nedgangen i tilfredshet.</w:t>
      </w:r>
    </w:p>
    <w:p w14:paraId="5056ED19" w14:textId="47CB408E" w:rsidR="00AE3BDA" w:rsidRDefault="00AE3BDA" w:rsidP="00AE3BDA">
      <w:proofErr w:type="spellStart"/>
      <w:r w:rsidRPr="00535914">
        <w:t>NOKUT</w:t>
      </w:r>
      <w:proofErr w:type="spellEnd"/>
      <w:r w:rsidRPr="00535914">
        <w:t xml:space="preserve"> har analysert hva som påvirker studentenes svar på spørsmålet om overordnet tilfredshet. Analysen tilsier at godt organiserte studieprogram der studentene opplever at undervisningen er god, gir høy tilfredshet. I tillegg er </w:t>
      </w:r>
      <w:r w:rsidR="008B2429">
        <w:t>studentenes motivasjon en viktig faktor.</w:t>
      </w:r>
      <w:r>
        <w:br w:type="page"/>
      </w:r>
    </w:p>
    <w:p w14:paraId="31D2A602" w14:textId="472FC4EB" w:rsidR="00AE3BDA" w:rsidRDefault="00AE3BDA" w:rsidP="00AE3BDA">
      <w:pPr>
        <w:pStyle w:val="Bildetekst"/>
        <w:keepNext/>
      </w:pPr>
      <w:bookmarkStart w:id="72" w:name="_Ref134188388"/>
      <w:bookmarkStart w:id="73" w:name="_Toc134792773"/>
      <w:r>
        <w:lastRenderedPageBreak/>
        <w:t xml:space="preserve">Figur </w:t>
      </w:r>
      <w:r>
        <w:fldChar w:fldCharType="begin"/>
      </w:r>
      <w:r>
        <w:instrText>STYLEREF 1 \s</w:instrText>
      </w:r>
      <w:r>
        <w:fldChar w:fldCharType="separate"/>
      </w:r>
      <w:r w:rsidR="00F262EF">
        <w:rPr>
          <w:noProof/>
        </w:rPr>
        <w:t>2</w:t>
      </w:r>
      <w:r>
        <w:fldChar w:fldCharType="end"/>
      </w:r>
      <w:r>
        <w:t>.</w:t>
      </w:r>
      <w:r>
        <w:fldChar w:fldCharType="begin"/>
      </w:r>
      <w:r>
        <w:instrText>SEQ Figur \* ARABIC \s 1</w:instrText>
      </w:r>
      <w:r>
        <w:fldChar w:fldCharType="separate"/>
      </w:r>
      <w:r w:rsidR="00F262EF">
        <w:rPr>
          <w:noProof/>
        </w:rPr>
        <w:t>12</w:t>
      </w:r>
      <w:r>
        <w:fldChar w:fldCharType="end"/>
      </w:r>
      <w:bookmarkEnd w:id="72"/>
      <w:r>
        <w:t xml:space="preserve"> </w:t>
      </w:r>
      <w:r w:rsidRPr="004C6F0F">
        <w:t xml:space="preserve">Studentenes tilfredshet med studiekvaliteten, per institusjon. </w:t>
      </w:r>
      <w:proofErr w:type="spellStart"/>
      <w:proofErr w:type="gramStart"/>
      <w:r w:rsidRPr="004C6F0F">
        <w:t>Gj.snitt</w:t>
      </w:r>
      <w:proofErr w:type="spellEnd"/>
      <w:proofErr w:type="gramEnd"/>
      <w:r w:rsidRPr="004C6F0F">
        <w:t xml:space="preserve"> 202</w:t>
      </w:r>
      <w:r>
        <w:t>2</w:t>
      </w:r>
      <w:bookmarkEnd w:id="73"/>
    </w:p>
    <w:p w14:paraId="793770F7" w14:textId="77777777" w:rsidR="00AE3BDA" w:rsidRDefault="00AE3BDA" w:rsidP="00AE3BDA">
      <w:r>
        <w:rPr>
          <w:noProof/>
        </w:rPr>
        <w:drawing>
          <wp:inline distT="0" distB="0" distL="0" distR="0" wp14:anchorId="67D195CD" wp14:editId="6E6CD5A0">
            <wp:extent cx="5184140" cy="6414770"/>
            <wp:effectExtent l="0" t="0" r="16510" b="5080"/>
            <wp:docPr id="37" name="Diagram 37">
              <a:extLst xmlns:a="http://schemas.openxmlformats.org/drawingml/2006/main">
                <a:ext uri="{FF2B5EF4-FFF2-40B4-BE49-F238E27FC236}">
                  <a16:creationId xmlns:a16="http://schemas.microsoft.com/office/drawing/2014/main" id="{7A0E1EE7-B6CC-47E6-A17B-0EED47EDC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F5B68E" w14:textId="77777777" w:rsidR="00AE3BDA" w:rsidRDefault="00AE3BDA" w:rsidP="00AE3BDA">
      <w:pPr>
        <w:pStyle w:val="Merknad"/>
      </w:pPr>
      <w:r>
        <w:t>Dataene er basert på spørsmål i studiebarometeret 2022: Skalaen går fra én til fem, der fem er mest fornøyd. Bare institusjoner med et tilstrekkelig høyt antall svar i Studiebarometeret 2022 er inkludert.</w:t>
      </w:r>
    </w:p>
    <w:p w14:paraId="1369451F" w14:textId="77777777" w:rsidR="00AE3BDA" w:rsidRDefault="00AE3BDA" w:rsidP="00AE3BDA">
      <w:pPr>
        <w:pStyle w:val="Kilde"/>
        <w:rPr>
          <w:rFonts w:asciiTheme="majorHAnsi" w:eastAsiaTheme="majorEastAsia" w:hAnsiTheme="majorHAnsi" w:cstheme="majorBidi"/>
          <w:b w:val="0"/>
          <w:color w:val="362683"/>
          <w:sz w:val="24"/>
          <w:szCs w:val="26"/>
        </w:rPr>
      </w:pPr>
      <w:r>
        <w:t xml:space="preserve">Kilde: </w:t>
      </w:r>
      <w:proofErr w:type="spellStart"/>
      <w:r>
        <w:t>NOKUT</w:t>
      </w:r>
      <w:proofErr w:type="spellEnd"/>
      <w:r>
        <w:t>, Studiebarometeret</w:t>
      </w:r>
    </w:p>
    <w:p w14:paraId="488D8071" w14:textId="77777777" w:rsidR="00AE3BDA" w:rsidRDefault="00AE3BDA" w:rsidP="00AE3BDA">
      <w:pPr>
        <w:pStyle w:val="Merknad"/>
      </w:pPr>
    </w:p>
    <w:p w14:paraId="77854225" w14:textId="77777777" w:rsidR="00AE3BDA" w:rsidRPr="00537BEF" w:rsidRDefault="00AE3BDA" w:rsidP="00AE3BDA"/>
    <w:p w14:paraId="4E477024" w14:textId="77777777" w:rsidR="00AE3BDA" w:rsidRPr="00A82F1A" w:rsidRDefault="00AE3BDA" w:rsidP="00AE3BDA">
      <w:pPr>
        <w:rPr>
          <w:rFonts w:asciiTheme="majorHAnsi" w:eastAsiaTheme="majorEastAsia" w:hAnsiTheme="majorHAnsi" w:cstheme="majorBidi"/>
          <w:b/>
          <w:color w:val="362683"/>
          <w:sz w:val="24"/>
          <w:szCs w:val="26"/>
        </w:rPr>
      </w:pPr>
      <w:r w:rsidRPr="00A82F1A">
        <w:br w:type="page"/>
      </w:r>
    </w:p>
    <w:bookmarkStart w:id="74" w:name="_Toc134792818"/>
    <w:p w14:paraId="25A5E1BB" w14:textId="6E6080F9" w:rsidR="00AE3BDA" w:rsidRPr="00E20132" w:rsidRDefault="00AE3BDA" w:rsidP="00AE3BDA">
      <w:pPr>
        <w:pStyle w:val="Bildetekst"/>
        <w:rPr>
          <w:lang w:val="nn-NO"/>
        </w:rPr>
      </w:pPr>
      <w:r w:rsidRPr="00467A6B">
        <w:rPr>
          <w:noProof/>
        </w:rPr>
        <w:lastRenderedPageBreak/>
        <mc:AlternateContent>
          <mc:Choice Requires="wps">
            <w:drawing>
              <wp:anchor distT="45720" distB="45720" distL="114300" distR="114300" simplePos="0" relativeHeight="251658246" behindDoc="0" locked="0" layoutInCell="1" allowOverlap="1" wp14:anchorId="604C5A80" wp14:editId="5F2C7551">
                <wp:simplePos x="0" y="0"/>
                <wp:positionH relativeFrom="margin">
                  <wp:posOffset>2540</wp:posOffset>
                </wp:positionH>
                <wp:positionV relativeFrom="paragraph">
                  <wp:posOffset>330835</wp:posOffset>
                </wp:positionV>
                <wp:extent cx="5238750" cy="7258050"/>
                <wp:effectExtent l="38100" t="38100" r="57150" b="57150"/>
                <wp:wrapSquare wrapText="bothSides"/>
                <wp:docPr id="1038656929" name="Tekstboks 1038656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258050"/>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52EE6E3A" w14:textId="7F4EEA17" w:rsidR="00AE3BDA" w:rsidRDefault="00AE3BDA" w:rsidP="00AE3BDA">
                            <w:r>
                              <w:t>Tilstandsrapporten har de seneste årene inneholdt oppslag om bruk av norsk og fremmedspråk i undervisningen og i studentenes masteroppgaver. Nærmere undersøkelser av datakvaliteten</w:t>
                            </w:r>
                            <w:r w:rsidR="003B4684">
                              <w:t xml:space="preserve"> viser at den er sva</w:t>
                            </w:r>
                            <w:r w:rsidR="00D35560">
                              <w:t>k</w:t>
                            </w:r>
                            <w:r w:rsidR="003B4684">
                              <w:t xml:space="preserve"> på begge o</w:t>
                            </w:r>
                            <w:r w:rsidR="0035549D">
                              <w:t xml:space="preserve">mråder. </w:t>
                            </w:r>
                            <w:r>
                              <w:t>For om lag 45 prosent av studieprogrammene savnes sikker informasjon om undervisningsspråk. For masteroppgavene omfatter språkinformasjonen et utvalg</w:t>
                            </w:r>
                            <w:r w:rsidR="00CD5FB8">
                              <w:t>, men vi vet ikke hvor stor andel utvalget utgjør av alle masteroppgaver. Vi vet heller ikke hvor</w:t>
                            </w:r>
                            <w:r w:rsidR="00AF0735">
                              <w:t xml:space="preserve"> </w:t>
                            </w:r>
                            <w:r w:rsidR="00097FEB">
                              <w:t xml:space="preserve">representativt utvalget er </w:t>
                            </w:r>
                            <w:r w:rsidR="006C4156">
                              <w:t xml:space="preserve">for alle masteroppgaver. </w:t>
                            </w:r>
                            <w:r>
                              <w:t xml:space="preserve">Samlet sett tilsier dette at det ikke er riktig å publisere </w:t>
                            </w:r>
                            <w:r w:rsidR="00821A7D">
                              <w:t xml:space="preserve">statistikk om språk </w:t>
                            </w:r>
                            <w:r>
                              <w:t>på linje med den mer etablerte og kvalitetssikrede statistikken i tilstandsrapporten.</w:t>
                            </w:r>
                          </w:p>
                          <w:p w14:paraId="20078F4C" w14:textId="46D5871A" w:rsidR="00AE3BDA" w:rsidRDefault="00AE3BDA" w:rsidP="00AE3BDA">
                            <w:r w:rsidRPr="00E10F94">
                              <w:rPr>
                                <w:lang w:val="nn-NO"/>
                              </w:rPr>
                              <w:t xml:space="preserve">Den nye språklova </w:t>
                            </w:r>
                            <w:hyperlink r:id="rId54" w:history="1">
                              <w:r w:rsidR="00404952" w:rsidRPr="00E10F94">
                                <w:rPr>
                                  <w:rStyle w:val="Hyperkobling"/>
                                  <w:lang w:val="nn-NO"/>
                                </w:rPr>
                                <w:t>(Lovdata, 2021)</w:t>
                              </w:r>
                            </w:hyperlink>
                            <w:r w:rsidRPr="00E10F94">
                              <w:rPr>
                                <w:lang w:val="nn-NO"/>
                              </w:rPr>
                              <w:t xml:space="preserve"> </w:t>
                            </w:r>
                            <w:proofErr w:type="spellStart"/>
                            <w:r w:rsidRPr="00E10F94">
                              <w:rPr>
                                <w:lang w:val="nn-NO"/>
                              </w:rPr>
                              <w:t>trådte</w:t>
                            </w:r>
                            <w:proofErr w:type="spellEnd"/>
                            <w:r w:rsidRPr="00E10F94">
                              <w:rPr>
                                <w:lang w:val="nn-NO"/>
                              </w:rPr>
                              <w:t xml:space="preserve"> i kraft 1. januar</w:t>
                            </w:r>
                            <w:r w:rsidR="002C5E68" w:rsidRPr="00E10F94">
                              <w:rPr>
                                <w:lang w:val="nn-NO"/>
                              </w:rPr>
                              <w:t xml:space="preserve"> </w:t>
                            </w:r>
                            <w:r w:rsidRPr="00E10F94">
                              <w:rPr>
                                <w:lang w:val="nn-NO"/>
                              </w:rPr>
                              <w:t xml:space="preserve">2022 og skal sikre bruk av norsk språk på alle områder i samfunnet. Utdanningssektoren er viktig i denne </w:t>
                            </w:r>
                            <w:proofErr w:type="spellStart"/>
                            <w:r w:rsidRPr="00E10F94">
                              <w:rPr>
                                <w:lang w:val="nn-NO"/>
                              </w:rPr>
                              <w:t>sammenhengen</w:t>
                            </w:r>
                            <w:proofErr w:type="spellEnd"/>
                            <w:r w:rsidRPr="00E10F94">
                              <w:rPr>
                                <w:lang w:val="nn-NO"/>
                              </w:rPr>
                              <w:t xml:space="preserve">. Universitets- og </w:t>
                            </w:r>
                            <w:proofErr w:type="spellStart"/>
                            <w:r w:rsidRPr="00E10F94">
                              <w:rPr>
                                <w:lang w:val="nn-NO"/>
                              </w:rPr>
                              <w:t>høyskoleloven</w:t>
                            </w:r>
                            <w:proofErr w:type="spellEnd"/>
                            <w:r w:rsidRPr="00E10F94">
                              <w:rPr>
                                <w:lang w:val="nn-NO"/>
                              </w:rPr>
                              <w:t xml:space="preserve"> § 1-7 (2009) slår fast at </w:t>
                            </w:r>
                            <w:proofErr w:type="spellStart"/>
                            <w:r w:rsidRPr="00E10F94">
                              <w:rPr>
                                <w:lang w:val="nn-NO"/>
                              </w:rPr>
                              <w:t>universitetene</w:t>
                            </w:r>
                            <w:proofErr w:type="spellEnd"/>
                            <w:r w:rsidRPr="00E10F94">
                              <w:rPr>
                                <w:lang w:val="nn-NO"/>
                              </w:rPr>
                              <w:t xml:space="preserve"> og </w:t>
                            </w:r>
                            <w:proofErr w:type="spellStart"/>
                            <w:r w:rsidRPr="00E10F94">
                              <w:rPr>
                                <w:lang w:val="nn-NO"/>
                              </w:rPr>
                              <w:t>høyskolene</w:t>
                            </w:r>
                            <w:proofErr w:type="spellEnd"/>
                            <w:r w:rsidRPr="00E10F94">
                              <w:rPr>
                                <w:lang w:val="nn-NO"/>
                              </w:rPr>
                              <w:t xml:space="preserve"> har ansvar for å </w:t>
                            </w:r>
                            <w:proofErr w:type="spellStart"/>
                            <w:r w:rsidRPr="00E10F94">
                              <w:rPr>
                                <w:lang w:val="nn-NO"/>
                              </w:rPr>
                              <w:t>vedlikeholde</w:t>
                            </w:r>
                            <w:proofErr w:type="spellEnd"/>
                            <w:r w:rsidRPr="00E10F94">
                              <w:rPr>
                                <w:lang w:val="nn-NO"/>
                              </w:rPr>
                              <w:t xml:space="preserve"> og </w:t>
                            </w:r>
                            <w:proofErr w:type="spellStart"/>
                            <w:r w:rsidRPr="00E10F94">
                              <w:rPr>
                                <w:lang w:val="nn-NO"/>
                              </w:rPr>
                              <w:t>videreutvikle</w:t>
                            </w:r>
                            <w:proofErr w:type="spellEnd"/>
                            <w:r w:rsidRPr="00E10F94">
                              <w:rPr>
                                <w:lang w:val="nn-NO"/>
                              </w:rPr>
                              <w:t xml:space="preserve"> norsk fagspråk. For å kunne følge opp </w:t>
                            </w:r>
                            <w:proofErr w:type="spellStart"/>
                            <w:r w:rsidRPr="00E10F94">
                              <w:rPr>
                                <w:lang w:val="nn-NO"/>
                              </w:rPr>
                              <w:t>hvordan</w:t>
                            </w:r>
                            <w:proofErr w:type="spellEnd"/>
                            <w:r w:rsidRPr="00E10F94">
                              <w:rPr>
                                <w:lang w:val="nn-NO"/>
                              </w:rPr>
                              <w:t xml:space="preserve"> </w:t>
                            </w:r>
                            <w:proofErr w:type="spellStart"/>
                            <w:r w:rsidRPr="00E10F94">
                              <w:rPr>
                                <w:lang w:val="nn-NO"/>
                              </w:rPr>
                              <w:t>institusjonene</w:t>
                            </w:r>
                            <w:proofErr w:type="spellEnd"/>
                            <w:r w:rsidRPr="00E10F94">
                              <w:rPr>
                                <w:lang w:val="nn-NO"/>
                              </w:rPr>
                              <w:t xml:space="preserve"> oppfyller ansvaret for norsk som utdanningsspråk, trengs et </w:t>
                            </w:r>
                            <w:proofErr w:type="spellStart"/>
                            <w:r w:rsidRPr="00E10F94">
                              <w:rPr>
                                <w:lang w:val="nn-NO"/>
                              </w:rPr>
                              <w:t>bedre</w:t>
                            </w:r>
                            <w:proofErr w:type="spellEnd"/>
                            <w:r w:rsidRPr="00E10F94">
                              <w:rPr>
                                <w:lang w:val="nn-NO"/>
                              </w:rPr>
                              <w:t xml:space="preserve"> datagrunnlag enn det vi har i dag. Vi må få </w:t>
                            </w:r>
                            <w:proofErr w:type="spellStart"/>
                            <w:r w:rsidRPr="00E10F94">
                              <w:rPr>
                                <w:lang w:val="nn-NO"/>
                              </w:rPr>
                              <w:t>sikrere</w:t>
                            </w:r>
                            <w:proofErr w:type="spellEnd"/>
                            <w:r w:rsidRPr="00E10F94">
                              <w:rPr>
                                <w:lang w:val="nn-NO"/>
                              </w:rPr>
                              <w:t xml:space="preserve"> kunnskap om </w:t>
                            </w:r>
                            <w:proofErr w:type="spellStart"/>
                            <w:r w:rsidRPr="00E10F94">
                              <w:rPr>
                                <w:lang w:val="nn-NO"/>
                              </w:rPr>
                              <w:t>hvilke</w:t>
                            </w:r>
                            <w:proofErr w:type="spellEnd"/>
                            <w:r w:rsidRPr="00E10F94">
                              <w:rPr>
                                <w:lang w:val="nn-NO"/>
                              </w:rPr>
                              <w:t xml:space="preserve"> språk </w:t>
                            </w:r>
                            <w:proofErr w:type="spellStart"/>
                            <w:r w:rsidRPr="00E10F94">
                              <w:rPr>
                                <w:lang w:val="nn-NO"/>
                              </w:rPr>
                              <w:t>studentene</w:t>
                            </w:r>
                            <w:proofErr w:type="spellEnd"/>
                            <w:r w:rsidRPr="00E10F94">
                              <w:rPr>
                                <w:lang w:val="nn-NO"/>
                              </w:rPr>
                              <w:t xml:space="preserve"> møter – det kan være både gjennom undervisningspersonell og i form av læremateriell – og </w:t>
                            </w:r>
                            <w:proofErr w:type="spellStart"/>
                            <w:r w:rsidRPr="00E10F94">
                              <w:rPr>
                                <w:lang w:val="nn-NO"/>
                              </w:rPr>
                              <w:t>hvilke</w:t>
                            </w:r>
                            <w:proofErr w:type="spellEnd"/>
                            <w:r w:rsidRPr="00E10F94">
                              <w:rPr>
                                <w:lang w:val="nn-NO"/>
                              </w:rPr>
                              <w:t xml:space="preserve"> språk </w:t>
                            </w:r>
                            <w:proofErr w:type="spellStart"/>
                            <w:r w:rsidRPr="00E10F94">
                              <w:rPr>
                                <w:lang w:val="nn-NO"/>
                              </w:rPr>
                              <w:t>studentene</w:t>
                            </w:r>
                            <w:proofErr w:type="spellEnd"/>
                            <w:r w:rsidRPr="00E10F94">
                              <w:rPr>
                                <w:lang w:val="nn-NO"/>
                              </w:rPr>
                              <w:t xml:space="preserve"> </w:t>
                            </w:r>
                            <w:proofErr w:type="spellStart"/>
                            <w:r w:rsidRPr="00E10F94">
                              <w:rPr>
                                <w:lang w:val="nn-NO"/>
                              </w:rPr>
                              <w:t>selv</w:t>
                            </w:r>
                            <w:proofErr w:type="spellEnd"/>
                            <w:r w:rsidRPr="00E10F94">
                              <w:rPr>
                                <w:lang w:val="nn-NO"/>
                              </w:rPr>
                              <w:t xml:space="preserve"> </w:t>
                            </w:r>
                            <w:proofErr w:type="spellStart"/>
                            <w:r w:rsidRPr="00E10F94">
                              <w:rPr>
                                <w:lang w:val="nn-NO"/>
                              </w:rPr>
                              <w:t>benytter</w:t>
                            </w:r>
                            <w:proofErr w:type="spellEnd"/>
                            <w:r w:rsidRPr="00E10F94">
                              <w:rPr>
                                <w:lang w:val="nn-NO"/>
                              </w:rPr>
                              <w:t xml:space="preserve"> i eksempelvis bachelor- og </w:t>
                            </w:r>
                            <w:proofErr w:type="spellStart"/>
                            <w:r w:rsidRPr="00E10F94">
                              <w:rPr>
                                <w:lang w:val="nn-NO"/>
                              </w:rPr>
                              <w:t>masteroppgaver</w:t>
                            </w:r>
                            <w:proofErr w:type="spellEnd"/>
                            <w:r w:rsidRPr="00E10F94">
                              <w:rPr>
                                <w:lang w:val="nn-NO"/>
                              </w:rPr>
                              <w:t xml:space="preserve">. </w:t>
                            </w:r>
                            <w:r>
                              <w:t>Det finnes noe data for dette i dag, men datagrunnlaget er ikke tilstrekkelig systematisk, blant annet fordi det ikke er obligatorisk å registrere for institusjonene.</w:t>
                            </w:r>
                          </w:p>
                          <w:p w14:paraId="5D11237C" w14:textId="169A7EE2" w:rsidR="00AE3BDA" w:rsidRPr="00E10F94" w:rsidRDefault="00AE3BDA" w:rsidP="00AE3BDA">
                            <w:pPr>
                              <w:rPr>
                                <w:lang w:val="nn-NO"/>
                              </w:rPr>
                            </w:pPr>
                            <w:r w:rsidRPr="00E10F94">
                              <w:rPr>
                                <w:lang w:val="nn-NO"/>
                              </w:rPr>
                              <w:t xml:space="preserve">Kunnskapsdepartementet (KD) har i samarbeid med Kultur- og likestillingsdepartementet (KUD) </w:t>
                            </w:r>
                            <w:proofErr w:type="spellStart"/>
                            <w:r w:rsidRPr="00E10F94">
                              <w:rPr>
                                <w:lang w:val="nn-NO"/>
                              </w:rPr>
                              <w:t>varslet</w:t>
                            </w:r>
                            <w:proofErr w:type="spellEnd"/>
                            <w:r w:rsidRPr="00E10F94">
                              <w:rPr>
                                <w:lang w:val="nn-NO"/>
                              </w:rPr>
                              <w:t xml:space="preserve"> en handlingsplan for norsk fagspråk i akademia. Handlingsplanen skal </w:t>
                            </w:r>
                            <w:proofErr w:type="spellStart"/>
                            <w:r w:rsidRPr="00E10F94">
                              <w:rPr>
                                <w:lang w:val="nn-NO"/>
                              </w:rPr>
                              <w:t>legges</w:t>
                            </w:r>
                            <w:proofErr w:type="spellEnd"/>
                            <w:r w:rsidRPr="00E10F94">
                              <w:rPr>
                                <w:lang w:val="nn-NO"/>
                              </w:rPr>
                              <w:t xml:space="preserve"> fram før </w:t>
                            </w:r>
                            <w:proofErr w:type="spellStart"/>
                            <w:r w:rsidRPr="00E10F94">
                              <w:rPr>
                                <w:lang w:val="nn-NO"/>
                              </w:rPr>
                              <w:t>sommeren</w:t>
                            </w:r>
                            <w:proofErr w:type="spellEnd"/>
                            <w:r w:rsidRPr="00E10F94">
                              <w:rPr>
                                <w:lang w:val="nn-NO"/>
                              </w:rPr>
                              <w:t xml:space="preserve"> 2023. HK-</w:t>
                            </w:r>
                            <w:proofErr w:type="spellStart"/>
                            <w:r w:rsidRPr="00E10F94">
                              <w:rPr>
                                <w:lang w:val="nn-NO"/>
                              </w:rPr>
                              <w:t>dir</w:t>
                            </w:r>
                            <w:proofErr w:type="spellEnd"/>
                            <w:r w:rsidRPr="00E10F94">
                              <w:rPr>
                                <w:lang w:val="nn-NO"/>
                              </w:rPr>
                              <w:t xml:space="preserve">, Sikt og Språkrådet </w:t>
                            </w:r>
                            <w:r w:rsidR="006F0DF1" w:rsidRPr="00E10F94">
                              <w:rPr>
                                <w:lang w:val="nn-NO"/>
                              </w:rPr>
                              <w:t>har</w:t>
                            </w:r>
                            <w:r w:rsidRPr="00E10F94">
                              <w:rPr>
                                <w:lang w:val="nn-NO"/>
                              </w:rPr>
                              <w:t xml:space="preserve"> etablert en arbeidsgruppe </w:t>
                            </w:r>
                            <w:r w:rsidR="00363823" w:rsidRPr="00E10F94">
                              <w:rPr>
                                <w:lang w:val="nn-NO"/>
                              </w:rPr>
                              <w:t xml:space="preserve">for å vurdere </w:t>
                            </w:r>
                            <w:r w:rsidR="00141321" w:rsidRPr="00E10F94">
                              <w:rPr>
                                <w:lang w:val="nn-NO"/>
                              </w:rPr>
                              <w:t xml:space="preserve">datagrunnlaget og </w:t>
                            </w:r>
                            <w:r w:rsidR="00215CE7" w:rsidRPr="00E10F94">
                              <w:rPr>
                                <w:lang w:val="nn-NO"/>
                              </w:rPr>
                              <w:t xml:space="preserve">eventuelt </w:t>
                            </w:r>
                            <w:r w:rsidR="00141321" w:rsidRPr="00E10F94">
                              <w:rPr>
                                <w:lang w:val="nn-NO"/>
                              </w:rPr>
                              <w:t xml:space="preserve">behov for </w:t>
                            </w:r>
                            <w:proofErr w:type="spellStart"/>
                            <w:r w:rsidR="00215CE7" w:rsidRPr="00E10F94">
                              <w:rPr>
                                <w:lang w:val="nn-NO"/>
                              </w:rPr>
                              <w:t>endringer</w:t>
                            </w:r>
                            <w:proofErr w:type="spellEnd"/>
                            <w:r w:rsidR="00215CE7" w:rsidRPr="00E10F94">
                              <w:rPr>
                                <w:lang w:val="nn-NO"/>
                              </w:rPr>
                              <w:t xml:space="preserve"> i rapportering.</w:t>
                            </w:r>
                          </w:p>
                          <w:p w14:paraId="758B33D2" w14:textId="77777777" w:rsidR="00AE3BDA" w:rsidRPr="009F0A4F" w:rsidRDefault="00AE3BDA" w:rsidP="00AE3BDA">
                            <w:r w:rsidRPr="00E10F94">
                              <w:rPr>
                                <w:lang w:val="nn-NO"/>
                              </w:rPr>
                              <w:t xml:space="preserve">For 2022 har vi kunnskap om språk i </w:t>
                            </w:r>
                            <w:proofErr w:type="spellStart"/>
                            <w:r w:rsidRPr="00E10F94">
                              <w:rPr>
                                <w:lang w:val="nn-NO"/>
                              </w:rPr>
                              <w:t>masteroppgaven</w:t>
                            </w:r>
                            <w:proofErr w:type="spellEnd"/>
                            <w:r w:rsidRPr="00E10F94">
                              <w:rPr>
                                <w:lang w:val="nn-NO"/>
                              </w:rPr>
                              <w:t xml:space="preserve"> til i underkant av 13 000 uteksaminerte, og 58 prosent av disse var levert på norsk. </w:t>
                            </w:r>
                            <w:r w:rsidRPr="009F0A4F">
                              <w:t xml:space="preserve">Andelen var den samme som i 2015. Det er altså ikke noe i disse tallene som tyder på endringer i denne perioden, selv om det må tas forhold om representativiteten i utvalget. Totalt ble i overkant av 20 000 studenter uteksaminert fra masterstudier, uten at vi vet hvor mange av disse som leverte masteroppgave. </w:t>
                            </w:r>
                          </w:p>
                          <w:p w14:paraId="784FEF14" w14:textId="0BE30B60" w:rsidR="00AE3BDA" w:rsidRPr="009F0A4F" w:rsidRDefault="00AE3BDA" w:rsidP="00AE3BDA">
                            <w:r w:rsidRPr="009F0A4F">
                              <w:t xml:space="preserve">Tallene for planlagt undervisningsspråk viser en jevn stigning for engelsk siste ti år. Det gjelder både antall emner og antall </w:t>
                            </w:r>
                            <w:r w:rsidR="00481869">
                              <w:t xml:space="preserve">registrerte </w:t>
                            </w:r>
                            <w:r w:rsidRPr="009F0A4F">
                              <w:t>studenter. Ifølge disse tallene var 88 prosent av alle studenter registrert på emner med norsk som undervisningsspråk i 2013. Deretter sank tallet til 83 prosent i 2018 og 79 prosent i 2022. Selv om tallene har svakheter, er det god grunn til å tro at de fanger opp en faktisk tendens med synkende andel undervisning på norsk. Det blir derfor viktig å få på plass et sikrere datagrunnlag som gjør det mulig å vurdere situasjonen for norsk språk i høyere utdanning.</w:t>
                            </w:r>
                          </w:p>
                          <w:p w14:paraId="2D93D2C5" w14:textId="77777777" w:rsidR="00AE3BDA" w:rsidRPr="00B47CA4" w:rsidRDefault="00AE3BDA" w:rsidP="00AE3BDA">
                            <w:pPr>
                              <w:pStyle w:val="Kilde"/>
                              <w:rPr>
                                <w:b w:val="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C5A80" id="Tekstboks 1038656929" o:spid="_x0000_s1029" type="#_x0000_t202" style="position:absolute;margin-left:.2pt;margin-top:26.05pt;width:412.5pt;height:57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" strokecolor="#362683">
                <v:textbox>
                  <w:txbxContent>
                    <w:p w14:paraId="52EE6E3A" w14:textId="7F4EEA17" w:rsidR="00AE3BDA" w:rsidRDefault="00AE3BDA" w:rsidP="00AE3BDA">
                      <w:r>
                        <w:t>Tilstandsrapporten har de seneste årene inneholdt oppslag om bruk av norsk og fremmedspråk i undervisningen og i studentenes masteroppgaver. Nærmere undersøkelser av datakvaliteten</w:t>
                      </w:r>
                      <w:r w:rsidR="003B4684">
                        <w:t xml:space="preserve"> viser at den er sva</w:t>
                      </w:r>
                      <w:r w:rsidR="00D35560">
                        <w:t>k</w:t>
                      </w:r>
                      <w:r w:rsidR="003B4684">
                        <w:t xml:space="preserve"> på begge o</w:t>
                      </w:r>
                      <w:r w:rsidR="0035549D">
                        <w:t xml:space="preserve">mråder. </w:t>
                      </w:r>
                      <w:r>
                        <w:t>For om lag 45 prosent av studieprogrammene savnes sikker informasjon om undervisningsspråk. For masteroppgavene omfatter språkinformasjonen et utvalg</w:t>
                      </w:r>
                      <w:r w:rsidR="00CD5FB8">
                        <w:t>, men vi vet ikke hvor stor andel utvalget utgjør av alle masteroppgaver. Vi vet heller ikke hvor</w:t>
                      </w:r>
                      <w:r w:rsidR="00AF0735">
                        <w:t xml:space="preserve"> </w:t>
                      </w:r>
                      <w:r w:rsidR="00097FEB">
                        <w:t xml:space="preserve">representativt utvalget er </w:t>
                      </w:r>
                      <w:r w:rsidR="006C4156">
                        <w:t xml:space="preserve">for alle masteroppgaver. </w:t>
                      </w:r>
                      <w:r>
                        <w:t xml:space="preserve">Samlet sett tilsier dette at det ikke er riktig å publisere </w:t>
                      </w:r>
                      <w:r w:rsidR="00821A7D">
                        <w:t xml:space="preserve">statistikk om språk </w:t>
                      </w:r>
                      <w:r>
                        <w:t>på linje med den mer etablerte og kvalitetssikrede statistikken i tilstandsrapporten.</w:t>
                      </w:r>
                    </w:p>
                    <w:p w14:paraId="20078F4C" w14:textId="46D5871A" w:rsidR="00AE3BDA" w:rsidRDefault="00AE3BDA" w:rsidP="00AE3BDA">
                      <w:r w:rsidRPr="00E10F94">
                        <w:rPr>
                          <w:lang w:val="nn-NO"/>
                        </w:rPr>
                        <w:t xml:space="preserve">Den nye språklova </w:t>
                      </w:r>
                      <w:hyperlink r:id="rId55" w:history="1">
                        <w:r w:rsidR="00404952" w:rsidRPr="00E10F94">
                          <w:rPr>
                            <w:rStyle w:val="Hyperkobling"/>
                            <w:lang w:val="nn-NO"/>
                          </w:rPr>
                          <w:t>(Lovdata, 2021)</w:t>
                        </w:r>
                      </w:hyperlink>
                      <w:r w:rsidRPr="00E10F94">
                        <w:rPr>
                          <w:lang w:val="nn-NO"/>
                        </w:rPr>
                        <w:t xml:space="preserve"> trådte i kraft 1. januar</w:t>
                      </w:r>
                      <w:r w:rsidR="002C5E68" w:rsidRPr="00E10F94">
                        <w:rPr>
                          <w:lang w:val="nn-NO"/>
                        </w:rPr>
                        <w:t xml:space="preserve"> </w:t>
                      </w:r>
                      <w:r w:rsidRPr="00E10F94">
                        <w:rPr>
                          <w:lang w:val="nn-NO"/>
                        </w:rPr>
                        <w:t xml:space="preserve">2022 og skal sikre bruk av norsk språk på alle områder i samfunnet. Utdanningssektoren er viktig i denne sammenhengen. Universitets- og høyskoleloven § 1-7 (2009) slår fast at universitetene og høyskolene har ansvar for å vedlikeholde og videreutvikle norsk fagspråk. For å kunne følge opp hvordan institusjonene oppfyller ansvaret for norsk som utdanningsspråk, trengs et bedre datagrunnlag enn det vi har i dag. Vi må få sikrere kunnskap om hvilke språk studentene møter – det kan være både gjennom undervisningspersonell og i form av læremateriell – og hvilke språk studentene selv benytter i eksempelvis bachelor- og masteroppgaver. </w:t>
                      </w:r>
                      <w:r>
                        <w:t>Det finnes noe data for dette i dag, men datagrunnlaget er ikke tilstrekkelig systematisk, blant annet fordi det ikke er obligatorisk å registrere for institusjonene.</w:t>
                      </w:r>
                    </w:p>
                    <w:p w14:paraId="5D11237C" w14:textId="169A7EE2" w:rsidR="00AE3BDA" w:rsidRPr="00E10F94" w:rsidRDefault="00AE3BDA" w:rsidP="00AE3BDA">
                      <w:pPr>
                        <w:rPr>
                          <w:lang w:val="nn-NO"/>
                        </w:rPr>
                      </w:pPr>
                      <w:r w:rsidRPr="00E10F94">
                        <w:rPr>
                          <w:lang w:val="nn-NO"/>
                        </w:rPr>
                        <w:t xml:space="preserve">Kunnskapsdepartementet (KD) har i samarbeid med Kultur- og likestillingsdepartementet (KUD) varslet en handlingsplan for norsk fagspråk i akademia. Handlingsplanen skal legges fram før sommeren 2023. HK-dir, Sikt og Språkrådet </w:t>
                      </w:r>
                      <w:r w:rsidR="006F0DF1" w:rsidRPr="00E10F94">
                        <w:rPr>
                          <w:lang w:val="nn-NO"/>
                        </w:rPr>
                        <w:t>har</w:t>
                      </w:r>
                      <w:r w:rsidRPr="00E10F94">
                        <w:rPr>
                          <w:lang w:val="nn-NO"/>
                        </w:rPr>
                        <w:t xml:space="preserve"> etablert en arbeidsgruppe </w:t>
                      </w:r>
                      <w:r w:rsidR="00363823" w:rsidRPr="00E10F94">
                        <w:rPr>
                          <w:lang w:val="nn-NO"/>
                        </w:rPr>
                        <w:t xml:space="preserve">for å vurdere </w:t>
                      </w:r>
                      <w:r w:rsidR="00141321" w:rsidRPr="00E10F94">
                        <w:rPr>
                          <w:lang w:val="nn-NO"/>
                        </w:rPr>
                        <w:t xml:space="preserve">datagrunnlaget og </w:t>
                      </w:r>
                      <w:r w:rsidR="00215CE7" w:rsidRPr="00E10F94">
                        <w:rPr>
                          <w:lang w:val="nn-NO"/>
                        </w:rPr>
                        <w:t xml:space="preserve">eventuelt </w:t>
                      </w:r>
                      <w:r w:rsidR="00141321" w:rsidRPr="00E10F94">
                        <w:rPr>
                          <w:lang w:val="nn-NO"/>
                        </w:rPr>
                        <w:t xml:space="preserve">behov for </w:t>
                      </w:r>
                      <w:r w:rsidR="00215CE7" w:rsidRPr="00E10F94">
                        <w:rPr>
                          <w:lang w:val="nn-NO"/>
                        </w:rPr>
                        <w:t>endringer i rapportering.</w:t>
                      </w:r>
                    </w:p>
                    <w:p w14:paraId="758B33D2" w14:textId="77777777" w:rsidR="00AE3BDA" w:rsidRPr="009F0A4F" w:rsidRDefault="00AE3BDA" w:rsidP="00AE3BDA">
                      <w:r w:rsidRPr="00E10F94">
                        <w:rPr>
                          <w:lang w:val="nn-NO"/>
                        </w:rPr>
                        <w:t xml:space="preserve">For 2022 har vi kunnskap om språk i masteroppgaven til i underkant av 13 000 uteksaminerte, og 58 prosent av disse var levert på norsk. </w:t>
                      </w:r>
                      <w:r w:rsidRPr="009F0A4F">
                        <w:t xml:space="preserve">Andelen var den samme som i 2015. Det er altså ikke noe i disse tallene som tyder på endringer i denne perioden, selv om det må tas forhold om representativiteten i utvalget. Totalt ble i overkant av 20 000 studenter uteksaminert fra masterstudier, uten at vi vet hvor mange av disse som leverte masteroppgave. </w:t>
                      </w:r>
                    </w:p>
                    <w:p w14:paraId="784FEF14" w14:textId="0BE30B60" w:rsidR="00AE3BDA" w:rsidRPr="009F0A4F" w:rsidRDefault="00AE3BDA" w:rsidP="00AE3BDA">
                      <w:r w:rsidRPr="009F0A4F">
                        <w:t xml:space="preserve">Tallene for planlagt undervisningsspråk viser en jevn stigning for engelsk siste ti år. Det gjelder både antall emner og antall </w:t>
                      </w:r>
                      <w:r w:rsidR="00481869">
                        <w:t xml:space="preserve">registrerte </w:t>
                      </w:r>
                      <w:r w:rsidRPr="009F0A4F">
                        <w:t>studenter. Ifølge disse tallene var 88 prosent av alle studenter registrert på emner med norsk som undervisningsspråk i 2013. Deretter sank tallet til 83 prosent i 2018 og 79 prosent i 2022. Selv om tallene har svakheter, er det god grunn til å tro at de fanger opp en faktisk tendens med synkende andel undervisning på norsk. Det blir derfor viktig å få på plass et sikrere datagrunnlag som gjør det mulig å vurdere situasjonen for norsk språk i høyere utdanning.</w:t>
                      </w:r>
                    </w:p>
                    <w:p w14:paraId="2D93D2C5" w14:textId="77777777" w:rsidR="00AE3BDA" w:rsidRPr="00B47CA4" w:rsidRDefault="00AE3BDA" w:rsidP="00AE3BDA">
                      <w:pPr>
                        <w:pStyle w:val="Kilde"/>
                        <w:rPr>
                          <w:b w:val="0"/>
                          <w:sz w:val="20"/>
                        </w:rPr>
                      </w:pPr>
                    </w:p>
                  </w:txbxContent>
                </v:textbox>
                <w10:wrap type="square" anchorx="margin"/>
              </v:shape>
            </w:pict>
          </mc:Fallback>
        </mc:AlternateContent>
      </w:r>
      <w:r w:rsidRPr="00E20132">
        <w:rPr>
          <w:lang w:val="nn-NO"/>
        </w:rPr>
        <w:t xml:space="preserve">Tekstboks </w:t>
      </w:r>
      <w:r>
        <w:fldChar w:fldCharType="begin"/>
      </w:r>
      <w:r w:rsidRPr="00E20132">
        <w:rPr>
          <w:lang w:val="nn-NO"/>
        </w:rPr>
        <w:instrText xml:space="preserve"> STYLEREF 1 \s </w:instrText>
      </w:r>
      <w:r>
        <w:fldChar w:fldCharType="separate"/>
      </w:r>
      <w:r w:rsidR="00F262EF">
        <w:rPr>
          <w:noProof/>
          <w:lang w:val="nn-NO"/>
        </w:rPr>
        <w:t>2</w:t>
      </w:r>
      <w:r>
        <w:rPr>
          <w:noProof/>
        </w:rPr>
        <w:fldChar w:fldCharType="end"/>
      </w:r>
      <w:r w:rsidRPr="00E20132">
        <w:rPr>
          <w:lang w:val="nn-NO"/>
        </w:rPr>
        <w:t>.</w:t>
      </w:r>
      <w:r>
        <w:fldChar w:fldCharType="begin"/>
      </w:r>
      <w:r w:rsidRPr="00E20132">
        <w:rPr>
          <w:lang w:val="nn-NO"/>
        </w:rPr>
        <w:instrText xml:space="preserve"> SEQ Tekstboks \* ARABIC \s 1 </w:instrText>
      </w:r>
      <w:r>
        <w:fldChar w:fldCharType="separate"/>
      </w:r>
      <w:r w:rsidR="00F262EF">
        <w:rPr>
          <w:noProof/>
          <w:lang w:val="nn-NO"/>
        </w:rPr>
        <w:t>4</w:t>
      </w:r>
      <w:r>
        <w:rPr>
          <w:noProof/>
        </w:rPr>
        <w:fldChar w:fldCharType="end"/>
      </w:r>
      <w:r w:rsidRPr="00E20132">
        <w:rPr>
          <w:lang w:val="nn-NO"/>
        </w:rPr>
        <w:t xml:space="preserve"> Norsk og engelsk som utdanningsspråk</w:t>
      </w:r>
      <w:bookmarkEnd w:id="74"/>
      <w:r w:rsidRPr="00E20132">
        <w:rPr>
          <w:lang w:val="nn-NO"/>
        </w:rPr>
        <w:br w:type="page"/>
      </w:r>
    </w:p>
    <w:p w14:paraId="11224AB3" w14:textId="4CC4910F" w:rsidR="00393B4A" w:rsidRPr="00393B4A" w:rsidRDefault="00393B4A" w:rsidP="00AE4B98">
      <w:pPr>
        <w:pStyle w:val="Overskrift3"/>
      </w:pPr>
      <w:bookmarkStart w:id="75" w:name="_Toc134792728"/>
      <w:r w:rsidRPr="00393B4A">
        <w:lastRenderedPageBreak/>
        <w:t>Studenter på fleksible studietilbud</w:t>
      </w:r>
      <w:bookmarkEnd w:id="71"/>
      <w:bookmarkEnd w:id="75"/>
    </w:p>
    <w:p w14:paraId="2C962F72" w14:textId="14180D25" w:rsidR="004C6A0F" w:rsidRDefault="000B0B37">
      <w:r>
        <w:t xml:space="preserve">Det er et politisk mål </w:t>
      </w:r>
      <w:r w:rsidR="00B62CEB">
        <w:t xml:space="preserve">at høyere utdanning </w:t>
      </w:r>
      <w:r w:rsidR="00811BC8">
        <w:t xml:space="preserve">i større grad skal være tilgjengelig uavhengig av </w:t>
      </w:r>
      <w:r w:rsidR="0036244E">
        <w:t>bosted og livssituasjon</w:t>
      </w:r>
      <w:r w:rsidR="002B39DB">
        <w:t xml:space="preserve">. </w:t>
      </w:r>
      <w:r w:rsidR="00A31A23">
        <w:t xml:space="preserve">Eksempler på studietilbud som </w:t>
      </w:r>
      <w:r w:rsidR="006C11F9">
        <w:t xml:space="preserve">gir fleksibilitet, er </w:t>
      </w:r>
      <w:r w:rsidR="00E442A2">
        <w:t xml:space="preserve">programmer som undervises utenfor </w:t>
      </w:r>
      <w:r w:rsidR="00675CB1">
        <w:t xml:space="preserve">ordinære studiesteder eller </w:t>
      </w:r>
      <w:r w:rsidR="00911891">
        <w:t xml:space="preserve">studieprogram </w:t>
      </w:r>
      <w:r w:rsidR="00480AD3">
        <w:t xml:space="preserve">der undervisningen foregår på nett. </w:t>
      </w:r>
      <w:r w:rsidR="005A7257">
        <w:t xml:space="preserve">Universiteter og høyskoler </w:t>
      </w:r>
      <w:r w:rsidR="007C43D7">
        <w:t>rapportere</w:t>
      </w:r>
      <w:r w:rsidR="005A7257">
        <w:t>r slike</w:t>
      </w:r>
      <w:r w:rsidR="007C43D7">
        <w:t xml:space="preserve"> program som henholdsvis </w:t>
      </w:r>
      <w:r w:rsidR="007C43D7" w:rsidRPr="007C43D7">
        <w:rPr>
          <w:i/>
          <w:iCs/>
        </w:rPr>
        <w:t>desentraliserte</w:t>
      </w:r>
      <w:r w:rsidR="007C43D7">
        <w:t xml:space="preserve"> og </w:t>
      </w:r>
      <w:r w:rsidR="007C43D7" w:rsidRPr="007C43D7">
        <w:rPr>
          <w:i/>
          <w:iCs/>
        </w:rPr>
        <w:t>nettbaserte</w:t>
      </w:r>
      <w:r w:rsidR="00B046AB">
        <w:t>, og disse utgjør til sammen «fleksible utdanningstilbud» i dette oppslaget.</w:t>
      </w:r>
      <w:r w:rsidR="001F1F47">
        <w:t xml:space="preserve"> </w:t>
      </w:r>
      <w:r w:rsidR="001F1F47">
        <w:fldChar w:fldCharType="begin"/>
      </w:r>
      <w:r w:rsidR="001F1F47">
        <w:instrText xml:space="preserve"> REF _Ref133168052 \h </w:instrText>
      </w:r>
      <w:r w:rsidR="001F1F47">
        <w:fldChar w:fldCharType="separate"/>
      </w:r>
      <w:r w:rsidR="00F262EF">
        <w:t xml:space="preserve">Figur </w:t>
      </w:r>
      <w:r w:rsidR="00F262EF">
        <w:rPr>
          <w:noProof/>
        </w:rPr>
        <w:t>2</w:t>
      </w:r>
      <w:r w:rsidR="00F262EF">
        <w:t>.</w:t>
      </w:r>
      <w:r w:rsidR="00F262EF">
        <w:rPr>
          <w:noProof/>
        </w:rPr>
        <w:t>13</w:t>
      </w:r>
      <w:r w:rsidR="001F1F47">
        <w:fldChar w:fldCharType="end"/>
      </w:r>
      <w:r w:rsidR="00B52A0A">
        <w:t xml:space="preserve"> </w:t>
      </w:r>
      <w:r w:rsidR="000155E1">
        <w:t xml:space="preserve">viser utviklingen i studenter på </w:t>
      </w:r>
      <w:r w:rsidR="0085776C">
        <w:t xml:space="preserve">disse tilbudstypene </w:t>
      </w:r>
      <w:r w:rsidR="000E0EAC">
        <w:t>siste ti år.</w:t>
      </w:r>
    </w:p>
    <w:p w14:paraId="0500EC9C" w14:textId="33CB2369" w:rsidR="00EA2BB4" w:rsidRDefault="00EA2BB4" w:rsidP="00EA2BB4">
      <w:pPr>
        <w:pStyle w:val="Bildetekst"/>
        <w:keepNext/>
      </w:pPr>
      <w:bookmarkStart w:id="76" w:name="_Ref129598656"/>
      <w:bookmarkStart w:id="77" w:name="_Ref133168052"/>
      <w:bookmarkStart w:id="78" w:name="_Toc134792774"/>
      <w:r>
        <w:t xml:space="preserve">Figur </w:t>
      </w:r>
      <w:bookmarkEnd w:id="76"/>
      <w:r w:rsidR="004F2208">
        <w:fldChar w:fldCharType="begin"/>
      </w:r>
      <w:r w:rsidR="004F2208">
        <w:instrText xml:space="preserve"> STYLEREF 1 \s </w:instrText>
      </w:r>
      <w:r w:rsidR="004F2208">
        <w:fldChar w:fldCharType="separate"/>
      </w:r>
      <w:r w:rsidR="00F262EF">
        <w:rPr>
          <w:noProof/>
        </w:rPr>
        <w:t>2</w:t>
      </w:r>
      <w:r w:rsidR="004F2208">
        <w:fldChar w:fldCharType="end"/>
      </w:r>
      <w:r w:rsidR="004F2208">
        <w:t>.</w:t>
      </w:r>
      <w:r>
        <w:fldChar w:fldCharType="begin"/>
      </w:r>
      <w:r>
        <w:instrText>SEQ Figur \* ARABIC \s 1</w:instrText>
      </w:r>
      <w:r>
        <w:fldChar w:fldCharType="separate"/>
      </w:r>
      <w:r w:rsidR="00F262EF">
        <w:rPr>
          <w:noProof/>
        </w:rPr>
        <w:t>13</w:t>
      </w:r>
      <w:r>
        <w:fldChar w:fldCharType="end"/>
      </w:r>
      <w:bookmarkEnd w:id="77"/>
      <w:r>
        <w:t xml:space="preserve"> </w:t>
      </w:r>
      <w:r w:rsidRPr="00F1760A">
        <w:t>Studenter på fleksible studietilbud 201</w:t>
      </w:r>
      <w:r w:rsidR="00D53393">
        <w:t>3</w:t>
      </w:r>
      <w:r w:rsidRPr="00F1760A">
        <w:t>–</w:t>
      </w:r>
      <w:r w:rsidR="00D53393">
        <w:t>22</w:t>
      </w:r>
      <w:r w:rsidRPr="00F1760A">
        <w:t>. Antall</w:t>
      </w:r>
      <w:bookmarkEnd w:id="78"/>
    </w:p>
    <w:p w14:paraId="67C687C0" w14:textId="7F96203E" w:rsidR="000253BF" w:rsidRDefault="00E74956">
      <w:r>
        <w:rPr>
          <w:noProof/>
        </w:rPr>
        <w:drawing>
          <wp:inline distT="0" distB="0" distL="0" distR="0" wp14:anchorId="39B93151" wp14:editId="50D5F52B">
            <wp:extent cx="5184140" cy="3474686"/>
            <wp:effectExtent l="0" t="0" r="16510" b="12065"/>
            <wp:docPr id="8" name="Diagram 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CCA9955" w14:textId="77777777" w:rsidR="00FE310B" w:rsidRDefault="00FE310B" w:rsidP="00FE310B">
      <w:pPr>
        <w:pStyle w:val="Merknad"/>
      </w:pPr>
      <w:r w:rsidRPr="00FE310B">
        <w:t>Studenter (både egen- og eksternfinansierte) på programmer der undervisningen gis andre steder enn ved institusjonens ordinære studiesteder, eller som nettundervisning.</w:t>
      </w:r>
    </w:p>
    <w:p w14:paraId="6FB8F8BB" w14:textId="411C4C56" w:rsidR="00FE310B" w:rsidRDefault="00FE310B" w:rsidP="00FE310B">
      <w:pPr>
        <w:pStyle w:val="Kilde"/>
      </w:pPr>
      <w:r>
        <w:t xml:space="preserve">Kilde: </w:t>
      </w:r>
      <w:proofErr w:type="spellStart"/>
      <w:r>
        <w:t>DBH</w:t>
      </w:r>
      <w:proofErr w:type="spellEnd"/>
    </w:p>
    <w:p w14:paraId="0569BB01" w14:textId="1A060BA2" w:rsidR="00D8184B" w:rsidRDefault="00237B14" w:rsidP="00A81188">
      <w:r>
        <w:t xml:space="preserve">I et tiårig perspektiv har </w:t>
      </w:r>
      <w:r w:rsidR="00B3580B">
        <w:t>antall studenter på</w:t>
      </w:r>
      <w:r w:rsidR="00932FE9">
        <w:t xml:space="preserve"> </w:t>
      </w:r>
      <w:r w:rsidR="00C437E6">
        <w:t>nettbaserte studier økt</w:t>
      </w:r>
      <w:r w:rsidR="00823FC8">
        <w:t xml:space="preserve">, mens </w:t>
      </w:r>
      <w:r w:rsidR="004A0FAE">
        <w:t xml:space="preserve">antall </w:t>
      </w:r>
      <w:r w:rsidR="00044AAA">
        <w:t>studenter på tilbud registrert</w:t>
      </w:r>
      <w:r w:rsidR="00F5647B">
        <w:t xml:space="preserve"> med desentralisert undervisning</w:t>
      </w:r>
      <w:r w:rsidR="00F032DB">
        <w:t>,</w:t>
      </w:r>
      <w:r w:rsidR="00F5647B">
        <w:t xml:space="preserve"> har gått tilbake.</w:t>
      </w:r>
      <w:r w:rsidR="00CE6527">
        <w:t xml:space="preserve"> Mange </w:t>
      </w:r>
      <w:r w:rsidR="00911C9C">
        <w:t xml:space="preserve">fleksible </w:t>
      </w:r>
      <w:r w:rsidR="00CE6527">
        <w:t>studietilbud</w:t>
      </w:r>
      <w:r w:rsidR="009A0AB2">
        <w:t xml:space="preserve"> </w:t>
      </w:r>
      <w:r w:rsidR="00250579">
        <w:t>inneholder imidlertid</w:t>
      </w:r>
      <w:r w:rsidR="00EF7B4D">
        <w:t xml:space="preserve"> </w:t>
      </w:r>
      <w:r w:rsidR="000F6B9E">
        <w:t>elementer av både «desentralisert» og «nettbasert»</w:t>
      </w:r>
      <w:r w:rsidR="00250579">
        <w:t xml:space="preserve">, og </w:t>
      </w:r>
      <w:r w:rsidR="00036C7D">
        <w:t xml:space="preserve">valget mellom de </w:t>
      </w:r>
      <w:r w:rsidR="00C33738">
        <w:t xml:space="preserve">to kategoriene kan være </w:t>
      </w:r>
      <w:r w:rsidR="006079A4">
        <w:t xml:space="preserve">noe </w:t>
      </w:r>
      <w:r w:rsidR="00693E32">
        <w:t>vilkårl</w:t>
      </w:r>
      <w:r w:rsidR="005509FB">
        <w:t>ig.</w:t>
      </w:r>
      <w:r w:rsidR="00036C7D">
        <w:t xml:space="preserve"> </w:t>
      </w:r>
      <w:r w:rsidR="00AC1D00">
        <w:t xml:space="preserve">Dette gjør at det er </w:t>
      </w:r>
      <w:r w:rsidR="00A9686B">
        <w:t>fornuftig</w:t>
      </w:r>
      <w:r w:rsidR="002037A0">
        <w:t xml:space="preserve"> å </w:t>
      </w:r>
      <w:r w:rsidR="00546B51">
        <w:t>omtale de to</w:t>
      </w:r>
      <w:r w:rsidR="001778E4">
        <w:t xml:space="preserve"> samlet.</w:t>
      </w:r>
    </w:p>
    <w:p w14:paraId="0B72030D" w14:textId="7E29F0CA" w:rsidR="00A81188" w:rsidRDefault="00A81188" w:rsidP="00A81188">
      <w:r>
        <w:t>Med pandemien i 2020 kom en sterk vekst i antall studenter på fleksible tilbud. Fra 2019 til 2021 økte antall studenter på slike tilbud med 33 prosent, langt mer enn den samlede studentveksten, som var 9 prosent i samme periode. I 2022 gikk antallet studenter på fleksible tilbud noe tilbake</w:t>
      </w:r>
      <w:r w:rsidR="00EC2AEA">
        <w:t xml:space="preserve">, mens </w:t>
      </w:r>
      <w:r w:rsidR="00BA3341">
        <w:t xml:space="preserve">andelen </w:t>
      </w:r>
      <w:r w:rsidR="000838BB">
        <w:t xml:space="preserve">studenter på slike tilbud </w:t>
      </w:r>
      <w:r w:rsidR="00F2362B">
        <w:t xml:space="preserve">var </w:t>
      </w:r>
      <w:r w:rsidR="008A04D5">
        <w:t>de</w:t>
      </w:r>
      <w:r w:rsidR="000E3BC2">
        <w:t>n</w:t>
      </w:r>
      <w:r w:rsidR="008A04D5">
        <w:t xml:space="preserve"> samme som </w:t>
      </w:r>
      <w:r w:rsidR="00555469">
        <w:t xml:space="preserve">året før, </w:t>
      </w:r>
      <w:r w:rsidR="00C24169">
        <w:t>i overkant av</w:t>
      </w:r>
      <w:r w:rsidR="00AA6123">
        <w:t xml:space="preserve"> </w:t>
      </w:r>
      <w:r w:rsidR="00F0070C">
        <w:t>10 prosent</w:t>
      </w:r>
      <w:r w:rsidR="005B0F29">
        <w:t xml:space="preserve">. </w:t>
      </w:r>
    </w:p>
    <w:p w14:paraId="4019A0F7" w14:textId="634E8F38" w:rsidR="00FB7BA9" w:rsidRDefault="00906B3F" w:rsidP="00A81188">
      <w:r>
        <w:t xml:space="preserve">Studenter på fleksible tilbud er som ventet </w:t>
      </w:r>
      <w:r w:rsidR="000243DE">
        <w:t xml:space="preserve">klart eldre enn </w:t>
      </w:r>
      <w:r w:rsidR="00BD24D6">
        <w:t>gjennomsnittsstudenten.</w:t>
      </w:r>
      <w:r w:rsidR="004E7F06">
        <w:t xml:space="preserve"> </w:t>
      </w:r>
      <w:r w:rsidR="00C73083">
        <w:t xml:space="preserve">Hele </w:t>
      </w:r>
      <w:r w:rsidR="00F66354">
        <w:t xml:space="preserve">75 prosent av alle studenter er </w:t>
      </w:r>
      <w:r w:rsidR="008043D4">
        <w:t xml:space="preserve">under 30 år, mens </w:t>
      </w:r>
      <w:r w:rsidR="00AE46F2">
        <w:t xml:space="preserve">bare </w:t>
      </w:r>
      <w:r w:rsidR="007A5C46">
        <w:t>31 prosent av studente</w:t>
      </w:r>
      <w:r w:rsidR="00B217C4">
        <w:t>ne</w:t>
      </w:r>
      <w:r w:rsidR="007A5C46">
        <w:t xml:space="preserve"> på fleksible tilbud</w:t>
      </w:r>
      <w:r w:rsidR="00B217C4">
        <w:t xml:space="preserve"> tilhører denne aldersgruppen</w:t>
      </w:r>
      <w:r w:rsidR="00AE46F2">
        <w:t xml:space="preserve">. </w:t>
      </w:r>
      <w:r w:rsidR="0044712B">
        <w:t xml:space="preserve">Omvendt er </w:t>
      </w:r>
      <w:r w:rsidR="00B50C97">
        <w:t>33 prosent av studente</w:t>
      </w:r>
      <w:r w:rsidR="00B217C4">
        <w:t>ne</w:t>
      </w:r>
      <w:r w:rsidR="00B50C97">
        <w:t xml:space="preserve"> på fleksible program </w:t>
      </w:r>
      <w:r w:rsidR="00C21116">
        <w:t xml:space="preserve">eldre </w:t>
      </w:r>
      <w:r w:rsidR="00DC6F97">
        <w:t xml:space="preserve">enn 40 år, </w:t>
      </w:r>
      <w:r w:rsidR="0008145C">
        <w:t xml:space="preserve">mot </w:t>
      </w:r>
      <w:r w:rsidR="007E52E9">
        <w:t xml:space="preserve">bare </w:t>
      </w:r>
      <w:r w:rsidR="00F9238E">
        <w:t>10 prosent av studente</w:t>
      </w:r>
      <w:r w:rsidR="00B217C4">
        <w:t>ne</w:t>
      </w:r>
      <w:r w:rsidR="00F9238E">
        <w:t xml:space="preserve"> på </w:t>
      </w:r>
      <w:r w:rsidR="007E52E9">
        <w:t>ordinære</w:t>
      </w:r>
      <w:r w:rsidR="00F9238E">
        <w:t xml:space="preserve"> </w:t>
      </w:r>
      <w:r w:rsidR="007E52E9">
        <w:t>studie</w:t>
      </w:r>
      <w:r w:rsidR="00F9238E">
        <w:t>program</w:t>
      </w:r>
      <w:r w:rsidR="007B05A7">
        <w:t>.</w:t>
      </w:r>
      <w:r w:rsidR="00A2661E">
        <w:t xml:space="preserve"> </w:t>
      </w:r>
      <w:r w:rsidR="009C4534">
        <w:t>En noe større andel av k</w:t>
      </w:r>
      <w:r w:rsidR="00CB5651">
        <w:t>vinn</w:t>
      </w:r>
      <w:r w:rsidR="007063B8">
        <w:t xml:space="preserve">elige enn mannlige studenter </w:t>
      </w:r>
      <w:r w:rsidR="003009D5">
        <w:t xml:space="preserve">deltar </w:t>
      </w:r>
      <w:r w:rsidR="00AA6138">
        <w:t xml:space="preserve">på fleksible utdanningstilbud. </w:t>
      </w:r>
      <w:r w:rsidR="00577106">
        <w:t xml:space="preserve">Mens kvinner utgjør </w:t>
      </w:r>
      <w:r w:rsidR="001F703A">
        <w:t xml:space="preserve">60 prosent av alle studenter, utgjør de hele 71 </w:t>
      </w:r>
      <w:r w:rsidR="001F703A">
        <w:lastRenderedPageBreak/>
        <w:t>prosent av studenter på fleksible tilbud.</w:t>
      </w:r>
      <w:r w:rsidR="007B05A7">
        <w:t xml:space="preserve"> Se </w:t>
      </w:r>
      <w:hyperlink r:id="rId57" w:history="1">
        <w:r w:rsidR="007B05A7" w:rsidRPr="004F2B56">
          <w:rPr>
            <w:rStyle w:val="Hyperkobling"/>
          </w:rPr>
          <w:t>V</w:t>
        </w:r>
        <w:r w:rsidR="00A4461A" w:rsidRPr="004F2B56">
          <w:rPr>
            <w:rStyle w:val="Hyperkobling"/>
          </w:rPr>
          <w:t>2</w:t>
        </w:r>
        <w:r w:rsidR="00615958" w:rsidRPr="004F2B56">
          <w:rPr>
            <w:rStyle w:val="Hyperkobling"/>
          </w:rPr>
          <w:t>.10</w:t>
        </w:r>
      </w:hyperlink>
      <w:r w:rsidR="00615958">
        <w:t xml:space="preserve"> for </w:t>
      </w:r>
      <w:r w:rsidR="00157A91">
        <w:t xml:space="preserve">detaljer om studenter på fleksible program etter alderskategori og kjønn. </w:t>
      </w:r>
    </w:p>
    <w:p w14:paraId="335ABBCB" w14:textId="463FFBB5" w:rsidR="007C359D" w:rsidRDefault="003A52B6" w:rsidP="00A81188">
      <w:r>
        <w:t>Det er stor</w:t>
      </w:r>
      <w:r w:rsidR="00257093">
        <w:t xml:space="preserve">e forskjeller mellom institusjonene i antall </w:t>
      </w:r>
      <w:r w:rsidR="008B0081">
        <w:t xml:space="preserve">og </w:t>
      </w:r>
      <w:r w:rsidR="00954608">
        <w:t xml:space="preserve">andel </w:t>
      </w:r>
      <w:r w:rsidR="00257093">
        <w:t>studenter på fleksible tilbud</w:t>
      </w:r>
      <w:r w:rsidR="009F2D83">
        <w:t>,</w:t>
      </w:r>
      <w:r w:rsidR="006B7BCC">
        <w:t xml:space="preserve"> </w:t>
      </w:r>
      <w:r w:rsidR="007B15ED">
        <w:t>se</w:t>
      </w:r>
      <w:r w:rsidR="002A5671">
        <w:t xml:space="preserve"> </w:t>
      </w:r>
      <w:hyperlink r:id="rId58" w:history="1">
        <w:r w:rsidR="002A5671" w:rsidRPr="004F2B56">
          <w:rPr>
            <w:rStyle w:val="Hyperkobling"/>
          </w:rPr>
          <w:t>V2.</w:t>
        </w:r>
        <w:r w:rsidR="00323039" w:rsidRPr="004F2B56">
          <w:rPr>
            <w:rStyle w:val="Hyperkobling"/>
          </w:rPr>
          <w:t>16</w:t>
        </w:r>
      </w:hyperlink>
      <w:r w:rsidR="00742D5D">
        <w:t xml:space="preserve">. Mens </w:t>
      </w:r>
      <w:r w:rsidR="00587B0E">
        <w:t xml:space="preserve">UiO i 2022 hadde </w:t>
      </w:r>
      <w:r w:rsidR="00F06081">
        <w:t xml:space="preserve">0,4 prosent av sine studenter på fleksible tilbud, var </w:t>
      </w:r>
      <w:r w:rsidR="007F34D5">
        <w:t xml:space="preserve">andelen </w:t>
      </w:r>
      <w:r w:rsidR="00130B2C">
        <w:t>43 prosent ved HK</w:t>
      </w:r>
      <w:r w:rsidR="00541124">
        <w:t>, som har satset tungt</w:t>
      </w:r>
      <w:r w:rsidR="00501B03">
        <w:t xml:space="preserve"> på</w:t>
      </w:r>
      <w:r w:rsidR="0025294F">
        <w:t xml:space="preserve"> </w:t>
      </w:r>
      <w:r w:rsidR="00541124">
        <w:t xml:space="preserve">nettstudier. HK alene </w:t>
      </w:r>
      <w:r w:rsidR="006B2C2D">
        <w:t xml:space="preserve">har 30 prosent av alle nettstudenter i </w:t>
      </w:r>
      <w:r w:rsidR="002B22DB">
        <w:t>høyere utdanning</w:t>
      </w:r>
      <w:r w:rsidR="006B2C2D">
        <w:t>.</w:t>
      </w:r>
      <w:r w:rsidR="00541124">
        <w:t xml:space="preserve"> </w:t>
      </w:r>
      <w:r w:rsidR="00C934EC">
        <w:t>Når vi sammenlikner studenttall fra SSB</w:t>
      </w:r>
      <w:r w:rsidR="00A56722">
        <w:t xml:space="preserve"> – der studenter </w:t>
      </w:r>
      <w:r w:rsidR="00BE380D">
        <w:t xml:space="preserve">registrert ved flere institusjoner kun telles en gang – med tall fra </w:t>
      </w:r>
      <w:proofErr w:type="spellStart"/>
      <w:r w:rsidR="00BE380D">
        <w:t>DBH</w:t>
      </w:r>
      <w:proofErr w:type="spellEnd"/>
      <w:r w:rsidR="00375EA7">
        <w:t xml:space="preserve"> – som oppgir antall registrerte studenter per institusjon, kan det tyde på at </w:t>
      </w:r>
      <w:r w:rsidR="0071624F">
        <w:t>et betydelig antall a</w:t>
      </w:r>
      <w:r w:rsidR="007A72CD">
        <w:t>v</w:t>
      </w:r>
      <w:r w:rsidR="0071624F">
        <w:t xml:space="preserve"> studentene ved HK i 2022 også var registrert ved annen institusjon. </w:t>
      </w:r>
      <w:r w:rsidR="006907AE">
        <w:t xml:space="preserve">Dette er interessant med tanke </w:t>
      </w:r>
      <w:r w:rsidR="00DB2350">
        <w:t>på bruken av fleksible tilbud.</w:t>
      </w:r>
      <w:r w:rsidR="006907AE">
        <w:t xml:space="preserve"> </w:t>
      </w:r>
    </w:p>
    <w:p w14:paraId="4AAC2D7C" w14:textId="6C539C59" w:rsidR="003A52B6" w:rsidRDefault="001E5EDA" w:rsidP="00A81188">
      <w:r>
        <w:t>Av de statlige institusjonene hadde HVO h</w:t>
      </w:r>
      <w:r w:rsidR="00187753">
        <w:t xml:space="preserve">øyest andel </w:t>
      </w:r>
      <w:r w:rsidR="000330EA">
        <w:t>studenter på fleksible tilbud</w:t>
      </w:r>
      <w:r w:rsidR="00187753">
        <w:t xml:space="preserve"> </w:t>
      </w:r>
      <w:r w:rsidR="002C2CA6">
        <w:t>med 31 prosent</w:t>
      </w:r>
      <w:r>
        <w:t>,</w:t>
      </w:r>
      <w:r w:rsidR="000E0BC0">
        <w:t xml:space="preserve"> etterfulgt av </w:t>
      </w:r>
      <w:proofErr w:type="spellStart"/>
      <w:r w:rsidR="000E0BC0">
        <w:t>HINN</w:t>
      </w:r>
      <w:proofErr w:type="spellEnd"/>
      <w:r w:rsidR="000E0BC0">
        <w:t xml:space="preserve"> med </w:t>
      </w:r>
      <w:r w:rsidR="00980E32">
        <w:t>19 prosent</w:t>
      </w:r>
      <w:r w:rsidR="00E2734E">
        <w:t xml:space="preserve"> og </w:t>
      </w:r>
      <w:proofErr w:type="spellStart"/>
      <w:r w:rsidR="00E2734E">
        <w:t>HiØ</w:t>
      </w:r>
      <w:proofErr w:type="spellEnd"/>
      <w:r w:rsidR="00E2734E">
        <w:t xml:space="preserve"> og UiT, begge med </w:t>
      </w:r>
      <w:r w:rsidR="00EB566C">
        <w:t>17 prosent.</w:t>
      </w:r>
      <w:r w:rsidR="00D36AB7">
        <w:t xml:space="preserve"> </w:t>
      </w:r>
      <w:r w:rsidR="007F78DF">
        <w:t>For HVO er det nettilbud som dominerer</w:t>
      </w:r>
      <w:r w:rsidR="006D70B0">
        <w:t xml:space="preserve">, mens </w:t>
      </w:r>
      <w:proofErr w:type="spellStart"/>
      <w:r w:rsidR="00676799">
        <w:t>HINN</w:t>
      </w:r>
      <w:proofErr w:type="spellEnd"/>
      <w:r w:rsidR="00676799">
        <w:t xml:space="preserve"> ha</w:t>
      </w:r>
      <w:r w:rsidR="00C57605">
        <w:t xml:space="preserve">r </w:t>
      </w:r>
      <w:r w:rsidR="00723DB2">
        <w:t xml:space="preserve">mye undervisning utenfor </w:t>
      </w:r>
      <w:r w:rsidR="0086713C">
        <w:t xml:space="preserve">institusjonenes ordinære studiesteder, ved </w:t>
      </w:r>
      <w:r w:rsidR="00B2014D">
        <w:t>høgskolesenteret på Kongsvinger og studie- og høgskolesenteret på Tynset.</w:t>
      </w:r>
      <w:r w:rsidR="00D36AB7">
        <w:t xml:space="preserve"> </w:t>
      </w:r>
      <w:r w:rsidR="00780399">
        <w:t xml:space="preserve">Skillet mellom disiplinorienterte </w:t>
      </w:r>
      <w:r w:rsidR="00986407">
        <w:t xml:space="preserve">og profesjonsrettede </w:t>
      </w:r>
      <w:r w:rsidR="00780399" w:rsidDel="00753AF3">
        <w:t>institusjoner</w:t>
      </w:r>
      <w:r w:rsidR="00780399">
        <w:t xml:space="preserve"> </w:t>
      </w:r>
      <w:r w:rsidR="00986407">
        <w:t>preger</w:t>
      </w:r>
      <w:r w:rsidR="009444F2">
        <w:t xml:space="preserve"> den institusjonsvise variasjonen</w:t>
      </w:r>
      <w:r w:rsidR="007A0607">
        <w:t>.</w:t>
      </w:r>
      <w:r w:rsidR="009444F2">
        <w:t xml:space="preserve"> </w:t>
      </w:r>
      <w:r w:rsidR="007A0607">
        <w:t>I</w:t>
      </w:r>
      <w:r w:rsidR="00A303F5">
        <w:t>nstitusjoner</w:t>
      </w:r>
      <w:r w:rsidR="00891EF5">
        <w:t xml:space="preserve"> med stort innslag av profesjons</w:t>
      </w:r>
      <w:r w:rsidR="002F60E6">
        <w:t>utdanning</w:t>
      </w:r>
      <w:r w:rsidR="00A303F5" w:rsidDel="002F60E6">
        <w:t xml:space="preserve"> </w:t>
      </w:r>
      <w:r w:rsidR="00A303F5">
        <w:t>har g</w:t>
      </w:r>
      <w:r w:rsidR="00C56832">
        <w:t xml:space="preserve">jennomgående flere studenter på fleksible tilbud, </w:t>
      </w:r>
      <w:r w:rsidR="006D0A17">
        <w:t xml:space="preserve">i de fleste tilfeller mellom 10 og 20 prosent. </w:t>
      </w:r>
      <w:r w:rsidR="00B13196">
        <w:t>Blant institusjone</w:t>
      </w:r>
      <w:r w:rsidR="002F60E6">
        <w:t>ne</w:t>
      </w:r>
      <w:r w:rsidR="00B13196">
        <w:t xml:space="preserve"> med </w:t>
      </w:r>
      <w:r w:rsidR="002E458E">
        <w:t>betydelig innslag</w:t>
      </w:r>
      <w:r w:rsidR="00E3160A">
        <w:t xml:space="preserve"> av profesjonsutdanninger skiller </w:t>
      </w:r>
      <w:proofErr w:type="spellStart"/>
      <w:r w:rsidR="00DF3608">
        <w:t>UiS</w:t>
      </w:r>
      <w:proofErr w:type="spellEnd"/>
      <w:r w:rsidR="00DF3608">
        <w:t xml:space="preserve"> </w:t>
      </w:r>
      <w:r w:rsidR="002B6424">
        <w:t>seg noe ut</w:t>
      </w:r>
      <w:r w:rsidR="007A4934">
        <w:t xml:space="preserve"> ved at </w:t>
      </w:r>
      <w:r w:rsidR="000D4E5F">
        <w:t xml:space="preserve">bare </w:t>
      </w:r>
      <w:r w:rsidR="008960DD">
        <w:t xml:space="preserve">3 prosent </w:t>
      </w:r>
      <w:r w:rsidR="007A4934">
        <w:t xml:space="preserve">av </w:t>
      </w:r>
      <w:r w:rsidR="008960DD">
        <w:t>student</w:t>
      </w:r>
      <w:r w:rsidR="007A4934">
        <w:t>ene er registrert</w:t>
      </w:r>
      <w:r w:rsidR="008960DD">
        <w:t xml:space="preserve"> på den type tilbud.</w:t>
      </w:r>
    </w:p>
    <w:p w14:paraId="4D653D60" w14:textId="25D75930" w:rsidR="002C5472" w:rsidRDefault="001E58C4" w:rsidP="00FE310B">
      <w:r>
        <w:t xml:space="preserve">De to kategoriene </w:t>
      </w:r>
      <w:r w:rsidR="00342112">
        <w:t>«desent</w:t>
      </w:r>
      <w:r w:rsidR="00A7092A">
        <w:t>ralisert» og «nettbasert»</w:t>
      </w:r>
      <w:r w:rsidR="00024BAE">
        <w:t xml:space="preserve"> fanger imidlertid ikke opp alle utdanningstilbud som </w:t>
      </w:r>
      <w:r w:rsidR="00D07D86">
        <w:t>gir studenter fleksibilitet i studier med tanke på bosted eller livssituasjon.</w:t>
      </w:r>
      <w:r w:rsidR="00600C9C">
        <w:t xml:space="preserve"> </w:t>
      </w:r>
      <w:r w:rsidR="007E22C4">
        <w:t>Gjennomgang av institusjonenes studiekataloger tyder på at e</w:t>
      </w:r>
      <w:r w:rsidR="00C64128">
        <w:t>t</w:t>
      </w:r>
      <w:r w:rsidR="00A52740">
        <w:t xml:space="preserve"> ikke ubetydelig </w:t>
      </w:r>
      <w:r w:rsidR="00C64128">
        <w:t xml:space="preserve">antall studieprogrammer registrert med «undervisning ved institusjonen» </w:t>
      </w:r>
      <w:r w:rsidR="00C62C9D">
        <w:t>likevel</w:t>
      </w:r>
      <w:r w:rsidR="000B78B3">
        <w:t xml:space="preserve"> er</w:t>
      </w:r>
      <w:r w:rsidR="00F47372">
        <w:t xml:space="preserve"> fleksible ved at de </w:t>
      </w:r>
      <w:r w:rsidR="00A4798B">
        <w:t xml:space="preserve">er basert på </w:t>
      </w:r>
      <w:r w:rsidR="000140D3">
        <w:t xml:space="preserve">periodiske samlinger ved </w:t>
      </w:r>
      <w:r w:rsidR="00D45CCD">
        <w:t xml:space="preserve">en institusjonscampus. </w:t>
      </w:r>
      <w:r w:rsidR="00AC1038">
        <w:t xml:space="preserve">Slike </w:t>
      </w:r>
      <w:r w:rsidR="00A4324E">
        <w:t>program henvender seg ofte til studenter som ikke ønsker å flytte til</w:t>
      </w:r>
      <w:r w:rsidR="000B210E">
        <w:t xml:space="preserve"> et studiested</w:t>
      </w:r>
      <w:r w:rsidR="00A90084">
        <w:t xml:space="preserve">. </w:t>
      </w:r>
      <w:r w:rsidR="00EA17EE">
        <w:t>Majoriteten av slike tilbud er</w:t>
      </w:r>
      <w:r w:rsidR="00A90084">
        <w:t xml:space="preserve"> trolig også</w:t>
      </w:r>
      <w:r w:rsidR="00EA17EE">
        <w:t xml:space="preserve"> </w:t>
      </w:r>
      <w:r w:rsidR="007471EB">
        <w:t xml:space="preserve">deltidsprogrammer og gir dermed fleksibilitet også </w:t>
      </w:r>
      <w:r w:rsidR="00FF5ADF">
        <w:t>lang</w:t>
      </w:r>
      <w:r w:rsidR="00E56B5D">
        <w:t>s tidsdimensjonen.</w:t>
      </w:r>
    </w:p>
    <w:p w14:paraId="5A0EB689" w14:textId="7565CB6A" w:rsidR="00B1571F" w:rsidRDefault="00D92E9C" w:rsidP="00FE310B">
      <w:r>
        <w:t>De</w:t>
      </w:r>
      <w:r w:rsidR="00C84F0B">
        <w:t xml:space="preserve">t er interessant å se </w:t>
      </w:r>
      <w:r w:rsidR="00695390">
        <w:t xml:space="preserve">på </w:t>
      </w:r>
      <w:r w:rsidR="00C0705C">
        <w:t>«desentraliserte» og «nettbaserte»</w:t>
      </w:r>
      <w:r w:rsidR="00122370">
        <w:t xml:space="preserve"> programmer</w:t>
      </w:r>
      <w:r w:rsidR="00C0705C">
        <w:t xml:space="preserve"> </w:t>
      </w:r>
      <w:r w:rsidR="00695390">
        <w:t>sammen</w:t>
      </w:r>
      <w:r w:rsidR="00122370">
        <w:t xml:space="preserve"> med</w:t>
      </w:r>
      <w:r w:rsidR="00695390">
        <w:t xml:space="preserve"> </w:t>
      </w:r>
      <w:r w:rsidR="00122370" w:rsidRPr="00122370">
        <w:t>deltids</w:t>
      </w:r>
      <w:r w:rsidR="00122370">
        <w:softHyphen/>
      </w:r>
      <w:r w:rsidR="00122370" w:rsidRPr="00122370">
        <w:t xml:space="preserve">organiserte programmer </w:t>
      </w:r>
      <w:r w:rsidR="00630A5D">
        <w:t>registrert med «</w:t>
      </w:r>
      <w:r w:rsidR="00064536">
        <w:t>undervisning ved institusjonen»</w:t>
      </w:r>
      <w:r w:rsidR="004C6159">
        <w:t xml:space="preserve">. </w:t>
      </w:r>
      <w:r w:rsidR="00590DA6">
        <w:t>Da finner vi at 25 prosent av alle studenter</w:t>
      </w:r>
      <w:r w:rsidR="00FC5D2C">
        <w:t xml:space="preserve"> er registrert på </w:t>
      </w:r>
      <w:r w:rsidR="007B7B7D">
        <w:t xml:space="preserve">et program </w:t>
      </w:r>
      <w:r w:rsidR="0096329C">
        <w:t>som er enten «</w:t>
      </w:r>
      <w:r w:rsidR="00EC67AD">
        <w:t>desentralisert</w:t>
      </w:r>
      <w:r w:rsidR="0096329C">
        <w:t>»</w:t>
      </w:r>
      <w:r w:rsidR="00EC67AD">
        <w:t>, «nettbasert» eller deltid</w:t>
      </w:r>
      <w:r w:rsidR="00D90000">
        <w:t>,</w:t>
      </w:r>
      <w:r w:rsidR="00620ED8">
        <w:t xml:space="preserve"> </w:t>
      </w:r>
      <w:r w:rsidR="00D90000">
        <w:t xml:space="preserve">og at forskjellen mellom institusjonene er stor. </w:t>
      </w:r>
      <w:r w:rsidR="00620ED8">
        <w:t>HK</w:t>
      </w:r>
      <w:r w:rsidR="00CD21C5">
        <w:t>,</w:t>
      </w:r>
      <w:r w:rsidR="00620ED8">
        <w:t xml:space="preserve"> </w:t>
      </w:r>
      <w:proofErr w:type="spellStart"/>
      <w:r w:rsidR="00620ED8">
        <w:t>HINN</w:t>
      </w:r>
      <w:proofErr w:type="spellEnd"/>
      <w:r w:rsidR="00620ED8">
        <w:t xml:space="preserve">, SH og HVO har om lag eller noe over halvparten av </w:t>
      </w:r>
      <w:r w:rsidR="00AA021F">
        <w:t>sine</w:t>
      </w:r>
      <w:r w:rsidR="003909C4">
        <w:t xml:space="preserve"> </w:t>
      </w:r>
      <w:r w:rsidR="00620ED8">
        <w:t xml:space="preserve">studenter på slike tilbud, </w:t>
      </w:r>
      <w:r w:rsidR="00AA1031">
        <w:t>mens</w:t>
      </w:r>
      <w:r w:rsidR="00BA630B">
        <w:t xml:space="preserve"> andelen ved </w:t>
      </w:r>
      <w:r w:rsidR="00D15C19">
        <w:t>UiO, NHH, NTNU</w:t>
      </w:r>
      <w:r w:rsidR="004F5DA6">
        <w:t xml:space="preserve"> og UiB </w:t>
      </w:r>
      <w:r w:rsidR="00A55064">
        <w:t xml:space="preserve">er </w:t>
      </w:r>
      <w:r w:rsidR="004F5DA6">
        <w:t>mellom 11 og 15 prosent.</w:t>
      </w:r>
      <w:r w:rsidR="0000079E">
        <w:t xml:space="preserve"> I</w:t>
      </w:r>
      <w:r w:rsidR="000B5DED">
        <w:t xml:space="preserve">følge tall fra OECD </w:t>
      </w:r>
      <w:r w:rsidR="005611CB">
        <w:t>er Norge blant landene med høyest andel deltidsstudenter i høyere utdanning</w:t>
      </w:r>
      <w:r w:rsidR="00401178">
        <w:t xml:space="preserve"> </w:t>
      </w:r>
      <w:r w:rsidR="00383C75">
        <w:fldChar w:fldCharType="begin"/>
      </w:r>
      <w:r w:rsidR="00383C75">
        <w:instrText xml:space="preserve"> ADDIN EN.CITE &lt;EndNote&gt;&lt;Cite&gt;&lt;Author&gt;OECD&lt;/Author&gt;&lt;Year&gt;2022&lt;/Year&gt;&lt;RecNum&gt;1858&lt;/RecNum&gt;&lt;DisplayText&gt;(OECD, 2022)&lt;/DisplayText&gt;&lt;record&gt;&lt;rec-number&gt;1858&lt;/rec-number&gt;&lt;foreign-keys&gt;&lt;key app="EN" db-id="s09wp0wxtwz9aue509w52eagvset90vxefrw" timestamp="1683216212" guid="2a64a625-ac02-4e7e-b1d4-a4fafec34a91"&gt;1858&lt;/key&gt;&lt;/foreign-keys&gt;&lt;ref-type name="Report"&gt;27&lt;/ref-type&gt;&lt;contributors&gt;&lt;authors&gt;&lt;author&gt;OECD&lt;/author&gt;&lt;/authors&gt;&lt;tertiary-authors&gt;&lt;author&gt;OECD&lt;/author&gt;&lt;/tertiary-authors&gt;&lt;/contributors&gt;&lt;titles&gt;&lt;title&gt;Education at a Glance 2022. OECD indicators.&lt;/title&gt;&lt;/titles&gt;&lt;dates&gt;&lt;year&gt;2022&lt;/year&gt;&lt;/dates&gt;&lt;publisher&gt;OECD&lt;/publisher&gt;&lt;urls&gt;&lt;related-urls&gt;&lt;url&gt;https://www.oecd-ilibrary.org/docserver/3197152b-en.pdf?expires=1682492344&amp;amp;id=id&amp;amp;accname=guest&amp;amp;checksum=DA0DEA2F06ECE694F656E268BC9834A2&lt;/url&gt;&lt;/related-urls&gt;&lt;/urls&gt;&lt;/record&gt;&lt;/Cite&gt;&lt;/EndNote&gt;</w:instrText>
      </w:r>
      <w:r w:rsidR="00383C75">
        <w:fldChar w:fldCharType="separate"/>
      </w:r>
      <w:r w:rsidR="00383C75">
        <w:rPr>
          <w:noProof/>
        </w:rPr>
        <w:t>(OECD, 2022)</w:t>
      </w:r>
      <w:r w:rsidR="00383C75">
        <w:fldChar w:fldCharType="end"/>
      </w:r>
      <w:r w:rsidR="000708C3">
        <w:t>.</w:t>
      </w:r>
      <w:r w:rsidR="000708C3">
        <w:rPr>
          <w:rStyle w:val="Fotnotereferanse"/>
        </w:rPr>
        <w:footnoteReference w:id="6"/>
      </w:r>
    </w:p>
    <w:p w14:paraId="364766D5" w14:textId="352A4CA4" w:rsidR="00014442" w:rsidRDefault="002C3FF0">
      <w:pPr>
        <w:rPr>
          <w:rFonts w:asciiTheme="majorHAnsi" w:eastAsiaTheme="majorEastAsia" w:hAnsiTheme="majorHAnsi" w:cstheme="majorBidi"/>
          <w:b/>
          <w:color w:val="362683"/>
          <w:sz w:val="24"/>
          <w:szCs w:val="26"/>
        </w:rPr>
      </w:pPr>
      <w:r>
        <w:t xml:space="preserve">Måten </w:t>
      </w:r>
      <w:r w:rsidR="00074C46">
        <w:t xml:space="preserve">studieprogram registreres på i dag </w:t>
      </w:r>
      <w:r w:rsidR="00C32C44">
        <w:t xml:space="preserve">er </w:t>
      </w:r>
      <w:r w:rsidR="00417B55">
        <w:t xml:space="preserve">ikke egnet til å </w:t>
      </w:r>
      <w:r w:rsidR="005C11A9">
        <w:t xml:space="preserve">fange opp den økende kompleksiteten som kjennetegner </w:t>
      </w:r>
      <w:r w:rsidR="00B633DA">
        <w:t>utdanningstilbudet.</w:t>
      </w:r>
      <w:r w:rsidR="00C64913">
        <w:t xml:space="preserve"> Alternativene «undervisning ved institusjonen», «desentralisert undervisning» og «nettbasert undervisning» er ikke </w:t>
      </w:r>
      <w:r w:rsidR="006C5941">
        <w:t xml:space="preserve">gjensidig utelukkende og fanger ikke opp nyansene i fleksibiliteten som </w:t>
      </w:r>
      <w:r w:rsidR="00464714">
        <w:t>finnes.</w:t>
      </w:r>
      <w:r w:rsidR="00A534C9">
        <w:t xml:space="preserve"> </w:t>
      </w:r>
      <w:r w:rsidR="00336A88">
        <w:t>For å s</w:t>
      </w:r>
      <w:r w:rsidR="000A495A">
        <w:t xml:space="preserve">tyrke kunnskapen om </w:t>
      </w:r>
      <w:r w:rsidR="00016644">
        <w:t>graden av fleksibilitet i høyere utdanning har HK-</w:t>
      </w:r>
      <w:proofErr w:type="spellStart"/>
      <w:r w:rsidR="00016644">
        <w:t>dir</w:t>
      </w:r>
      <w:proofErr w:type="spellEnd"/>
      <w:r w:rsidR="00016644">
        <w:t xml:space="preserve"> satt i gang et arbeid </w:t>
      </w:r>
      <w:r w:rsidR="00BE0481">
        <w:t xml:space="preserve">for å </w:t>
      </w:r>
      <w:r w:rsidR="00A523B8">
        <w:t>få på plass en mer hensiktsmessig registrering</w:t>
      </w:r>
      <w:r w:rsidR="00B82B1B">
        <w:t xml:space="preserve"> av</w:t>
      </w:r>
      <w:r w:rsidR="00C9704D">
        <w:t xml:space="preserve"> studietilbudenes organisering</w:t>
      </w:r>
      <w:r w:rsidR="00CA5B2F">
        <w:t>.</w:t>
      </w:r>
      <w:r w:rsidR="00014442">
        <w:br w:type="page"/>
      </w:r>
    </w:p>
    <w:p w14:paraId="4CF646EB" w14:textId="583ECD23" w:rsidR="001A0C64" w:rsidRDefault="00014FFC" w:rsidP="00AE4B98">
      <w:pPr>
        <w:pStyle w:val="Overskrift3"/>
      </w:pPr>
      <w:bookmarkStart w:id="79" w:name="_Toc134792729"/>
      <w:r>
        <w:lastRenderedPageBreak/>
        <w:t xml:space="preserve">Bruk og utbytte av </w:t>
      </w:r>
      <w:r w:rsidR="00080CB5">
        <w:t>digitale verktøy i høyere utdanning</w:t>
      </w:r>
      <w:bookmarkEnd w:id="79"/>
    </w:p>
    <w:p w14:paraId="10AE578E" w14:textId="3B6F34FC" w:rsidR="00741825" w:rsidRDefault="003D26A2">
      <w:r>
        <w:t xml:space="preserve">I studiebarometeret har studentene </w:t>
      </w:r>
      <w:r w:rsidR="00A51126">
        <w:t xml:space="preserve">blitt stilt spørsmål om </w:t>
      </w:r>
      <w:r w:rsidR="00B0551C">
        <w:t xml:space="preserve">bruk </w:t>
      </w:r>
      <w:r w:rsidR="006652F6">
        <w:t xml:space="preserve">og vurdering </w:t>
      </w:r>
      <w:r w:rsidR="00B0551C">
        <w:t>av digitale verktøy i undervisni</w:t>
      </w:r>
      <w:r w:rsidR="006652F6">
        <w:t>ngen. Tilstands</w:t>
      </w:r>
      <w:r w:rsidR="00361355">
        <w:t xml:space="preserve">rapporten for høyere utdanning 2022 viste </w:t>
      </w:r>
      <w:r w:rsidR="00C85C82">
        <w:t>en tidsserie fra</w:t>
      </w:r>
      <w:r w:rsidR="00B7780A">
        <w:t xml:space="preserve"> </w:t>
      </w:r>
      <w:r w:rsidR="00C85C82">
        <w:t>2018</w:t>
      </w:r>
      <w:r w:rsidR="00697688">
        <w:t xml:space="preserve"> til 2021</w:t>
      </w:r>
      <w:r w:rsidR="00117F13">
        <w:t xml:space="preserve"> </w:t>
      </w:r>
      <w:r w:rsidR="0000186E">
        <w:t xml:space="preserve">med marginale endringer </w:t>
      </w:r>
      <w:r w:rsidR="006A0099">
        <w:t xml:space="preserve">gjennom perioden. </w:t>
      </w:r>
      <w:r w:rsidR="00991C5F">
        <w:t xml:space="preserve">Den samlede indeksverdien var marginalt lavere </w:t>
      </w:r>
      <w:r w:rsidR="00803F86">
        <w:t xml:space="preserve">i 2021 og 2020 enn i </w:t>
      </w:r>
      <w:r w:rsidR="00285621">
        <w:t>de to årene før</w:t>
      </w:r>
      <w:r w:rsidR="001C6882">
        <w:t>.</w:t>
      </w:r>
    </w:p>
    <w:p w14:paraId="3DDD846D" w14:textId="0F1EE617" w:rsidR="00547EFC" w:rsidRDefault="00285621">
      <w:r>
        <w:t xml:space="preserve">I Studiebarometeret 2022 </w:t>
      </w:r>
      <w:r w:rsidR="000F16C3">
        <w:t xml:space="preserve">var spørsmålsbatteriet </w:t>
      </w:r>
      <w:r w:rsidR="00FD0F20">
        <w:t>om</w:t>
      </w:r>
      <w:r w:rsidR="006544E9">
        <w:t xml:space="preserve"> bruk og læringsutbytte av </w:t>
      </w:r>
      <w:r w:rsidR="00FD0F20">
        <w:t xml:space="preserve">digitale </w:t>
      </w:r>
      <w:r w:rsidR="00C6066B">
        <w:t xml:space="preserve">verktøy i </w:t>
      </w:r>
      <w:r w:rsidR="00BA145A">
        <w:t xml:space="preserve">undervisningen </w:t>
      </w:r>
      <w:r w:rsidR="00B129FF">
        <w:t xml:space="preserve">videreutviklet og bygd ut. </w:t>
      </w:r>
      <w:r w:rsidR="005C1577">
        <w:t xml:space="preserve">Et hovedformål med endringen var mer systematisk å kartlegge bruken av digitale verktøy og </w:t>
      </w:r>
      <w:r w:rsidR="00986628">
        <w:t xml:space="preserve">studentenes vurdering av hvordan </w:t>
      </w:r>
      <w:r w:rsidR="002803D1">
        <w:t>ulike verktøy bidrar til læringsutbytte.</w:t>
      </w:r>
      <w:r w:rsidR="006612F9">
        <w:t xml:space="preserve"> </w:t>
      </w:r>
      <w:r w:rsidR="00E40C30">
        <w:t xml:space="preserve">Bare studenter </w:t>
      </w:r>
      <w:r w:rsidR="002E6CC9">
        <w:t>som svar</w:t>
      </w:r>
      <w:r w:rsidR="007934A0">
        <w:t>t</w:t>
      </w:r>
      <w:r w:rsidR="002E6CC9">
        <w:t xml:space="preserve">e at de hadde brukt de </w:t>
      </w:r>
      <w:r w:rsidR="00B307EF">
        <w:t>respektive verktøyene</w:t>
      </w:r>
      <w:r w:rsidR="00660EEF">
        <w:t xml:space="preserve">, ble bedt </w:t>
      </w:r>
      <w:r w:rsidR="008D18A5">
        <w:t>om å vurdere</w:t>
      </w:r>
      <w:r w:rsidR="00F6113A">
        <w:t xml:space="preserve"> i hvilken grad verktøyet bidro til god læring. </w:t>
      </w:r>
      <w:r w:rsidR="006612F9">
        <w:t xml:space="preserve">At spørsmålene </w:t>
      </w:r>
      <w:r w:rsidR="00C42D9C">
        <w:t>var</w:t>
      </w:r>
      <w:r w:rsidR="006612F9">
        <w:t xml:space="preserve"> nye </w:t>
      </w:r>
      <w:r w:rsidR="00C42D9C">
        <w:t>i 2022, i</w:t>
      </w:r>
      <w:r w:rsidR="00057AD5">
        <w:t xml:space="preserve">nnebærer at </w:t>
      </w:r>
      <w:r w:rsidR="00AA3144">
        <w:t>data på dette området</w:t>
      </w:r>
      <w:r w:rsidR="00057AD5">
        <w:t xml:space="preserve"> ikke kan sammenliknes med </w:t>
      </w:r>
      <w:r w:rsidR="00AA3144">
        <w:t>tidligere årganger av Studiebarometeret.</w:t>
      </w:r>
    </w:p>
    <w:p w14:paraId="0E751FAB" w14:textId="301E4D44" w:rsidR="006612F9" w:rsidRDefault="00B3742D" w:rsidP="00916920">
      <w:r>
        <w:fldChar w:fldCharType="begin"/>
      </w:r>
      <w:r>
        <w:instrText xml:space="preserve"> REF _Ref130560410 \h </w:instrText>
      </w:r>
      <w:r>
        <w:fldChar w:fldCharType="separate"/>
      </w:r>
      <w:r w:rsidR="00F262EF">
        <w:t xml:space="preserve">Figur </w:t>
      </w:r>
      <w:r w:rsidR="00F262EF">
        <w:rPr>
          <w:noProof/>
        </w:rPr>
        <w:t>2</w:t>
      </w:r>
      <w:r w:rsidR="00F262EF">
        <w:t>.</w:t>
      </w:r>
      <w:r w:rsidR="00F262EF">
        <w:rPr>
          <w:noProof/>
        </w:rPr>
        <w:t>14</w:t>
      </w:r>
      <w:r>
        <w:fldChar w:fldCharType="end"/>
      </w:r>
      <w:r>
        <w:t xml:space="preserve"> </w:t>
      </w:r>
      <w:r w:rsidR="00F910EF">
        <w:t xml:space="preserve">under </w:t>
      </w:r>
      <w:r w:rsidR="002F380E">
        <w:t xml:space="preserve">viser </w:t>
      </w:r>
      <w:r w:rsidR="00CF253A">
        <w:t xml:space="preserve">svarfordelingen i Studiebarometeret </w:t>
      </w:r>
      <w:r w:rsidR="00AA419D">
        <w:t>for</w:t>
      </w:r>
      <w:r w:rsidR="00147EA1">
        <w:t xml:space="preserve"> spørsmålet om bruk av digitale verktøy. </w:t>
      </w:r>
      <w:r w:rsidR="00AE51F6">
        <w:t xml:space="preserve">Flere enn </w:t>
      </w:r>
      <w:r w:rsidR="00D07821">
        <w:t xml:space="preserve">9 av 10 </w:t>
      </w:r>
      <w:r w:rsidR="00D46655">
        <w:t xml:space="preserve">respondenter oppga å ha brukt </w:t>
      </w:r>
      <w:r w:rsidR="00C50317">
        <w:t>digitale læringsplattformer</w:t>
      </w:r>
      <w:r w:rsidR="00D46655">
        <w:t xml:space="preserve"> av og til eller ofte</w:t>
      </w:r>
      <w:r w:rsidR="00216E5C">
        <w:t xml:space="preserve">, mens </w:t>
      </w:r>
      <w:r w:rsidR="00EF56E2">
        <w:t xml:space="preserve">7 av 10 svarte det samme om </w:t>
      </w:r>
      <w:r w:rsidR="00F40981">
        <w:t xml:space="preserve">samhandlingsverktøy. </w:t>
      </w:r>
      <w:r w:rsidR="00B621C6">
        <w:t xml:space="preserve">I overkant av </w:t>
      </w:r>
      <w:r w:rsidR="00796401">
        <w:t xml:space="preserve">halvparten </w:t>
      </w:r>
      <w:r w:rsidR="00F369E5">
        <w:t>hadde brukt fagrelevant programvare</w:t>
      </w:r>
      <w:r w:rsidR="0023548E">
        <w:t xml:space="preserve"> og like mange </w:t>
      </w:r>
      <w:r w:rsidR="00754704">
        <w:t xml:space="preserve">hadde hatt undervisning i digitalt format. </w:t>
      </w:r>
      <w:r w:rsidR="00E04623">
        <w:t xml:space="preserve">4 av </w:t>
      </w:r>
      <w:r w:rsidR="007969CE">
        <w:t>10 hadde</w:t>
      </w:r>
      <w:r w:rsidR="000678C1">
        <w:t xml:space="preserve"> brukt studentaktiviserende verktøy av og til eller ofte, mens </w:t>
      </w:r>
      <w:r w:rsidR="0082724A">
        <w:t xml:space="preserve">bare et lite mindretall hadde brukt </w:t>
      </w:r>
      <w:r w:rsidR="00C002EA">
        <w:t>verktøy som simulerer praksissituasjon</w:t>
      </w:r>
      <w:r w:rsidR="000B4796">
        <w:t>.</w:t>
      </w:r>
    </w:p>
    <w:p w14:paraId="3D1F52AB" w14:textId="153B2FE4" w:rsidR="006612F9" w:rsidRDefault="006612F9" w:rsidP="006612F9">
      <w:pPr>
        <w:pStyle w:val="Bildetekst"/>
        <w:keepNext/>
      </w:pPr>
      <w:bookmarkStart w:id="80" w:name="_Ref130560410"/>
      <w:bookmarkStart w:id="81" w:name="_Toc134792775"/>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14</w:t>
      </w:r>
      <w:r>
        <w:fldChar w:fldCharType="end"/>
      </w:r>
      <w:bookmarkEnd w:id="80"/>
      <w:r>
        <w:t xml:space="preserve"> </w:t>
      </w:r>
      <w:r w:rsidR="006D7DAA">
        <w:t xml:space="preserve">Andel studenter </w:t>
      </w:r>
      <w:r w:rsidR="007934A0">
        <w:t xml:space="preserve">som oppgir å </w:t>
      </w:r>
      <w:r w:rsidR="00077F0C">
        <w:t>ha brukt utvalgte digitale verktøy i</w:t>
      </w:r>
      <w:r w:rsidR="00380228">
        <w:t xml:space="preserve"> undervisningen</w:t>
      </w:r>
      <w:bookmarkEnd w:id="81"/>
      <w:r w:rsidR="00380228">
        <w:t xml:space="preserve"> </w:t>
      </w:r>
    </w:p>
    <w:p w14:paraId="7F606541" w14:textId="55F2BE0A" w:rsidR="00741825" w:rsidRDefault="00757DAA">
      <w:r>
        <w:rPr>
          <w:noProof/>
        </w:rPr>
        <w:drawing>
          <wp:inline distT="0" distB="0" distL="0" distR="0" wp14:anchorId="42D7B6A2" wp14:editId="48CDA5C2">
            <wp:extent cx="5230368" cy="3533775"/>
            <wp:effectExtent l="0" t="0" r="8890" b="9525"/>
            <wp:docPr id="36" name="Diagram 36">
              <a:extLst xmlns:a="http://schemas.openxmlformats.org/drawingml/2006/main">
                <a:ext uri="{FF2B5EF4-FFF2-40B4-BE49-F238E27FC236}">
                  <a16:creationId xmlns:a16="http://schemas.microsoft.com/office/drawing/2014/main" id="{5C948C82-5934-99B0-5411-4B97067A0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F0D7248" w14:textId="04FFDD48" w:rsidR="005C408C" w:rsidRDefault="009018FC" w:rsidP="009B545C">
      <w:pPr>
        <w:pStyle w:val="Merknad"/>
      </w:pPr>
      <w:r>
        <w:t>Data fra</w:t>
      </w:r>
      <w:r w:rsidR="00A85177">
        <w:t xml:space="preserve"> </w:t>
      </w:r>
      <w:r>
        <w:t>Studiebarometeret 2022</w:t>
      </w:r>
      <w:r w:rsidR="00A85177">
        <w:t xml:space="preserve">. </w:t>
      </w:r>
      <w:r w:rsidR="002426BE" w:rsidRPr="00595E2A">
        <w:t>Studentene b</w:t>
      </w:r>
      <w:r w:rsidR="00595E2A" w:rsidRPr="00595E2A">
        <w:t>esvarte følgende spørsmål</w:t>
      </w:r>
      <w:r w:rsidR="00400206">
        <w:t xml:space="preserve">: </w:t>
      </w:r>
      <w:r w:rsidR="00D3409B">
        <w:t>«Hvor ofte bruker du følgende typer digitale verktøy i undervisningen på ditt studieprogram?</w:t>
      </w:r>
      <w:r w:rsidR="00751AC7">
        <w:t>» 0</w:t>
      </w:r>
      <w:r w:rsidR="00E4061B">
        <w:t xml:space="preserve"> </w:t>
      </w:r>
      <w:r w:rsidR="00751AC7">
        <w:t>=</w:t>
      </w:r>
      <w:r w:rsidR="00E4061B">
        <w:t xml:space="preserve"> </w:t>
      </w:r>
      <w:r w:rsidR="00023537">
        <w:t>aldri, 1</w:t>
      </w:r>
      <w:r w:rsidR="00E4061B">
        <w:t xml:space="preserve"> </w:t>
      </w:r>
      <w:r w:rsidR="00023537">
        <w:t>=</w:t>
      </w:r>
      <w:r w:rsidR="00E4061B">
        <w:t xml:space="preserve"> </w:t>
      </w:r>
      <w:r w:rsidR="002668B5">
        <w:t>sjelden, 2</w:t>
      </w:r>
      <w:r w:rsidR="00E4061B">
        <w:t xml:space="preserve"> </w:t>
      </w:r>
      <w:r w:rsidR="002668B5">
        <w:t>=</w:t>
      </w:r>
      <w:r w:rsidR="00E4061B">
        <w:t xml:space="preserve"> </w:t>
      </w:r>
      <w:r w:rsidR="002668B5">
        <w:t>av og til, 3</w:t>
      </w:r>
      <w:r w:rsidR="00E4061B">
        <w:t xml:space="preserve"> </w:t>
      </w:r>
      <w:r w:rsidR="002668B5">
        <w:t>=</w:t>
      </w:r>
      <w:r w:rsidR="00E4061B">
        <w:t xml:space="preserve"> </w:t>
      </w:r>
      <w:r w:rsidR="002668B5">
        <w:t>ofte</w:t>
      </w:r>
      <w:r w:rsidR="00062FA0">
        <w:t>.</w:t>
      </w:r>
    </w:p>
    <w:p w14:paraId="57CD68EA" w14:textId="77777777" w:rsidR="00595E2A" w:rsidRDefault="00595E2A" w:rsidP="00595E2A">
      <w:pPr>
        <w:pStyle w:val="Kilde"/>
      </w:pPr>
      <w:r>
        <w:t xml:space="preserve">Kilde: </w:t>
      </w:r>
      <w:proofErr w:type="spellStart"/>
      <w:r>
        <w:t>NOKUT</w:t>
      </w:r>
      <w:proofErr w:type="spellEnd"/>
      <w:r>
        <w:t>, Studiebarometeret</w:t>
      </w:r>
    </w:p>
    <w:p w14:paraId="1E037BDF" w14:textId="77777777" w:rsidR="00C602C1" w:rsidRDefault="00307017">
      <w:r>
        <w:t xml:space="preserve">I vurderingen av </w:t>
      </w:r>
      <w:r w:rsidR="00997B9C">
        <w:t xml:space="preserve">de digitale verktøyenes bidrag til god læring var studentene mest </w:t>
      </w:r>
      <w:r w:rsidR="004F6A3A">
        <w:t xml:space="preserve">positive til digitale læringsplattformer. </w:t>
      </w:r>
      <w:r w:rsidR="009558F8">
        <w:t xml:space="preserve">Flere enn </w:t>
      </w:r>
      <w:r w:rsidR="00D93BE5">
        <w:t>åtte</w:t>
      </w:r>
      <w:r w:rsidR="009558F8">
        <w:t xml:space="preserve"> av </w:t>
      </w:r>
      <w:r w:rsidR="00D93BE5">
        <w:t xml:space="preserve">ti </w:t>
      </w:r>
      <w:r w:rsidR="009558F8">
        <w:t xml:space="preserve">svarte at slik bruk i </w:t>
      </w:r>
      <w:r w:rsidR="005179E6">
        <w:t xml:space="preserve">noen grad eller i stor grad hadde bidratt </w:t>
      </w:r>
      <w:r w:rsidR="00A85DD4">
        <w:t xml:space="preserve">til </w:t>
      </w:r>
      <w:r w:rsidR="005C5632">
        <w:t xml:space="preserve">god læring. </w:t>
      </w:r>
      <w:r w:rsidR="00992005">
        <w:t xml:space="preserve">For de øvrige verktøyene </w:t>
      </w:r>
      <w:r w:rsidR="00D93BE5">
        <w:t>valgte</w:t>
      </w:r>
      <w:r w:rsidR="00FA1DC0">
        <w:t xml:space="preserve"> grovt regnet to a</w:t>
      </w:r>
      <w:r w:rsidR="00D93BE5">
        <w:t xml:space="preserve">v tre studenter de samme svaralternativene. </w:t>
      </w:r>
      <w:r w:rsidR="00FA3861">
        <w:t xml:space="preserve">Med tanke på </w:t>
      </w:r>
      <w:r w:rsidR="00E62A62">
        <w:t>arbeidet for en mer studentaktiv læring, kan det være verd å merke seg at</w:t>
      </w:r>
      <w:r w:rsidR="00235332">
        <w:t xml:space="preserve"> studentaktiviserende </w:t>
      </w:r>
      <w:r w:rsidR="00770AA1">
        <w:t xml:space="preserve">verktøy mellom student og underviser var </w:t>
      </w:r>
      <w:r w:rsidR="001447D8">
        <w:lastRenderedPageBreak/>
        <w:t>det digitale verktøy der færrest respondenter</w:t>
      </w:r>
      <w:r w:rsidR="0003525D">
        <w:t xml:space="preserve"> (</w:t>
      </w:r>
      <w:r w:rsidR="004A10CC">
        <w:t>17 prosent)</w:t>
      </w:r>
      <w:r w:rsidR="001447D8">
        <w:t xml:space="preserve"> valgte svaralternativet </w:t>
      </w:r>
      <w:r w:rsidR="00B126B1">
        <w:t>«i stor grad»</w:t>
      </w:r>
      <w:r w:rsidR="0003525D">
        <w:t xml:space="preserve"> på spørsmål om bidrag til læring</w:t>
      </w:r>
      <w:r w:rsidR="00C602C1">
        <w:t>.</w:t>
      </w:r>
    </w:p>
    <w:p w14:paraId="70297D7C" w14:textId="77777777" w:rsidR="009F5E96" w:rsidRDefault="00341825">
      <w:r>
        <w:t xml:space="preserve">I kjølvannet av pandemien </w:t>
      </w:r>
      <w:r w:rsidR="00B468A6">
        <w:t xml:space="preserve">er </w:t>
      </w:r>
      <w:r w:rsidR="00EE19E4">
        <w:t xml:space="preserve">ulike arbeider satt i gang for å øke kunnskap om både </w:t>
      </w:r>
      <w:r w:rsidR="002431DF">
        <w:t>omfang</w:t>
      </w:r>
      <w:r w:rsidR="00EE19E4">
        <w:t xml:space="preserve"> og lærings</w:t>
      </w:r>
      <w:r w:rsidR="002431DF">
        <w:t xml:space="preserve">utbytte knyttet til digitalisering. </w:t>
      </w:r>
      <w:r w:rsidR="00124421">
        <w:t>Nå i 2023 arbeider NIFU på oppdrag fra HK-</w:t>
      </w:r>
      <w:proofErr w:type="spellStart"/>
      <w:r w:rsidR="00124421">
        <w:t>dir</w:t>
      </w:r>
      <w:proofErr w:type="spellEnd"/>
      <w:r w:rsidR="00124421">
        <w:t xml:space="preserve"> med et forskningsprosjekt </w:t>
      </w:r>
      <w:r w:rsidR="00335C47">
        <w:t>som skal øke kunnskapen om hv</w:t>
      </w:r>
      <w:r w:rsidR="00E00D26">
        <w:t xml:space="preserve">ordan </w:t>
      </w:r>
      <w:r w:rsidR="00F43D1C">
        <w:t xml:space="preserve">og hvilke digitale verktøy som best </w:t>
      </w:r>
      <w:r w:rsidR="007B710A">
        <w:t xml:space="preserve">bidrar til </w:t>
      </w:r>
      <w:r w:rsidR="00F60E00">
        <w:t>god læring i høyere utdanning.</w:t>
      </w:r>
      <w:r w:rsidR="002464C8">
        <w:t xml:space="preserve"> </w:t>
      </w:r>
      <w:r w:rsidR="00556CAE">
        <w:t xml:space="preserve">Her er </w:t>
      </w:r>
      <w:r w:rsidR="009F3C2C">
        <w:t>svarene i</w:t>
      </w:r>
      <w:r w:rsidR="00556CAE">
        <w:t xml:space="preserve"> Studiebarometeret et viktig </w:t>
      </w:r>
      <w:r w:rsidR="00CC13CE">
        <w:t>datagrunnlag</w:t>
      </w:r>
      <w:r w:rsidR="00AC4DC8">
        <w:t xml:space="preserve">, og </w:t>
      </w:r>
      <w:r w:rsidR="003B6991">
        <w:t>prosjektet skal sluttføres i november 2023.</w:t>
      </w:r>
    </w:p>
    <w:p w14:paraId="542A4534" w14:textId="232DEBD8" w:rsidR="00AD7F15" w:rsidRDefault="00F67AA8">
      <w:r>
        <w:t xml:space="preserve">Sikt </w:t>
      </w:r>
      <w:r w:rsidR="002C7F94">
        <w:t>forvalter</w:t>
      </w:r>
      <w:r w:rsidR="00B52987">
        <w:t xml:space="preserve"> rammeavtaler for</w:t>
      </w:r>
      <w:r w:rsidR="002C7F94">
        <w:t xml:space="preserve"> digitale eksamenssystemer </w:t>
      </w:r>
      <w:r w:rsidR="00A5401F">
        <w:t>som støtter håndteringen av eksamensprosessen ved</w:t>
      </w:r>
      <w:r w:rsidR="002C7F94">
        <w:t xml:space="preserve"> universiteter og høyskoler.</w:t>
      </w:r>
      <w:r w:rsidR="0084445C">
        <w:t xml:space="preserve"> </w:t>
      </w:r>
      <w:r w:rsidR="00B3742D">
        <w:fldChar w:fldCharType="begin"/>
      </w:r>
      <w:r w:rsidR="00B3742D">
        <w:instrText xml:space="preserve"> REF _Ref132287818 \h </w:instrText>
      </w:r>
      <w:r w:rsidR="00B3742D">
        <w:fldChar w:fldCharType="separate"/>
      </w:r>
      <w:r w:rsidR="00F262EF">
        <w:t xml:space="preserve">Figur </w:t>
      </w:r>
      <w:r w:rsidR="00F262EF">
        <w:rPr>
          <w:noProof/>
        </w:rPr>
        <w:t>2</w:t>
      </w:r>
      <w:r w:rsidR="00F262EF">
        <w:t>.</w:t>
      </w:r>
      <w:r w:rsidR="00F262EF">
        <w:rPr>
          <w:noProof/>
        </w:rPr>
        <w:t>15</w:t>
      </w:r>
      <w:r w:rsidR="00B3742D">
        <w:fldChar w:fldCharType="end"/>
      </w:r>
      <w:r w:rsidR="008C2656">
        <w:t xml:space="preserve"> viser hvordan tallet på digitale eksamener økte </w:t>
      </w:r>
      <w:r w:rsidR="00817BF9">
        <w:t xml:space="preserve">fra 2018 og inn i pandemien i 2020 og at </w:t>
      </w:r>
      <w:r w:rsidR="009A2D59">
        <w:t>forholdet mellom digital</w:t>
      </w:r>
      <w:r w:rsidR="00B80437">
        <w:t>e</w:t>
      </w:r>
      <w:r w:rsidR="009A2D59">
        <w:t xml:space="preserve"> og ikke-digitale eksamensformer har holdt seg stab</w:t>
      </w:r>
      <w:r w:rsidR="004D444E">
        <w:t>ilt siden da.</w:t>
      </w:r>
    </w:p>
    <w:p w14:paraId="226B0B4D" w14:textId="48A6AFA7" w:rsidR="00A93B50" w:rsidRDefault="00A93B50" w:rsidP="00984ECD">
      <w:pPr>
        <w:pStyle w:val="Bildetekst"/>
        <w:keepNext/>
      </w:pPr>
      <w:bookmarkStart w:id="82" w:name="_Ref132287818"/>
      <w:bookmarkStart w:id="83" w:name="_Toc134792776"/>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15</w:t>
      </w:r>
      <w:r>
        <w:fldChar w:fldCharType="end"/>
      </w:r>
      <w:bookmarkEnd w:id="82"/>
      <w:r>
        <w:t xml:space="preserve"> Eksamener ved universiteter og høyskoler 2018</w:t>
      </w:r>
      <w:r w:rsidR="00C16378">
        <w:t>–</w:t>
      </w:r>
      <w:r>
        <w:t>2022 etter eksamensform</w:t>
      </w:r>
      <w:bookmarkEnd w:id="83"/>
    </w:p>
    <w:p w14:paraId="62A4B3EF" w14:textId="77777777" w:rsidR="007626BE" w:rsidRDefault="00AD7F15">
      <w:r>
        <w:rPr>
          <w:noProof/>
        </w:rPr>
        <w:drawing>
          <wp:inline distT="0" distB="0" distL="0" distR="0" wp14:anchorId="14E3D89A" wp14:editId="16CCD235">
            <wp:extent cx="5260623" cy="2607733"/>
            <wp:effectExtent l="0" t="0" r="16510" b="2540"/>
            <wp:docPr id="195611354" name="Diagram 1">
              <a:extLst xmlns:a="http://schemas.openxmlformats.org/drawingml/2006/main">
                <a:ext uri="{FF2B5EF4-FFF2-40B4-BE49-F238E27FC236}">
                  <a16:creationId xmlns:a16="http://schemas.microsoft.com/office/drawing/2014/main" id="{DDFDBADF-BDB6-1FC8-C291-136A7BF1F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7098A5" w14:textId="63B71E8B" w:rsidR="00416F30" w:rsidRDefault="007626BE" w:rsidP="007626BE">
      <w:pPr>
        <w:pStyle w:val="Kilde"/>
        <w:rPr>
          <w:rFonts w:asciiTheme="majorHAnsi" w:eastAsiaTheme="majorEastAsia" w:hAnsiTheme="majorHAnsi" w:cstheme="majorBidi"/>
          <w:b w:val="0"/>
          <w:color w:val="362683"/>
          <w:sz w:val="24"/>
          <w:szCs w:val="26"/>
        </w:rPr>
      </w:pPr>
      <w:r>
        <w:t>Kilde: Sikt</w:t>
      </w:r>
      <w:r w:rsidR="00416F30">
        <w:br w:type="page"/>
      </w:r>
    </w:p>
    <w:p w14:paraId="1446C303" w14:textId="7BBADB00" w:rsidR="00C47707" w:rsidRDefault="00C47707" w:rsidP="00AE4B98">
      <w:pPr>
        <w:pStyle w:val="Overskrift3"/>
      </w:pPr>
      <w:bookmarkStart w:id="84" w:name="_Toc134792730"/>
      <w:r w:rsidRPr="00C47707">
        <w:lastRenderedPageBreak/>
        <w:t xml:space="preserve">Tilpasning på arbeidsmarkedet </w:t>
      </w:r>
      <w:r>
        <w:t xml:space="preserve">- </w:t>
      </w:r>
      <w:r w:rsidRPr="00C47707">
        <w:t>nasjonal styringsparameter</w:t>
      </w:r>
      <w:bookmarkEnd w:id="84"/>
    </w:p>
    <w:p w14:paraId="0781CA53" w14:textId="6DE0CD4D" w:rsidR="006957D2" w:rsidRDefault="00A32640" w:rsidP="00C81709">
      <w:r w:rsidRPr="00A32640">
        <w:t xml:space="preserve">Sysselsetting i relevant arbeid er et mål på om utdanningen er tilpasset arbeidsmarkedet. NIFUs kandidatundersøkelse gjennomføres </w:t>
      </w:r>
      <w:r w:rsidR="008C5312">
        <w:t xml:space="preserve">i </w:t>
      </w:r>
      <w:r w:rsidRPr="00A32640">
        <w:t xml:space="preserve">november i oddetallsår, og inkluderer kandidater som uteksamineres </w:t>
      </w:r>
      <w:r w:rsidR="00385775">
        <w:t xml:space="preserve">i </w:t>
      </w:r>
      <w:r w:rsidRPr="00A32640">
        <w:t>vårsemesteret samme år.</w:t>
      </w:r>
      <w:r w:rsidR="006D12EC">
        <w:t xml:space="preserve"> </w:t>
      </w:r>
      <w:r w:rsidR="00763DF0">
        <w:t xml:space="preserve">For å fange opp </w:t>
      </w:r>
      <w:r w:rsidR="001878A5">
        <w:t xml:space="preserve">betydningen av pandemien ble det gjennomført en </w:t>
      </w:r>
      <w:r w:rsidR="0026588B">
        <w:t>ekstra undersøkelse i 2020.</w:t>
      </w:r>
      <w:r w:rsidR="00C63A1D">
        <w:t xml:space="preserve"> </w:t>
      </w:r>
      <w:r w:rsidR="00763352">
        <w:t>I oppsummeringen</w:t>
      </w:r>
      <w:r w:rsidR="003970D4">
        <w:t xml:space="preserve"> av resultatene fra undersøkelsen i 2021 </w:t>
      </w:r>
      <w:r w:rsidR="00C81709">
        <w:t>konkluderer NIFU</w:t>
      </w:r>
      <w:r w:rsidR="000A6724">
        <w:t xml:space="preserve"> med</w:t>
      </w:r>
      <w:r w:rsidR="00C81709">
        <w:t xml:space="preserve"> at </w:t>
      </w:r>
      <w:r w:rsidR="00EF6B25">
        <w:t>o</w:t>
      </w:r>
      <w:r w:rsidR="00C81709">
        <w:t xml:space="preserve">vergangen fra utdanning til arbeidsmarked for nylig masterutdannede i november 2021 </w:t>
      </w:r>
      <w:r w:rsidR="008971C6">
        <w:t xml:space="preserve">var </w:t>
      </w:r>
      <w:r w:rsidR="00C81709">
        <w:t>klart lettere enn året før</w:t>
      </w:r>
      <w:r w:rsidR="00EF6B25">
        <w:t>, og at a</w:t>
      </w:r>
      <w:r w:rsidR="00C81709">
        <w:t>ndelen som var arbeidsledig, undersysselsatt eller hadde en jobb som samsvarte dårlig med utdanningen var den lavest observerte de siste ti årene</w:t>
      </w:r>
      <w:r w:rsidR="00EA757F">
        <w:t xml:space="preserve"> </w:t>
      </w:r>
      <w:r w:rsidR="00791B70">
        <w:fldChar w:fldCharType="begin"/>
      </w:r>
      <w:r w:rsidR="00791B70">
        <w:instrText xml:space="preserve"> ADDIN EN.CITE &lt;EndNote&gt;&lt;Cite&gt;&lt;Author&gt;Holtermann&lt;/Author&gt;&lt;Year&gt;2022&lt;/Year&gt;&lt;RecNum&gt;1859&lt;/RecNum&gt;&lt;DisplayText&gt;(Holtermann et al., 2022)&lt;/DisplayText&gt;&lt;record&gt;&lt;rec-number&gt;1859&lt;/rec-number&gt;&lt;foreign-keys&gt;&lt;key app="EN" db-id="s09wp0wxtwz9aue509w52eagvset90vxefrw" timestamp="1683216690" guid="56a8f1a7-9d14-48d1-b1f8-b7fd142da9fe"&gt;1859&lt;/key&gt;&lt;/foreign-keys&gt;&lt;ref-type name="Report"&gt;27&lt;/ref-type&gt;&lt;contributors&gt;&lt;authors&gt;&lt;author&gt;Holtermann, Helge&lt;/author&gt;&lt;author&gt;Skjelbred, Siv-Elisabeth&lt;/author&gt;&lt;author&gt;Wiborg, Vegard&lt;/author&gt;&lt;author&gt;Fidjeland, Andreas&lt;/author&gt;&lt;/authors&gt;&lt;tertiary-authors&gt;&lt;author&gt;NIFU&lt;/author&gt;&lt;/tertiary-authors&gt;&lt;/contributors&gt;&lt;titles&gt;&lt;title&gt;Lettere overgang til arbeidslivet med fersk mastergrad&lt;/title&gt;&lt;/titles&gt;&lt;dates&gt;&lt;year&gt;2022&lt;/year&gt;&lt;/dates&gt;&lt;publisher&gt;NIFU&lt;/publisher&gt;&lt;isbn&gt;NIFU Innsikt: 2022-5&lt;/isbn&gt;&lt;urls&gt;&lt;related-urls&gt;&lt;url&gt;https://nifu.brage.unit.no/nifu-xmlui/handle/11250/2997301&lt;/url&gt;&lt;/related-urls&gt;&lt;/urls&gt;&lt;/record&gt;&lt;/Cite&gt;&lt;/EndNote&gt;</w:instrText>
      </w:r>
      <w:r w:rsidR="00791B70">
        <w:fldChar w:fldCharType="separate"/>
      </w:r>
      <w:r w:rsidR="00791B70">
        <w:rPr>
          <w:noProof/>
        </w:rPr>
        <w:t>(Holtermann et al., 2022)</w:t>
      </w:r>
      <w:r w:rsidR="00791B70">
        <w:fldChar w:fldCharType="end"/>
      </w:r>
      <w:r w:rsidR="00791B70">
        <w:t>.</w:t>
      </w:r>
    </w:p>
    <w:p w14:paraId="09A0C1FC" w14:textId="440224D0" w:rsidR="00EA6961" w:rsidRDefault="00DA3F41" w:rsidP="00416F30">
      <w:r>
        <w:t>Innenfor alle fagområder gjorde de ute</w:t>
      </w:r>
      <w:r w:rsidR="00BC0642">
        <w:t xml:space="preserve">ksaminerte fra 2021 det bedre </w:t>
      </w:r>
      <w:r w:rsidR="00EE2DAE">
        <w:t xml:space="preserve">på arbeidsmarkedet enn </w:t>
      </w:r>
      <w:r w:rsidR="0097559D">
        <w:t>uteksaminerte fra 2020</w:t>
      </w:r>
      <w:r w:rsidR="002B1847">
        <w:t xml:space="preserve">. For de fleste fagområder var </w:t>
      </w:r>
      <w:r w:rsidR="002B113F">
        <w:t xml:space="preserve">resultatene fra 2021 </w:t>
      </w:r>
      <w:r w:rsidR="009B448B">
        <w:t>også bedre enn</w:t>
      </w:r>
      <w:r w:rsidR="00D73400">
        <w:t xml:space="preserve"> resultatene i både 2019 og 2017</w:t>
      </w:r>
      <w:r w:rsidR="00B3556D">
        <w:t xml:space="preserve">, se </w:t>
      </w:r>
      <w:r w:rsidR="00B3556D">
        <w:fldChar w:fldCharType="begin"/>
      </w:r>
      <w:r w:rsidR="00B3556D">
        <w:instrText xml:space="preserve"> REF  _Ref133168127 \* Lower \h </w:instrText>
      </w:r>
      <w:r w:rsidR="00B3556D">
        <w:fldChar w:fldCharType="separate"/>
      </w:r>
      <w:r w:rsidR="00F262EF">
        <w:t xml:space="preserve">figur </w:t>
      </w:r>
      <w:r w:rsidR="00F262EF">
        <w:rPr>
          <w:noProof/>
        </w:rPr>
        <w:t>2</w:t>
      </w:r>
      <w:r w:rsidR="00F262EF">
        <w:t>.</w:t>
      </w:r>
      <w:r w:rsidR="00F262EF">
        <w:rPr>
          <w:noProof/>
        </w:rPr>
        <w:t>16</w:t>
      </w:r>
      <w:r w:rsidR="00B3556D">
        <w:fldChar w:fldCharType="end"/>
      </w:r>
      <w:r w:rsidR="00B3556D">
        <w:t xml:space="preserve">. </w:t>
      </w:r>
    </w:p>
    <w:p w14:paraId="6243DCF5" w14:textId="771E1128" w:rsidR="0039556C" w:rsidRDefault="0039556C" w:rsidP="0039556C">
      <w:pPr>
        <w:pStyle w:val="Bildetekst"/>
        <w:keepNext/>
      </w:pPr>
      <w:bookmarkStart w:id="85" w:name="_Ref129094011"/>
      <w:bookmarkStart w:id="86" w:name="_Ref133168127"/>
      <w:bookmarkStart w:id="87" w:name="_Toc134792777"/>
      <w:r>
        <w:t xml:space="preserve">Figur </w:t>
      </w:r>
      <w:bookmarkEnd w:id="85"/>
      <w:r w:rsidR="004F2208">
        <w:fldChar w:fldCharType="begin"/>
      </w:r>
      <w:r w:rsidR="004F2208">
        <w:instrText xml:space="preserve"> STYLEREF 1 \s </w:instrText>
      </w:r>
      <w:r w:rsidR="004F2208">
        <w:fldChar w:fldCharType="separate"/>
      </w:r>
      <w:r w:rsidR="00F262EF">
        <w:rPr>
          <w:noProof/>
        </w:rPr>
        <w:t>2</w:t>
      </w:r>
      <w:r w:rsidR="004F2208">
        <w:fldChar w:fldCharType="end"/>
      </w:r>
      <w:r w:rsidR="004F2208">
        <w:t>.</w:t>
      </w:r>
      <w:r>
        <w:fldChar w:fldCharType="begin"/>
      </w:r>
      <w:r>
        <w:instrText>SEQ Figur \* ARABIC \s 1</w:instrText>
      </w:r>
      <w:r>
        <w:fldChar w:fldCharType="separate"/>
      </w:r>
      <w:r w:rsidR="00F262EF">
        <w:rPr>
          <w:noProof/>
        </w:rPr>
        <w:t>16</w:t>
      </w:r>
      <w:r>
        <w:fldChar w:fldCharType="end"/>
      </w:r>
      <w:bookmarkEnd w:id="86"/>
      <w:r>
        <w:t xml:space="preserve"> </w:t>
      </w:r>
      <w:r w:rsidRPr="006D48EC">
        <w:t>Uteksaminerte med mastergrad i relevant arbeid et halvt år etter utdanning</w:t>
      </w:r>
      <w:bookmarkEnd w:id="87"/>
    </w:p>
    <w:p w14:paraId="0932805F" w14:textId="77777777" w:rsidR="002B22B1" w:rsidRDefault="007B3602" w:rsidP="00416F30">
      <w:r>
        <w:rPr>
          <w:noProof/>
        </w:rPr>
        <w:drawing>
          <wp:inline distT="0" distB="0" distL="0" distR="0" wp14:anchorId="68049223" wp14:editId="438CF782">
            <wp:extent cx="5433237" cy="4486939"/>
            <wp:effectExtent l="0" t="0" r="15240" b="8890"/>
            <wp:docPr id="13" name="Diagram 13">
              <a:extLst xmlns:a="http://schemas.openxmlformats.org/drawingml/2006/main">
                <a:ext uri="{FF2B5EF4-FFF2-40B4-BE49-F238E27FC236}">
                  <a16:creationId xmlns:a16="http://schemas.microsoft.com/office/drawing/2014/main" id="{DC808FB7-6105-78B6-B86D-8D15A9773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FDB4932" w14:textId="636F4A77" w:rsidR="00FC43F2" w:rsidRDefault="002B22B1" w:rsidP="00FC43F2">
      <w:pPr>
        <w:pStyle w:val="Kilde"/>
      </w:pPr>
      <w:r>
        <w:t>Kilde: NIFU</w:t>
      </w:r>
      <w:r w:rsidR="00C062D3">
        <w:t>, Kandidatundersøkelsen</w:t>
      </w:r>
    </w:p>
    <w:p w14:paraId="3E06C6A6" w14:textId="0887B3B3" w:rsidR="007D4BD4" w:rsidRDefault="00E1657F" w:rsidP="00416F30">
      <w:r>
        <w:t xml:space="preserve">Uteksaminerte i </w:t>
      </w:r>
      <w:r w:rsidR="00A632BA">
        <w:t xml:space="preserve">relevant arbeid kan imidlertid også oppleve </w:t>
      </w:r>
      <w:r w:rsidR="008335F4">
        <w:t>manglende samsvar mellom utdanning</w:t>
      </w:r>
      <w:r w:rsidR="00D63A16">
        <w:t xml:space="preserve"> og arbeid. </w:t>
      </w:r>
      <w:r w:rsidR="00206BE7">
        <w:t>Mange opplever</w:t>
      </w:r>
      <w:r w:rsidR="004D3C05">
        <w:t xml:space="preserve"> </w:t>
      </w:r>
      <w:r w:rsidR="004D3C05" w:rsidRPr="004D3C05">
        <w:rPr>
          <w:i/>
          <w:iCs/>
        </w:rPr>
        <w:t>overutdanning</w:t>
      </w:r>
      <w:r w:rsidR="005343C5">
        <w:t>, det vil si å ha høyere utdanning enn arbeidet krever</w:t>
      </w:r>
      <w:r w:rsidR="00166E0B">
        <w:t xml:space="preserve">. NIFU finner at </w:t>
      </w:r>
      <w:r w:rsidR="000A3C6A">
        <w:t>dette særlig gjelder humanistene</w:t>
      </w:r>
      <w:r w:rsidR="00F711B5">
        <w:t xml:space="preserve">, her </w:t>
      </w:r>
      <w:r w:rsidR="008451AC">
        <w:t xml:space="preserve">svarte 41 prosent at arbeidet ikke krever masterutdanning. </w:t>
      </w:r>
      <w:r w:rsidR="00E5049D">
        <w:t>For øvrige fagområder varierer</w:t>
      </w:r>
      <w:r w:rsidR="00CE758B">
        <w:t xml:space="preserve"> andelen mellom </w:t>
      </w:r>
      <w:r w:rsidR="00640467">
        <w:t xml:space="preserve">17 og 29 prosent </w:t>
      </w:r>
      <w:r w:rsidR="008E3FD9">
        <w:fldChar w:fldCharType="begin"/>
      </w:r>
      <w:r w:rsidR="008E3FD9">
        <w:instrText xml:space="preserve"> ADDIN EN.CITE &lt;EndNote&gt;&lt;Cite&gt;&lt;Author&gt;Holtermann&lt;/Author&gt;&lt;Year&gt;2022&lt;/Year&gt;&lt;RecNum&gt;1859&lt;/RecNum&gt;&lt;DisplayText&gt;(Holtermann et al., 2022)&lt;/DisplayText&gt;&lt;record&gt;&lt;rec-number&gt;1859&lt;/rec-number&gt;&lt;foreign-keys&gt;&lt;key app="EN" db-id="s09wp0wxtwz9aue509w52eagvset90vxefrw" timestamp="1683216690" guid="56a8f1a7-9d14-48d1-b1f8-b7fd142da9fe"&gt;1859&lt;/key&gt;&lt;/foreign-keys&gt;&lt;ref-type name="Report"&gt;27&lt;/ref-type&gt;&lt;contributors&gt;&lt;authors&gt;&lt;author&gt;Holtermann, Helge&lt;/author&gt;&lt;author&gt;Skjelbred, Siv-Elisabeth&lt;/author&gt;&lt;author&gt;Wiborg, Vegard&lt;/author&gt;&lt;author&gt;Fidjeland, Andreas&lt;/author&gt;&lt;/authors&gt;&lt;tertiary-authors&gt;&lt;author&gt;NIFU&lt;/author&gt;&lt;/tertiary-authors&gt;&lt;/contributors&gt;&lt;titles&gt;&lt;title&gt;Lettere overgang til arbeidslivet med fersk mastergrad&lt;/title&gt;&lt;/titles&gt;&lt;dates&gt;&lt;year&gt;2022&lt;/year&gt;&lt;/dates&gt;&lt;publisher&gt;NIFU&lt;/publisher&gt;&lt;isbn&gt;NIFU Innsikt: 2022-5&lt;/isbn&gt;&lt;urls&gt;&lt;related-urls&gt;&lt;url&gt;https://nifu.brage.unit.no/nifu-xmlui/handle/11250/2997301&lt;/url&gt;&lt;/related-urls&gt;&lt;/urls&gt;&lt;/record&gt;&lt;/Cite&gt;&lt;/EndNote&gt;</w:instrText>
      </w:r>
      <w:r w:rsidR="008E3FD9">
        <w:fldChar w:fldCharType="separate"/>
      </w:r>
      <w:r w:rsidR="008E3FD9">
        <w:rPr>
          <w:noProof/>
        </w:rPr>
        <w:t>(Holtermann et al., 2022)</w:t>
      </w:r>
      <w:r w:rsidR="008E3FD9">
        <w:fldChar w:fldCharType="end"/>
      </w:r>
      <w:r w:rsidR="008E3FD9">
        <w:t>.</w:t>
      </w:r>
    </w:p>
    <w:p w14:paraId="7C698F46" w14:textId="5C9CBF57" w:rsidR="00C47707" w:rsidRDefault="00C47707" w:rsidP="00AE4B98">
      <w:pPr>
        <w:pStyle w:val="Overskrift3"/>
      </w:pPr>
      <w:bookmarkStart w:id="88" w:name="_Toc134792731"/>
      <w:r w:rsidRPr="00C47707">
        <w:lastRenderedPageBreak/>
        <w:t>Studenter med innvandrerbakgrunn</w:t>
      </w:r>
      <w:bookmarkEnd w:id="88"/>
    </w:p>
    <w:p w14:paraId="198361C9" w14:textId="5981D16F" w:rsidR="00631E93" w:rsidRDefault="002439C3" w:rsidP="00631E93">
      <w:r>
        <w:t xml:space="preserve">I 2022 </w:t>
      </w:r>
      <w:r w:rsidR="003B6735">
        <w:t>studerte</w:t>
      </w:r>
      <w:r>
        <w:t xml:space="preserve"> </w:t>
      </w:r>
      <w:r w:rsidR="008531B6">
        <w:t xml:space="preserve">34 879 </w:t>
      </w:r>
      <w:r w:rsidR="00FE01AD">
        <w:t>personer som selv har innvandret</w:t>
      </w:r>
      <w:r w:rsidR="006B7AEF">
        <w:t xml:space="preserve"> </w:t>
      </w:r>
      <w:r w:rsidR="00B65B32">
        <w:t xml:space="preserve">og </w:t>
      </w:r>
      <w:r w:rsidR="00C67502">
        <w:t xml:space="preserve">13 472 </w:t>
      </w:r>
      <w:r w:rsidR="006B7AEF">
        <w:t xml:space="preserve">norskfødte med innvandrerforeldre </w:t>
      </w:r>
      <w:r w:rsidR="003B6735">
        <w:t>ved universiteter og høyskoler i Norge</w:t>
      </w:r>
      <w:r w:rsidR="0029167A">
        <w:t xml:space="preserve">. </w:t>
      </w:r>
      <w:r w:rsidR="00803842">
        <w:t xml:space="preserve">Begge gruppene </w:t>
      </w:r>
      <w:r w:rsidR="0049383C">
        <w:t>har økt med om lag 500 fra i fjo</w:t>
      </w:r>
      <w:r w:rsidR="00963F24">
        <w:t xml:space="preserve">r. Det </w:t>
      </w:r>
      <w:r w:rsidR="00183C19">
        <w:t>totale</w:t>
      </w:r>
      <w:r w:rsidR="00963F24">
        <w:t xml:space="preserve"> tallet på studenter i Norge har gått ned i samme periode, og </w:t>
      </w:r>
      <w:r w:rsidR="00041F79">
        <w:t xml:space="preserve">den </w:t>
      </w:r>
      <w:r w:rsidR="00183C19">
        <w:t xml:space="preserve">samlede </w:t>
      </w:r>
      <w:r w:rsidR="00DE36BC">
        <w:t xml:space="preserve">andelen innvandrere og norskfødte med innvandrerforeldre </w:t>
      </w:r>
      <w:r w:rsidR="00DB1F4C">
        <w:t>i studentmassen</w:t>
      </w:r>
      <w:r w:rsidR="00F820EC">
        <w:t xml:space="preserve"> har </w:t>
      </w:r>
      <w:r w:rsidR="009E03AA">
        <w:t xml:space="preserve">derfor </w:t>
      </w:r>
      <w:r w:rsidR="00687F3E">
        <w:t>økt</w:t>
      </w:r>
      <w:r w:rsidR="009E03AA">
        <w:t xml:space="preserve"> fra 15,5 til 16,2 prosent.</w:t>
      </w:r>
      <w:r w:rsidR="002E17AD">
        <w:t xml:space="preserve"> </w:t>
      </w:r>
      <w:r w:rsidR="00DE5295">
        <w:t xml:space="preserve">Gruppen av innvandrere har steget med om lag 10 000 siden </w:t>
      </w:r>
      <w:r w:rsidR="00670B8D">
        <w:t xml:space="preserve">2013, mens </w:t>
      </w:r>
      <w:r w:rsidR="00D3331F">
        <w:t>gruppen</w:t>
      </w:r>
      <w:r w:rsidR="002E17AD">
        <w:t xml:space="preserve"> norskfødte med innvandrerforeldre </w:t>
      </w:r>
      <w:r w:rsidR="004B78FD">
        <w:t xml:space="preserve">har </w:t>
      </w:r>
      <w:r w:rsidR="007C1591">
        <w:t xml:space="preserve">steget med </w:t>
      </w:r>
      <w:r w:rsidR="00C95F76">
        <w:t>rundt 7</w:t>
      </w:r>
      <w:r w:rsidR="00054D9B">
        <w:t> </w:t>
      </w:r>
      <w:r w:rsidR="00C95F76">
        <w:t>000</w:t>
      </w:r>
      <w:r w:rsidR="00054D9B">
        <w:t xml:space="preserve">, og </w:t>
      </w:r>
      <w:r w:rsidR="009E3A9B">
        <w:t xml:space="preserve">er </w:t>
      </w:r>
      <w:r w:rsidR="00054D9B">
        <w:t xml:space="preserve">dermed </w:t>
      </w:r>
      <w:r w:rsidR="002E17AD">
        <w:t>mer en</w:t>
      </w:r>
      <w:r w:rsidR="00197878">
        <w:t>n</w:t>
      </w:r>
      <w:r w:rsidR="002E17AD">
        <w:t xml:space="preserve"> doblet</w:t>
      </w:r>
      <w:r w:rsidR="00AF2E39">
        <w:t>.</w:t>
      </w:r>
      <w:r w:rsidR="0030096A">
        <w:t xml:space="preserve"> Se </w:t>
      </w:r>
      <w:hyperlink r:id="rId62" w:history="1">
        <w:r w:rsidR="0030096A" w:rsidRPr="004F2B56">
          <w:rPr>
            <w:rStyle w:val="Hyperkobling"/>
          </w:rPr>
          <w:t>V</w:t>
        </w:r>
        <w:r w:rsidR="00A35648" w:rsidRPr="004F2B56">
          <w:rPr>
            <w:rStyle w:val="Hyperkobling"/>
          </w:rPr>
          <w:t>2.47</w:t>
        </w:r>
      </w:hyperlink>
      <w:r w:rsidR="0030096A">
        <w:t xml:space="preserve"> fortidsserier for antall innvandrere og antall norskfødte med innvandrerforeldre.</w:t>
      </w:r>
    </w:p>
    <w:p w14:paraId="3AEE4425" w14:textId="1F9A2E9A" w:rsidR="00B922EF" w:rsidRDefault="00340387" w:rsidP="00631E93">
      <w:r>
        <w:fldChar w:fldCharType="begin"/>
      </w:r>
      <w:r>
        <w:instrText xml:space="preserve"> REF _Ref133168148 \h </w:instrText>
      </w:r>
      <w:r>
        <w:fldChar w:fldCharType="separate"/>
      </w:r>
      <w:r w:rsidR="00F262EF">
        <w:t xml:space="preserve">Figur </w:t>
      </w:r>
      <w:r w:rsidR="00F262EF">
        <w:rPr>
          <w:noProof/>
        </w:rPr>
        <w:t>2</w:t>
      </w:r>
      <w:r w:rsidR="00F262EF">
        <w:t>.</w:t>
      </w:r>
      <w:r w:rsidR="00F262EF">
        <w:rPr>
          <w:noProof/>
        </w:rPr>
        <w:t>17</w:t>
      </w:r>
      <w:r>
        <w:fldChar w:fldCharType="end"/>
      </w:r>
      <w:r>
        <w:t xml:space="preserve"> </w:t>
      </w:r>
      <w:r w:rsidR="004C1E73">
        <w:t xml:space="preserve">viser </w:t>
      </w:r>
      <w:r w:rsidR="00C24923">
        <w:t xml:space="preserve">andelen studenter med innvandrerbakgrunn over tid. Vi ser at denne andelen har steget fra </w:t>
      </w:r>
      <w:r w:rsidR="007A0391">
        <w:t xml:space="preserve">rundt 12 til 16 prosent av studentene </w:t>
      </w:r>
      <w:r w:rsidR="00341984">
        <w:t>i løpet av de siste ti årene.</w:t>
      </w:r>
      <w:r w:rsidR="00463EAB">
        <w:t xml:space="preserve"> </w:t>
      </w:r>
      <w:r w:rsidR="00CA1ACC">
        <w:t xml:space="preserve">Det er </w:t>
      </w:r>
      <w:r w:rsidR="000B52F4">
        <w:t>først og fremst</w:t>
      </w:r>
      <w:r w:rsidR="00985DD0">
        <w:t xml:space="preserve"> andelen studenter fra</w:t>
      </w:r>
      <w:r w:rsidR="000B52F4">
        <w:t xml:space="preserve"> </w:t>
      </w:r>
      <w:r w:rsidR="00CA1ACC">
        <w:t>gruppe 2 (</w:t>
      </w:r>
      <w:r w:rsidR="000B52F4">
        <w:t xml:space="preserve">personer med </w:t>
      </w:r>
      <w:r w:rsidR="00CA1ACC">
        <w:t>ikke-</w:t>
      </w:r>
      <w:r w:rsidR="000B52F4">
        <w:t xml:space="preserve">vestlig bakgrunn) </w:t>
      </w:r>
      <w:r w:rsidR="00985DD0">
        <w:t>som har økt i denne perioden.</w:t>
      </w:r>
      <w:r w:rsidR="003E725A">
        <w:t xml:space="preserve"> </w:t>
      </w:r>
      <w:r w:rsidR="0073037A">
        <w:t>Bare det siste året har denne gruppens andel av studentmassen økt fra 11,6 til 12,3 prosent</w:t>
      </w:r>
      <w:r w:rsidR="00FD3704">
        <w:t xml:space="preserve">, </w:t>
      </w:r>
      <w:r w:rsidR="001B6212">
        <w:t xml:space="preserve">mens </w:t>
      </w:r>
      <w:r w:rsidR="00C30108">
        <w:t xml:space="preserve">andelen </w:t>
      </w:r>
      <w:r w:rsidR="008D297D">
        <w:t xml:space="preserve">fra gruppe 1 har ligget </w:t>
      </w:r>
      <w:r w:rsidR="00ED5941">
        <w:t xml:space="preserve">nokså </w:t>
      </w:r>
      <w:r w:rsidR="008D297D">
        <w:t>flatt like under 4 prosent</w:t>
      </w:r>
      <w:r w:rsidR="00ED5941">
        <w:t xml:space="preserve"> </w:t>
      </w:r>
      <w:r w:rsidR="00026ED0">
        <w:t>helt siden 2015</w:t>
      </w:r>
      <w:r w:rsidR="0073037A">
        <w:t>.</w:t>
      </w:r>
    </w:p>
    <w:p w14:paraId="70C0946A" w14:textId="02AA1CE8" w:rsidR="00AC7DFA" w:rsidRPr="00AC7DFA" w:rsidRDefault="00AC7DFA" w:rsidP="00AC7DFA">
      <w:pPr>
        <w:pStyle w:val="Bildetekst"/>
        <w:keepNext/>
      </w:pPr>
      <w:bookmarkStart w:id="89" w:name="_Ref133168148"/>
      <w:bookmarkStart w:id="90" w:name="_Toc134792778"/>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17</w:t>
      </w:r>
      <w:r>
        <w:fldChar w:fldCharType="end"/>
      </w:r>
      <w:bookmarkEnd w:id="89"/>
      <w:r>
        <w:t xml:space="preserve"> Studenter med innvandrerbakgrunn 2013</w:t>
      </w:r>
      <w:r w:rsidR="00C16378">
        <w:t>–</w:t>
      </w:r>
      <w:r>
        <w:t>22. Prosent</w:t>
      </w:r>
      <w:bookmarkEnd w:id="90"/>
    </w:p>
    <w:p w14:paraId="342CE9CF" w14:textId="2BB40160" w:rsidR="005D1C7C" w:rsidRDefault="00155877" w:rsidP="00631E93">
      <w:r>
        <w:rPr>
          <w:noProof/>
        </w:rPr>
        <w:drawing>
          <wp:inline distT="0" distB="0" distL="0" distR="0" wp14:anchorId="17BCB604" wp14:editId="6D349F36">
            <wp:extent cx="5171847" cy="2743200"/>
            <wp:effectExtent l="0" t="0" r="10160" b="0"/>
            <wp:docPr id="45" name="Diagram 45">
              <a:extLst xmlns:a="http://schemas.openxmlformats.org/drawingml/2006/main">
                <a:ext uri="{FF2B5EF4-FFF2-40B4-BE49-F238E27FC236}">
                  <a16:creationId xmlns:a16="http://schemas.microsoft.com/office/drawing/2014/main" id="{9B96D288-982C-B695-F7D3-258711B56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5A83F7" w14:textId="7773294B" w:rsidR="00AC7DFA" w:rsidRPr="002D1EC7" w:rsidRDefault="00060BE6" w:rsidP="00BF6BCD">
      <w:pPr>
        <w:pStyle w:val="Merknad"/>
        <w:rPr>
          <w:lang w:val="nn-NO"/>
        </w:rPr>
      </w:pPr>
      <w:r>
        <w:t xml:space="preserve">Innvandrere er her definert som personer som er født i utlandet av to utenlandsfødte foreldre og fire utenlandsfødte besteforeldre. Norskfødte med innvandrerforeldre er definert som </w:t>
      </w:r>
      <w:r w:rsidR="00BF6BCD">
        <w:t>personer som er født i Norge av to utenlandsfødte foreldre og fire utenlandsfødte besteforeldre.</w:t>
      </w:r>
      <w:r>
        <w:t xml:space="preserve"> </w:t>
      </w:r>
      <w:r w:rsidRPr="002D1EC7">
        <w:rPr>
          <w:lang w:val="nn-NO"/>
        </w:rPr>
        <w:t xml:space="preserve">Gruppe 1: EU/EØS, USA, Canada, Australia, New Zealand. Gruppe 2: Asia, Afrika, Latin-Amerika, Oseania </w:t>
      </w:r>
      <w:proofErr w:type="spellStart"/>
      <w:r w:rsidRPr="002D1EC7">
        <w:rPr>
          <w:lang w:val="nn-NO"/>
        </w:rPr>
        <w:t>utenom</w:t>
      </w:r>
      <w:proofErr w:type="spellEnd"/>
      <w:r w:rsidRPr="002D1EC7">
        <w:rPr>
          <w:lang w:val="nn-NO"/>
        </w:rPr>
        <w:t xml:space="preserve"> Australia og New Zealand og Europa </w:t>
      </w:r>
      <w:proofErr w:type="spellStart"/>
      <w:r w:rsidRPr="002D1EC7">
        <w:rPr>
          <w:lang w:val="nn-NO"/>
        </w:rPr>
        <w:t>utenom</w:t>
      </w:r>
      <w:proofErr w:type="spellEnd"/>
      <w:r w:rsidRPr="002D1EC7">
        <w:rPr>
          <w:lang w:val="nn-NO"/>
        </w:rPr>
        <w:t xml:space="preserve"> EU/EØS/EFTA</w:t>
      </w:r>
    </w:p>
    <w:p w14:paraId="798790B7" w14:textId="0E4E9C17" w:rsidR="00DA2D8C" w:rsidRDefault="005E70FC" w:rsidP="005E70FC">
      <w:pPr>
        <w:pStyle w:val="Kilde"/>
      </w:pPr>
      <w:r>
        <w:t xml:space="preserve">Kilde: </w:t>
      </w:r>
      <w:r w:rsidR="001330A0" w:rsidRPr="001330A0">
        <w:t>Statistisk sentralbyrå, utdanningsstatistikk</w:t>
      </w:r>
    </w:p>
    <w:p w14:paraId="6A35897D" w14:textId="3F84890F" w:rsidR="00DA2D8C" w:rsidRDefault="004C56B7" w:rsidP="003A67B4">
      <w:r>
        <w:t xml:space="preserve">Studietilbøyeligheten </w:t>
      </w:r>
      <w:r w:rsidR="00960363">
        <w:t xml:space="preserve">blant </w:t>
      </w:r>
      <w:r w:rsidR="006B3D65">
        <w:t>personer som er født i Norge av</w:t>
      </w:r>
      <w:r w:rsidR="005F1ED4">
        <w:t xml:space="preserve"> innvandre</w:t>
      </w:r>
      <w:r w:rsidR="00E37365">
        <w:t>r</w:t>
      </w:r>
      <w:r w:rsidR="006B3D65">
        <w:t>foreldre</w:t>
      </w:r>
      <w:r w:rsidR="005F1ED4">
        <w:t xml:space="preserve"> er </w:t>
      </w:r>
      <w:r w:rsidR="00422996">
        <w:t xml:space="preserve">høyere </w:t>
      </w:r>
      <w:r w:rsidR="003219C9">
        <w:t xml:space="preserve">enn </w:t>
      </w:r>
      <w:r w:rsidR="00BE3CF4">
        <w:t>for den delen av befolkningen som ikke har innvandrerbakgrunn.</w:t>
      </w:r>
      <w:r w:rsidR="00763DC8">
        <w:t xml:space="preserve"> </w:t>
      </w:r>
      <w:r w:rsidR="00A31819">
        <w:t>Andelen</w:t>
      </w:r>
      <w:r w:rsidR="004B28F9">
        <w:t xml:space="preserve"> norskfødte med innvandrerforeldre</w:t>
      </w:r>
      <w:r w:rsidR="00A31819">
        <w:t xml:space="preserve"> i aldersgruppen 19</w:t>
      </w:r>
      <w:r w:rsidR="00C16378">
        <w:t>–</w:t>
      </w:r>
      <w:r w:rsidR="00A31819">
        <w:t xml:space="preserve">34 år som </w:t>
      </w:r>
      <w:r w:rsidR="00204EC5">
        <w:t xml:space="preserve">studerer ved universitet eller høyskole er </w:t>
      </w:r>
      <w:r w:rsidR="00CE3A81">
        <w:t>henholdsvis 27 og 37 prosent for menn og kvinner</w:t>
      </w:r>
      <w:r w:rsidR="007D0E1A">
        <w:t xml:space="preserve">. Tilsvarende </w:t>
      </w:r>
      <w:r w:rsidR="00310E7F">
        <w:t>andel</w:t>
      </w:r>
      <w:r w:rsidR="007D0E1A">
        <w:t xml:space="preserve"> for de uten innvandrerbakgrunn er 17 og 26 prosent, mens de</w:t>
      </w:r>
      <w:r w:rsidR="00310E7F">
        <w:t>n</w:t>
      </w:r>
      <w:r w:rsidR="00600310">
        <w:t xml:space="preserve"> er 10 og 15 </w:t>
      </w:r>
      <w:r w:rsidR="00EE5246">
        <w:t xml:space="preserve">prosent </w:t>
      </w:r>
      <w:r w:rsidR="00310E7F">
        <w:t xml:space="preserve">blant dem </w:t>
      </w:r>
      <w:r w:rsidR="00600310">
        <w:t>som selv har innvandret</w:t>
      </w:r>
      <w:r w:rsidR="005111BD">
        <w:t xml:space="preserve"> (se </w:t>
      </w:r>
      <w:hyperlink r:id="rId64" w:history="1">
        <w:r w:rsidR="005111BD" w:rsidRPr="00007A32">
          <w:rPr>
            <w:rStyle w:val="Hyperkobling"/>
          </w:rPr>
          <w:t>V</w:t>
        </w:r>
        <w:r w:rsidR="00610EFF" w:rsidRPr="00007A32">
          <w:rPr>
            <w:rStyle w:val="Hyperkobling"/>
          </w:rPr>
          <w:t>2.47</w:t>
        </w:r>
      </w:hyperlink>
      <w:r w:rsidR="00610EFF">
        <w:t>)</w:t>
      </w:r>
      <w:r w:rsidR="00600310">
        <w:t>.</w:t>
      </w:r>
    </w:p>
    <w:p w14:paraId="300E2012" w14:textId="523BC439" w:rsidR="005264CC" w:rsidRDefault="005264CC" w:rsidP="003A67B4">
      <w:r>
        <w:t xml:space="preserve">Innvandrere og norskfødte med innvandrerforeldre </w:t>
      </w:r>
      <w:r w:rsidR="00F02994">
        <w:t xml:space="preserve">skiller seg </w:t>
      </w:r>
      <w:r w:rsidR="00DE47AE">
        <w:t>på en del områder fra den øvrige befolkningen når det gjelder valg av studie.</w:t>
      </w:r>
      <w:r w:rsidR="00CE591F">
        <w:t xml:space="preserve"> </w:t>
      </w:r>
      <w:r w:rsidR="00B267AC">
        <w:t>På m</w:t>
      </w:r>
      <w:r w:rsidR="00CE591F">
        <w:t xml:space="preserve">asterstudiene i farmasi og odontologi har </w:t>
      </w:r>
      <w:r w:rsidR="004165A7">
        <w:t xml:space="preserve">hele 65 og 39 prosent studenter med innvandrerbakgrunn. </w:t>
      </w:r>
      <w:r w:rsidR="00E66D53">
        <w:t>Blant de stø</w:t>
      </w:r>
      <w:r w:rsidR="006F1C13">
        <w:t xml:space="preserve">rre studiene </w:t>
      </w:r>
      <w:r w:rsidR="00792CEA">
        <w:t xml:space="preserve">ligger ingeniørutdanning (bachelor) </w:t>
      </w:r>
      <w:r w:rsidR="00501420">
        <w:t xml:space="preserve">særlig </w:t>
      </w:r>
      <w:r w:rsidR="00792CEA">
        <w:t>høyt med en andel på 23 prosent</w:t>
      </w:r>
      <w:r w:rsidR="00501420">
        <w:t xml:space="preserve">. </w:t>
      </w:r>
      <w:r w:rsidR="002E45AA">
        <w:t>For</w:t>
      </w:r>
      <w:r w:rsidR="00501420">
        <w:t xml:space="preserve"> </w:t>
      </w:r>
      <w:r w:rsidR="00501420">
        <w:lastRenderedPageBreak/>
        <w:t>barnehagelærerstudiet og sykepleies</w:t>
      </w:r>
      <w:r w:rsidR="00B4008C">
        <w:t>tudiet er andelene 21 og 20 prosent</w:t>
      </w:r>
      <w:r w:rsidR="002E45AA">
        <w:t xml:space="preserve">. På </w:t>
      </w:r>
      <w:r w:rsidR="00C0013F">
        <w:t xml:space="preserve">for eksempel </w:t>
      </w:r>
      <w:r w:rsidR="002E45AA">
        <w:t>den femårige grunnskolelærerutdanningen er andel</w:t>
      </w:r>
      <w:r w:rsidR="00C0013F">
        <w:t>en langt lavere</w:t>
      </w:r>
      <w:r w:rsidR="00C91677">
        <w:t xml:space="preserve">, bare </w:t>
      </w:r>
      <w:r w:rsidR="00C0013F">
        <w:t>8 prosent.</w:t>
      </w:r>
      <w:r w:rsidR="00342947">
        <w:t xml:space="preserve"> Se ellers </w:t>
      </w:r>
      <w:proofErr w:type="spellStart"/>
      <w:r w:rsidR="00342947">
        <w:t>vedleggstabell</w:t>
      </w:r>
      <w:proofErr w:type="spellEnd"/>
      <w:r w:rsidR="00342947">
        <w:t xml:space="preserve"> </w:t>
      </w:r>
      <w:hyperlink r:id="rId65" w:history="1">
        <w:r w:rsidR="00342947" w:rsidRPr="00007A32">
          <w:rPr>
            <w:rStyle w:val="Hyperkobling"/>
          </w:rPr>
          <w:t>V2.46</w:t>
        </w:r>
      </w:hyperlink>
      <w:r w:rsidR="00342947">
        <w:t xml:space="preserve"> og </w:t>
      </w:r>
      <w:hyperlink r:id="rId66" w:history="1">
        <w:r w:rsidR="00342947" w:rsidRPr="00007A32">
          <w:rPr>
            <w:rStyle w:val="Hyperkobling"/>
          </w:rPr>
          <w:t>V2.48</w:t>
        </w:r>
      </w:hyperlink>
      <w:r w:rsidR="00653742">
        <w:t xml:space="preserve"> for </w:t>
      </w:r>
      <w:r w:rsidR="0052347C">
        <w:t xml:space="preserve">oversikt over andel studenter med innvandrerbakgrunn på utvalgte studier </w:t>
      </w:r>
      <w:r w:rsidR="00875A0C">
        <w:t>og etter fagfelt</w:t>
      </w:r>
      <w:r w:rsidR="00342947">
        <w:t>.</w:t>
      </w:r>
    </w:p>
    <w:p w14:paraId="12039721" w14:textId="0EBE5DBD" w:rsidR="00342947" w:rsidRPr="00355955" w:rsidRDefault="00C4227B" w:rsidP="003A67B4">
      <w:r>
        <w:t xml:space="preserve">Ser vi på </w:t>
      </w:r>
      <w:r w:rsidR="00126893">
        <w:t>ta</w:t>
      </w:r>
      <w:r w:rsidR="008A5A26">
        <w:t xml:space="preserve">ll for de ulike institusjonene, ligger </w:t>
      </w:r>
      <w:proofErr w:type="spellStart"/>
      <w:r w:rsidR="006B7C95">
        <w:t>OsloMet</w:t>
      </w:r>
      <w:proofErr w:type="spellEnd"/>
      <w:r w:rsidR="006B7C95">
        <w:t xml:space="preserve"> høyest med 26 prosent studenter med innvandrerbakgrunn.</w:t>
      </w:r>
      <w:r w:rsidR="0062701D">
        <w:t xml:space="preserve"> </w:t>
      </w:r>
      <w:r w:rsidR="00C654DD">
        <w:t xml:space="preserve">UiO har 25 prosent, mens </w:t>
      </w:r>
      <w:proofErr w:type="spellStart"/>
      <w:r w:rsidR="00C654DD">
        <w:t>HiØ</w:t>
      </w:r>
      <w:proofErr w:type="spellEnd"/>
      <w:r w:rsidR="00C654DD">
        <w:t xml:space="preserve"> og </w:t>
      </w:r>
      <w:proofErr w:type="spellStart"/>
      <w:r w:rsidR="00C654DD">
        <w:t>USN</w:t>
      </w:r>
      <w:proofErr w:type="spellEnd"/>
      <w:r w:rsidR="00C654DD">
        <w:t xml:space="preserve"> begge har 23 prosent.</w:t>
      </w:r>
      <w:r w:rsidR="00883E27">
        <w:t xml:space="preserve"> De fleste andre institusjoner har langt lavere andeler</w:t>
      </w:r>
      <w:r w:rsidR="00FB1119">
        <w:t xml:space="preserve">. Lavest </w:t>
      </w:r>
      <w:r w:rsidR="007878AE">
        <w:t>ligger NIH og NHH med henholdsvis 5 og 9 prosent.</w:t>
      </w:r>
      <w:r w:rsidR="00883E27">
        <w:t xml:space="preserve"> </w:t>
      </w:r>
      <w:r w:rsidR="007878AE">
        <w:t>S</w:t>
      </w:r>
      <w:r w:rsidR="00883E27">
        <w:t xml:space="preserve">e </w:t>
      </w:r>
      <w:r w:rsidR="007878AE">
        <w:t xml:space="preserve">ellers </w:t>
      </w:r>
      <w:hyperlink r:id="rId67" w:history="1">
        <w:r w:rsidR="00883E27" w:rsidRPr="00007A32">
          <w:rPr>
            <w:rStyle w:val="Hyperkobling"/>
          </w:rPr>
          <w:t>V</w:t>
        </w:r>
        <w:r w:rsidR="00FB1119" w:rsidRPr="00007A32">
          <w:rPr>
            <w:rStyle w:val="Hyperkobling"/>
          </w:rPr>
          <w:t>2.45</w:t>
        </w:r>
      </w:hyperlink>
      <w:r w:rsidR="00106C4B">
        <w:t xml:space="preserve"> for</w:t>
      </w:r>
      <w:r w:rsidR="00106C4B" w:rsidDel="0075203A">
        <w:t xml:space="preserve"> </w:t>
      </w:r>
      <w:r w:rsidR="0075203A">
        <w:t xml:space="preserve">institusjonsvise </w:t>
      </w:r>
      <w:r w:rsidR="00106C4B">
        <w:t>andeler for innvandrere og norskfødte med innvandrerbakgrunn og for ulike landgrupper.</w:t>
      </w:r>
    </w:p>
    <w:p w14:paraId="2CA0CA04" w14:textId="086A7AA0" w:rsidR="00B4294B" w:rsidRDefault="00B4294B" w:rsidP="00AE4B98">
      <w:pPr>
        <w:pStyle w:val="Overskrift3"/>
      </w:pPr>
      <w:bookmarkStart w:id="91" w:name="_Toc134792732"/>
      <w:r w:rsidRPr="00CE1206">
        <w:t>Norske gradsstudenter i utlandet</w:t>
      </w:r>
      <w:bookmarkEnd w:id="91"/>
    </w:p>
    <w:p w14:paraId="56AE1587" w14:textId="734EE345" w:rsidR="00310579" w:rsidRDefault="00A152BA" w:rsidP="00A63FFA">
      <w:pPr>
        <w:keepNext/>
        <w:keepLines/>
      </w:pPr>
      <w:r w:rsidRPr="00A152BA">
        <w:t>I studieåret 2021</w:t>
      </w:r>
      <w:r w:rsidR="00C16378">
        <w:t>–</w:t>
      </w:r>
      <w:r w:rsidRPr="00A152BA">
        <w:t xml:space="preserve">22 var det totalt 14 000 norske gradsstudenter i utlandet med støtte fra Lånekassen. </w:t>
      </w:r>
      <w:r w:rsidR="00CB24EA">
        <w:t xml:space="preserve">Siden toppåret 2015 har det vært en </w:t>
      </w:r>
      <w:r w:rsidR="008F5192">
        <w:t>reduksjon</w:t>
      </w:r>
      <w:r w:rsidR="00CB24EA">
        <w:t xml:space="preserve"> i antall</w:t>
      </w:r>
      <w:r w:rsidR="00DB555D">
        <w:t xml:space="preserve">et </w:t>
      </w:r>
      <w:r w:rsidR="00CB24EA">
        <w:t xml:space="preserve">norske studenter som tar en </w:t>
      </w:r>
      <w:r w:rsidR="00DB555D">
        <w:t xml:space="preserve">akademisk </w:t>
      </w:r>
      <w:r w:rsidR="00822D52">
        <w:t>grad i utlandet</w:t>
      </w:r>
      <w:r w:rsidR="00077625">
        <w:t xml:space="preserve"> </w:t>
      </w:r>
      <w:r w:rsidR="00A152A9">
        <w:t xml:space="preserve">på </w:t>
      </w:r>
      <w:r w:rsidR="001469CE">
        <w:t xml:space="preserve">til sammen </w:t>
      </w:r>
      <w:r w:rsidR="00116DBE">
        <w:t xml:space="preserve">19 prosent. Dette tilsvarer </w:t>
      </w:r>
      <w:r w:rsidR="002F71B9">
        <w:t>et fall</w:t>
      </w:r>
      <w:r w:rsidR="00373642">
        <w:t xml:space="preserve"> på </w:t>
      </w:r>
      <w:r w:rsidR="00A86668">
        <w:t>om lag</w:t>
      </w:r>
      <w:r w:rsidR="00CD1898">
        <w:t xml:space="preserve"> 3 400 studenter</w:t>
      </w:r>
      <w:r w:rsidR="00E0305E">
        <w:t xml:space="preserve">. </w:t>
      </w:r>
      <w:r w:rsidR="00B632FF">
        <w:t xml:space="preserve">Særlig sterk var nedgangen </w:t>
      </w:r>
      <w:r w:rsidR="00D836DF">
        <w:t xml:space="preserve">i </w:t>
      </w:r>
      <w:r w:rsidR="00B316C8">
        <w:t>studieåret 20</w:t>
      </w:r>
      <w:r w:rsidR="00A363A6">
        <w:t>20</w:t>
      </w:r>
      <w:r w:rsidR="00C16378">
        <w:t>–</w:t>
      </w:r>
      <w:r w:rsidR="00A363A6">
        <w:t xml:space="preserve">21. </w:t>
      </w:r>
      <w:r w:rsidR="005624DE">
        <w:t>Nedgangen fortsetter i</w:t>
      </w:r>
      <w:r w:rsidR="005A311B" w:rsidRPr="005A311B">
        <w:t xml:space="preserve"> studieåret</w:t>
      </w:r>
      <w:r w:rsidR="00E368CF">
        <w:t xml:space="preserve"> </w:t>
      </w:r>
      <w:r w:rsidR="005A311B" w:rsidRPr="005A311B">
        <w:t>2021</w:t>
      </w:r>
      <w:r w:rsidR="00C16378">
        <w:t>–</w:t>
      </w:r>
      <w:r w:rsidR="00D60924">
        <w:t>2</w:t>
      </w:r>
      <w:r w:rsidR="006B34EC">
        <w:t>2</w:t>
      </w:r>
      <w:r w:rsidR="00B9338F">
        <w:t xml:space="preserve"> </w:t>
      </w:r>
      <w:r w:rsidR="00671329">
        <w:t xml:space="preserve">med i </w:t>
      </w:r>
      <w:r w:rsidR="003D4966">
        <w:t xml:space="preserve">underkant av 300 </w:t>
      </w:r>
      <w:r w:rsidR="00671329">
        <w:t xml:space="preserve">færre </w:t>
      </w:r>
      <w:r w:rsidR="004D4239">
        <w:t>grads</w:t>
      </w:r>
      <w:r w:rsidR="003D4966">
        <w:t>studenter</w:t>
      </w:r>
      <w:r w:rsidR="00671329">
        <w:t xml:space="preserve"> </w:t>
      </w:r>
      <w:r w:rsidR="004D4239">
        <w:t xml:space="preserve">i utlandet </w:t>
      </w:r>
      <w:r w:rsidR="00671329">
        <w:t>enn året før</w:t>
      </w:r>
      <w:r w:rsidR="00822D52">
        <w:t>.</w:t>
      </w:r>
    </w:p>
    <w:p w14:paraId="6430B763" w14:textId="0F9E932B" w:rsidR="0001536D" w:rsidRDefault="00CE2B68" w:rsidP="00A63FFA">
      <w:pPr>
        <w:keepNext/>
        <w:keepLines/>
      </w:pPr>
      <w:r>
        <w:t>N</w:t>
      </w:r>
      <w:r w:rsidR="007B2BD7">
        <w:t xml:space="preserve">edgangen i </w:t>
      </w:r>
      <w:r w:rsidR="00F016C0">
        <w:t xml:space="preserve">antall </w:t>
      </w:r>
      <w:r w:rsidR="00502CD6">
        <w:t xml:space="preserve">studenter </w:t>
      </w:r>
      <w:r w:rsidR="00C263C6">
        <w:t>ved norske institusjoner</w:t>
      </w:r>
      <w:r w:rsidR="009F5048">
        <w:t xml:space="preserve"> i 2022</w:t>
      </w:r>
      <w:r w:rsidR="00644E74">
        <w:t>,</w:t>
      </w:r>
      <w:r w:rsidR="00F016C0">
        <w:t xml:space="preserve"> </w:t>
      </w:r>
      <w:r w:rsidR="00D67C99">
        <w:t xml:space="preserve">som </w:t>
      </w:r>
      <w:r w:rsidR="00163BA1">
        <w:t>beskrevet</w:t>
      </w:r>
      <w:r w:rsidR="00D67C99">
        <w:t xml:space="preserve"> i </w:t>
      </w:r>
      <w:r w:rsidR="009204CC">
        <w:t>kapittel</w:t>
      </w:r>
      <w:r w:rsidR="00FF0277">
        <w:t xml:space="preserve"> </w:t>
      </w:r>
      <w:r w:rsidR="00FF0277">
        <w:fldChar w:fldCharType="begin"/>
      </w:r>
      <w:r w:rsidR="00FF0277">
        <w:instrText xml:space="preserve"> REF _Ref127969318 \r \h </w:instrText>
      </w:r>
      <w:r w:rsidR="00FF0277">
        <w:fldChar w:fldCharType="separate"/>
      </w:r>
      <w:r w:rsidR="00F262EF">
        <w:t>2.2</w:t>
      </w:r>
      <w:r w:rsidR="00FF0277">
        <w:fldChar w:fldCharType="end"/>
      </w:r>
      <w:r w:rsidR="0009293F">
        <w:t>,</w:t>
      </w:r>
      <w:r w:rsidR="00FF0277">
        <w:t xml:space="preserve"> </w:t>
      </w:r>
      <w:r w:rsidR="00EE32FE">
        <w:t>skyldes altså ikke</w:t>
      </w:r>
      <w:r w:rsidR="00F016C0">
        <w:t xml:space="preserve"> at flere </w:t>
      </w:r>
      <w:r w:rsidR="005B701F">
        <w:t xml:space="preserve">norske studenter </w:t>
      </w:r>
      <w:r w:rsidR="00F016C0">
        <w:t>reiser ut</w:t>
      </w:r>
      <w:r w:rsidR="00EE32FE">
        <w:t xml:space="preserve">enlands for å </w:t>
      </w:r>
      <w:r w:rsidR="005B701F">
        <w:t>ta en grad</w:t>
      </w:r>
      <w:r w:rsidR="00F016C0">
        <w:t xml:space="preserve">. </w:t>
      </w:r>
      <w:r w:rsidR="00303914">
        <w:t xml:space="preserve">For </w:t>
      </w:r>
      <w:r w:rsidR="000E6B8D">
        <w:t>siste studieår er</w:t>
      </w:r>
      <w:r w:rsidR="00D60057">
        <w:t xml:space="preserve"> den prosentvise</w:t>
      </w:r>
      <w:r w:rsidR="000E6B8D">
        <w:t xml:space="preserve"> nedgangen hjemme og </w:t>
      </w:r>
      <w:r w:rsidR="00226FAA">
        <w:t xml:space="preserve">ute </w:t>
      </w:r>
      <w:r w:rsidR="00636A74">
        <w:t>identisk</w:t>
      </w:r>
      <w:r w:rsidR="00F83424">
        <w:t xml:space="preserve">. </w:t>
      </w:r>
      <w:r w:rsidR="00636A74">
        <w:t xml:space="preserve">Over den siste tiårsperioden har </w:t>
      </w:r>
      <w:r w:rsidR="009A32FF">
        <w:t xml:space="preserve">derimot studentmassen hjemme økt, mens </w:t>
      </w:r>
      <w:r w:rsidR="00E97495">
        <w:t>hel</w:t>
      </w:r>
      <w:r w:rsidR="00B0251C">
        <w:t xml:space="preserve">gradsstudentene </w:t>
      </w:r>
      <w:r w:rsidR="00E97495">
        <w:t xml:space="preserve">i utlandet </w:t>
      </w:r>
      <w:r w:rsidR="00B0251C">
        <w:t xml:space="preserve">har blitt færre. </w:t>
      </w:r>
      <w:r w:rsidR="004E51D2">
        <w:t xml:space="preserve">Mens gradsstudentene i utlandet </w:t>
      </w:r>
      <w:r w:rsidR="00EE0B0B">
        <w:t xml:space="preserve">utgjorde </w:t>
      </w:r>
      <w:r w:rsidR="00786D36">
        <w:t>7</w:t>
      </w:r>
      <w:r w:rsidR="00EE0B0B">
        <w:t xml:space="preserve"> prosent av studentpopulasjonen i Norge i 2013, </w:t>
      </w:r>
      <w:r w:rsidR="00A67F3F" w:rsidRPr="00A67F3F">
        <w:t xml:space="preserve">utgjør </w:t>
      </w:r>
      <w:r w:rsidR="00EE0B0B">
        <w:t xml:space="preserve">de nå </w:t>
      </w:r>
      <w:r w:rsidR="00786D36">
        <w:t>5</w:t>
      </w:r>
      <w:r w:rsidR="00A67F3F" w:rsidRPr="00A67F3F">
        <w:t xml:space="preserve"> prosent</w:t>
      </w:r>
      <w:r w:rsidR="00EE0B0B">
        <w:t>.</w:t>
      </w:r>
      <w:r w:rsidR="00336063">
        <w:t xml:space="preserve"> </w:t>
      </w:r>
    </w:p>
    <w:p w14:paraId="7423FE8B" w14:textId="00A0CADD" w:rsidR="006C3023" w:rsidRDefault="005831F2" w:rsidP="00A63FFA">
      <w:pPr>
        <w:keepNext/>
        <w:keepLines/>
      </w:pPr>
      <w:r>
        <w:t>D</w:t>
      </w:r>
      <w:r w:rsidR="000E27DB">
        <w:t>en langvarige nedgangen</w:t>
      </w:r>
      <w:r w:rsidR="00C45D52" w:rsidRPr="00C45D52">
        <w:t xml:space="preserve"> </w:t>
      </w:r>
      <w:r w:rsidR="00302A6E">
        <w:t>kan</w:t>
      </w:r>
      <w:r w:rsidR="00C45D52" w:rsidRPr="00C45D52">
        <w:t xml:space="preserve"> </w:t>
      </w:r>
      <w:r w:rsidR="00A278EA">
        <w:t xml:space="preserve">blant annet </w:t>
      </w:r>
      <w:r w:rsidR="00302A6E">
        <w:t>ses i samme</w:t>
      </w:r>
      <w:r w:rsidR="00FF1357">
        <w:t xml:space="preserve">nheng med </w:t>
      </w:r>
      <w:r w:rsidR="00C45D52" w:rsidRPr="00C45D52">
        <w:t>økonomi</w:t>
      </w:r>
      <w:r w:rsidR="00C45B22">
        <w:t>ske forhold</w:t>
      </w:r>
      <w:r w:rsidR="00C45D52" w:rsidRPr="00C45D52">
        <w:t xml:space="preserve"> </w:t>
      </w:r>
      <w:r w:rsidR="00F91685">
        <w:t xml:space="preserve">som </w:t>
      </w:r>
      <w:r w:rsidR="00C45D52" w:rsidRPr="00C45D52">
        <w:t>valuta</w:t>
      </w:r>
      <w:r w:rsidR="00A278EA">
        <w:t>kurser</w:t>
      </w:r>
      <w:r w:rsidR="00302EC5">
        <w:t>,</w:t>
      </w:r>
      <w:r w:rsidR="00F91685" w:rsidDel="00302EC5">
        <w:t xml:space="preserve"> </w:t>
      </w:r>
      <w:r w:rsidR="00A278EA">
        <w:t>endringer i studiestøtte</w:t>
      </w:r>
      <w:r w:rsidR="00873B04">
        <w:t>,</w:t>
      </w:r>
      <w:r w:rsidR="00A278EA">
        <w:t xml:space="preserve"> og avgifter,</w:t>
      </w:r>
      <w:r w:rsidR="0043627C">
        <w:t xml:space="preserve"> samt</w:t>
      </w:r>
      <w:r w:rsidR="00A278EA">
        <w:t xml:space="preserve"> </w:t>
      </w:r>
      <w:r w:rsidR="00C45D52" w:rsidRPr="00C45D52">
        <w:t xml:space="preserve">størrelsen på studentkull og </w:t>
      </w:r>
      <w:r w:rsidR="00EC1C97">
        <w:t xml:space="preserve">spesielle </w:t>
      </w:r>
      <w:r w:rsidR="00C45D52" w:rsidRPr="00C45D52">
        <w:t xml:space="preserve">forhold </w:t>
      </w:r>
      <w:r w:rsidR="00EC1C97">
        <w:t>knyttet til</w:t>
      </w:r>
      <w:r w:rsidR="00C45D52" w:rsidRPr="00C45D52">
        <w:t xml:space="preserve"> store mottakerland. </w:t>
      </w:r>
      <w:r w:rsidR="004C4725">
        <w:t>I tillegg må vi anta at p</w:t>
      </w:r>
      <w:r w:rsidR="009D2BE6">
        <w:t>andemien</w:t>
      </w:r>
      <w:r w:rsidR="00B8391B">
        <w:t>,</w:t>
      </w:r>
      <w:r w:rsidR="009D2BE6">
        <w:t xml:space="preserve"> </w:t>
      </w:r>
      <w:r w:rsidR="004F2F5C">
        <w:t xml:space="preserve">med </w:t>
      </w:r>
      <w:r w:rsidR="00B8391B">
        <w:t>stengte landegrenser og generel</w:t>
      </w:r>
      <w:r w:rsidR="006430CE">
        <w:t>t stor</w:t>
      </w:r>
      <w:r w:rsidR="00B8391B">
        <w:t xml:space="preserve"> usikkerhet, </w:t>
      </w:r>
      <w:r w:rsidR="004C4725">
        <w:t>også</w:t>
      </w:r>
      <w:r w:rsidR="00E60C26">
        <w:t xml:space="preserve"> </w:t>
      </w:r>
      <w:r w:rsidR="004C4725">
        <w:t xml:space="preserve">har </w:t>
      </w:r>
      <w:r w:rsidR="00347738">
        <w:t>påvirket</w:t>
      </w:r>
      <w:r w:rsidR="00E60C26">
        <w:t xml:space="preserve"> </w:t>
      </w:r>
      <w:r w:rsidR="006430CE">
        <w:t>tilstrømmingen av</w:t>
      </w:r>
      <w:r w:rsidR="00E60C26">
        <w:t xml:space="preserve"> </w:t>
      </w:r>
      <w:r w:rsidR="00346C76">
        <w:t xml:space="preserve">norske </w:t>
      </w:r>
      <w:r w:rsidR="005A6FCE">
        <w:t>søkere</w:t>
      </w:r>
      <w:r w:rsidR="00346C76">
        <w:t xml:space="preserve"> </w:t>
      </w:r>
      <w:r w:rsidR="00DD1399">
        <w:t xml:space="preserve">til </w:t>
      </w:r>
      <w:r w:rsidR="00DD4DB0">
        <w:t>ut</w:t>
      </w:r>
      <w:r w:rsidR="00DD1399">
        <w:t>enlandske lærestede</w:t>
      </w:r>
      <w:r w:rsidR="004F2F5C">
        <w:t>r</w:t>
      </w:r>
      <w:r w:rsidR="00D54145">
        <w:t xml:space="preserve"> </w:t>
      </w:r>
      <w:r w:rsidR="007F66C3">
        <w:t>de siste par årene</w:t>
      </w:r>
      <w:r w:rsidR="005A6FCE">
        <w:t xml:space="preserve">. </w:t>
      </w:r>
      <w:r w:rsidR="003C16FE">
        <w:t>Fordi de</w:t>
      </w:r>
      <w:r w:rsidR="00F35FE9">
        <w:t xml:space="preserve"> fleste</w:t>
      </w:r>
      <w:r w:rsidR="00466C26">
        <w:t xml:space="preserve"> </w:t>
      </w:r>
      <w:r w:rsidR="00F35FE9">
        <w:t>grads</w:t>
      </w:r>
      <w:r w:rsidR="004B205B">
        <w:t xml:space="preserve">utdanningene tar flere år </w:t>
      </w:r>
      <w:r w:rsidR="006430CE">
        <w:t xml:space="preserve">å fullføre, vil </w:t>
      </w:r>
      <w:r w:rsidR="00466C26">
        <w:t xml:space="preserve">pandemieffekten kunne </w:t>
      </w:r>
      <w:r w:rsidR="00A4280D">
        <w:t>gjøre</w:t>
      </w:r>
      <w:r w:rsidR="00466C26">
        <w:t xml:space="preserve"> seg</w:t>
      </w:r>
      <w:r w:rsidR="00A4280D">
        <w:t xml:space="preserve"> gjeldende</w:t>
      </w:r>
      <w:r w:rsidR="00466C26">
        <w:t xml:space="preserve"> i statistikken i flere år framover.</w:t>
      </w:r>
    </w:p>
    <w:p w14:paraId="037C764D" w14:textId="5EA8ECBC" w:rsidR="00563A4B" w:rsidRDefault="00FE01A3" w:rsidP="00293375">
      <w:pPr>
        <w:keepNext/>
        <w:keepLines/>
      </w:pPr>
      <w:r>
        <w:fldChar w:fldCharType="begin"/>
      </w:r>
      <w:r>
        <w:instrText xml:space="preserve"> REF _Ref133169167 \h </w:instrText>
      </w:r>
      <w:r>
        <w:fldChar w:fldCharType="separate"/>
      </w:r>
      <w:r w:rsidR="00F262EF">
        <w:t xml:space="preserve">Tabell </w:t>
      </w:r>
      <w:r w:rsidR="00F262EF">
        <w:rPr>
          <w:noProof/>
        </w:rPr>
        <w:t>2</w:t>
      </w:r>
      <w:r w:rsidR="00F262EF">
        <w:t>.</w:t>
      </w:r>
      <w:r w:rsidR="00F262EF">
        <w:rPr>
          <w:noProof/>
        </w:rPr>
        <w:t>3</w:t>
      </w:r>
      <w:r>
        <w:fldChar w:fldCharType="end"/>
      </w:r>
      <w:r>
        <w:t xml:space="preserve"> </w:t>
      </w:r>
      <w:r w:rsidR="00B32414">
        <w:t xml:space="preserve">viser </w:t>
      </w:r>
      <w:r w:rsidR="005A311B" w:rsidRPr="005A311B">
        <w:t>de ti mest populære landene</w:t>
      </w:r>
      <w:r w:rsidR="00CE20DD">
        <w:t xml:space="preserve"> for utenlandsstudentene. </w:t>
      </w:r>
      <w:r w:rsidR="00FD1B0C" w:rsidRPr="00FD1B0C">
        <w:t xml:space="preserve">Storbritannia, Danmark, USA og Polen er </w:t>
      </w:r>
      <w:r w:rsidR="00556D22">
        <w:t xml:space="preserve">fortsatt </w:t>
      </w:r>
      <w:r w:rsidR="00FD1B0C" w:rsidRPr="00FD1B0C">
        <w:t>de klart mest populære destinasjonene for norske gradsstudenter</w:t>
      </w:r>
      <w:r w:rsidR="0007701D">
        <w:t xml:space="preserve">. Slik har det vært de siste ti årene. </w:t>
      </w:r>
      <w:r w:rsidR="00B50B5C">
        <w:t>Både Storbritannia og Danmark har imidlertid</w:t>
      </w:r>
      <w:r w:rsidR="00C943DB">
        <w:t xml:space="preserve"> </w:t>
      </w:r>
      <w:r w:rsidR="0057751B">
        <w:t xml:space="preserve">blitt gradvis mindre </w:t>
      </w:r>
      <w:r w:rsidR="00C943DB">
        <w:t>popul</w:t>
      </w:r>
      <w:r w:rsidR="0057751B">
        <w:t>ære blant de norske gradsstudentene</w:t>
      </w:r>
      <w:r w:rsidR="00D22D08">
        <w:t xml:space="preserve"> de siste årene. </w:t>
      </w:r>
      <w:r w:rsidR="00B5418C">
        <w:t xml:space="preserve">Det samme gjelder </w:t>
      </w:r>
      <w:r w:rsidR="007A2597">
        <w:t xml:space="preserve">Sverige og </w:t>
      </w:r>
      <w:r w:rsidR="00C10DC1">
        <w:t xml:space="preserve">Australia. </w:t>
      </w:r>
      <w:r w:rsidR="00644709">
        <w:t xml:space="preserve">Derimot </w:t>
      </w:r>
      <w:r w:rsidR="00292804">
        <w:t xml:space="preserve">har Nederland og Spania økt </w:t>
      </w:r>
      <w:r w:rsidR="00404ADB">
        <w:t xml:space="preserve">i popularitet. </w:t>
      </w:r>
      <w:r w:rsidR="00A02301">
        <w:t xml:space="preserve">Det er sammensatte årsaker til disse </w:t>
      </w:r>
      <w:r w:rsidR="00903F76">
        <w:t xml:space="preserve">landspesifikke </w:t>
      </w:r>
      <w:r w:rsidR="00A02301">
        <w:t>endringene i studentstrømmen</w:t>
      </w:r>
      <w:r w:rsidR="00E46350">
        <w:t xml:space="preserve"> ut fra Norge</w:t>
      </w:r>
      <w:r w:rsidR="00293375">
        <w:t>.</w:t>
      </w:r>
      <w:r w:rsidR="00154D02">
        <w:t xml:space="preserve"> </w:t>
      </w:r>
      <w:r w:rsidR="005A311B" w:rsidRPr="005A311B">
        <w:t xml:space="preserve">Detaljerte tall </w:t>
      </w:r>
      <w:r w:rsidR="00903F76">
        <w:t>for</w:t>
      </w:r>
      <w:r w:rsidR="005A311B" w:rsidRPr="005A311B">
        <w:t xml:space="preserve"> lan</w:t>
      </w:r>
      <w:r w:rsidR="00FB371B">
        <w:t xml:space="preserve">d, fagområde og institusjon </w:t>
      </w:r>
      <w:r w:rsidR="005A311B" w:rsidRPr="005A311B">
        <w:t xml:space="preserve">finnes på </w:t>
      </w:r>
      <w:hyperlink r:id="rId68" w:history="1">
        <w:r w:rsidR="00563A4B" w:rsidRPr="00B50303">
          <w:rPr>
            <w:rStyle w:val="Hyperkobling"/>
          </w:rPr>
          <w:t>www.statistikk.diku.no</w:t>
        </w:r>
      </w:hyperlink>
      <w:r w:rsidR="005A311B" w:rsidRPr="005A311B">
        <w:t xml:space="preserve">. </w:t>
      </w:r>
    </w:p>
    <w:p w14:paraId="5689B66B" w14:textId="5D6A8FA8" w:rsidR="00F97D33" w:rsidRDefault="00FE01A3" w:rsidP="00FE01A3">
      <w:pPr>
        <w:pStyle w:val="Bildetekst"/>
      </w:pPr>
      <w:bookmarkStart w:id="92" w:name="_Ref133169167"/>
      <w:bookmarkStart w:id="93" w:name="_Toc134792810"/>
      <w:r>
        <w:t xml:space="preserve">Tabell </w:t>
      </w:r>
      <w:r>
        <w:fldChar w:fldCharType="begin"/>
      </w:r>
      <w:r>
        <w:instrText>STYLEREF 1 \s</w:instrText>
      </w:r>
      <w:r>
        <w:fldChar w:fldCharType="separate"/>
      </w:r>
      <w:r w:rsidR="00F262EF">
        <w:rPr>
          <w:noProof/>
        </w:rPr>
        <w:t>2</w:t>
      </w:r>
      <w:r>
        <w:fldChar w:fldCharType="end"/>
      </w:r>
      <w:r>
        <w:t>.</w:t>
      </w:r>
      <w:r>
        <w:fldChar w:fldCharType="begin"/>
      </w:r>
      <w:r>
        <w:instrText>SEQ Tabell \* ARABIC \s 1</w:instrText>
      </w:r>
      <w:r>
        <w:fldChar w:fldCharType="separate"/>
      </w:r>
      <w:r w:rsidR="00F262EF">
        <w:rPr>
          <w:noProof/>
        </w:rPr>
        <w:t>3</w:t>
      </w:r>
      <w:r>
        <w:fldChar w:fldCharType="end"/>
      </w:r>
      <w:bookmarkEnd w:id="92"/>
      <w:r>
        <w:t xml:space="preserve"> </w:t>
      </w:r>
      <w:r w:rsidRPr="00CD533B">
        <w:t>Norske gradsstudenter i utlandet, fordelt på land. Antall</w:t>
      </w:r>
      <w:bookmarkEnd w:id="93"/>
    </w:p>
    <w:tbl>
      <w:tblPr>
        <w:tblStyle w:val="Diku2"/>
        <w:tblW w:w="5000" w:type="pct"/>
        <w:tblLook w:val="04A0" w:firstRow="1" w:lastRow="0" w:firstColumn="1" w:lastColumn="0" w:noHBand="0" w:noVBand="1"/>
      </w:tblPr>
      <w:tblGrid>
        <w:gridCol w:w="1151"/>
        <w:gridCol w:w="702"/>
        <w:gridCol w:w="702"/>
        <w:gridCol w:w="702"/>
        <w:gridCol w:w="701"/>
        <w:gridCol w:w="701"/>
        <w:gridCol w:w="701"/>
        <w:gridCol w:w="701"/>
        <w:gridCol w:w="701"/>
        <w:gridCol w:w="701"/>
        <w:gridCol w:w="701"/>
      </w:tblGrid>
      <w:tr w:rsidR="000E3BC2" w:rsidRPr="00B24F12" w14:paraId="5F80414F" w14:textId="77777777" w:rsidTr="00267CE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noWrap/>
            <w:hideMark/>
          </w:tcPr>
          <w:p w14:paraId="509406F7" w14:textId="77777777" w:rsidR="00B24F12" w:rsidRPr="0034193C" w:rsidRDefault="00B24F12" w:rsidP="009F7915">
            <w:pPr>
              <w:jc w:val="left"/>
              <w:rPr>
                <w:bCs/>
                <w:color w:val="FFFFFF" w:themeColor="background1"/>
                <w:szCs w:val="16"/>
              </w:rPr>
            </w:pPr>
            <w:r w:rsidRPr="0034193C">
              <w:rPr>
                <w:bCs/>
                <w:color w:val="FFFFFF" w:themeColor="background1"/>
                <w:szCs w:val="16"/>
              </w:rPr>
              <w:t>Land</w:t>
            </w:r>
          </w:p>
        </w:tc>
        <w:tc>
          <w:tcPr>
            <w:tcW w:w="0" w:type="pct"/>
            <w:tcBorders>
              <w:top w:val="nil"/>
              <w:left w:val="nil"/>
              <w:bottom w:val="nil"/>
              <w:right w:val="nil"/>
            </w:tcBorders>
            <w:noWrap/>
            <w:hideMark/>
          </w:tcPr>
          <w:p w14:paraId="59DC1157" w14:textId="77777777" w:rsidR="00B24F12" w:rsidRPr="0034193C" w:rsidRDefault="00B24F12" w:rsidP="001E219D">
            <w:pPr>
              <w:cnfStyle w:val="100000000000" w:firstRow="1" w:lastRow="0" w:firstColumn="0" w:lastColumn="0" w:oddVBand="0" w:evenVBand="0" w:oddHBand="0" w:evenHBand="0" w:firstRowFirstColumn="0" w:firstRowLastColumn="0" w:lastRowFirstColumn="0" w:lastRowLastColumn="0"/>
              <w:rPr>
                <w:bCs/>
                <w:color w:val="FFFFFF" w:themeColor="background1"/>
                <w:szCs w:val="16"/>
              </w:rPr>
            </w:pPr>
            <w:r w:rsidRPr="0034193C">
              <w:rPr>
                <w:bCs/>
                <w:color w:val="FFFFFF" w:themeColor="background1"/>
                <w:szCs w:val="16"/>
              </w:rPr>
              <w:t>2012</w:t>
            </w:r>
          </w:p>
        </w:tc>
        <w:tc>
          <w:tcPr>
            <w:tcW w:w="0" w:type="pct"/>
            <w:tcBorders>
              <w:top w:val="nil"/>
              <w:left w:val="nil"/>
              <w:bottom w:val="nil"/>
              <w:right w:val="nil"/>
            </w:tcBorders>
            <w:noWrap/>
            <w:hideMark/>
          </w:tcPr>
          <w:p w14:paraId="6A921EC1"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2013</w:t>
            </w:r>
          </w:p>
        </w:tc>
        <w:tc>
          <w:tcPr>
            <w:tcW w:w="0" w:type="pct"/>
            <w:tcBorders>
              <w:top w:val="nil"/>
              <w:left w:val="nil"/>
              <w:bottom w:val="nil"/>
              <w:right w:val="nil"/>
            </w:tcBorders>
            <w:noWrap/>
            <w:hideMark/>
          </w:tcPr>
          <w:p w14:paraId="02B2BE64"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2014</w:t>
            </w:r>
          </w:p>
        </w:tc>
        <w:tc>
          <w:tcPr>
            <w:tcW w:w="0" w:type="pct"/>
            <w:tcBorders>
              <w:top w:val="nil"/>
              <w:left w:val="nil"/>
              <w:bottom w:val="nil"/>
              <w:right w:val="nil"/>
            </w:tcBorders>
            <w:noWrap/>
            <w:hideMark/>
          </w:tcPr>
          <w:p w14:paraId="1E3EA180"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2015</w:t>
            </w:r>
          </w:p>
        </w:tc>
        <w:tc>
          <w:tcPr>
            <w:tcW w:w="0" w:type="pct"/>
            <w:tcBorders>
              <w:top w:val="nil"/>
              <w:left w:val="nil"/>
              <w:bottom w:val="nil"/>
              <w:right w:val="nil"/>
            </w:tcBorders>
            <w:noWrap/>
            <w:hideMark/>
          </w:tcPr>
          <w:p w14:paraId="63C6748E"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2016</w:t>
            </w:r>
          </w:p>
        </w:tc>
        <w:tc>
          <w:tcPr>
            <w:tcW w:w="0" w:type="pct"/>
            <w:tcBorders>
              <w:top w:val="nil"/>
              <w:left w:val="nil"/>
              <w:bottom w:val="nil"/>
              <w:right w:val="nil"/>
            </w:tcBorders>
            <w:noWrap/>
            <w:hideMark/>
          </w:tcPr>
          <w:p w14:paraId="4F726040"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2017</w:t>
            </w:r>
          </w:p>
        </w:tc>
        <w:tc>
          <w:tcPr>
            <w:tcW w:w="0" w:type="pct"/>
            <w:tcBorders>
              <w:top w:val="nil"/>
              <w:left w:val="nil"/>
              <w:bottom w:val="nil"/>
              <w:right w:val="nil"/>
            </w:tcBorders>
            <w:noWrap/>
            <w:hideMark/>
          </w:tcPr>
          <w:p w14:paraId="71E349F8"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2018</w:t>
            </w:r>
          </w:p>
        </w:tc>
        <w:tc>
          <w:tcPr>
            <w:tcW w:w="0" w:type="pct"/>
            <w:tcBorders>
              <w:top w:val="nil"/>
              <w:left w:val="nil"/>
              <w:bottom w:val="nil"/>
              <w:right w:val="nil"/>
            </w:tcBorders>
            <w:noWrap/>
            <w:hideMark/>
          </w:tcPr>
          <w:p w14:paraId="37999D50"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2019</w:t>
            </w:r>
          </w:p>
        </w:tc>
        <w:tc>
          <w:tcPr>
            <w:tcW w:w="0" w:type="pct"/>
            <w:tcBorders>
              <w:top w:val="nil"/>
              <w:left w:val="nil"/>
              <w:bottom w:val="nil"/>
              <w:right w:val="nil"/>
            </w:tcBorders>
            <w:noWrap/>
            <w:hideMark/>
          </w:tcPr>
          <w:p w14:paraId="1B34E766"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2020</w:t>
            </w:r>
          </w:p>
        </w:tc>
        <w:tc>
          <w:tcPr>
            <w:tcW w:w="0" w:type="pct"/>
            <w:tcBorders>
              <w:top w:val="nil"/>
              <w:left w:val="nil"/>
              <w:bottom w:val="nil"/>
              <w:right w:val="nil"/>
            </w:tcBorders>
            <w:noWrap/>
            <w:hideMark/>
          </w:tcPr>
          <w:p w14:paraId="579DE5A8" w14:textId="77777777" w:rsidR="00B24F12" w:rsidRPr="00B24F12" w:rsidRDefault="00B24F12" w:rsidP="001E219D">
            <w:pPr>
              <w:cnfStyle w:val="100000000000" w:firstRow="1" w:lastRow="0" w:firstColumn="0" w:lastColumn="0" w:oddVBand="0" w:evenVBand="0" w:oddHBand="0" w:evenHBand="0" w:firstRowFirstColumn="0" w:firstRowLastColumn="0" w:lastRowFirstColumn="0" w:lastRowLastColumn="0"/>
            </w:pPr>
            <w:r w:rsidRPr="00B24F12">
              <w:t>2021</w:t>
            </w:r>
          </w:p>
        </w:tc>
      </w:tr>
      <w:tr w:rsidR="000E3BC2" w:rsidRPr="00B24F12" w14:paraId="5B1A010B" w14:textId="77777777" w:rsidTr="00267CE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tcBorders>
              <w:top w:val="nil"/>
            </w:tcBorders>
            <w:noWrap/>
            <w:hideMark/>
          </w:tcPr>
          <w:p w14:paraId="56566763" w14:textId="77777777" w:rsidR="00B24F12" w:rsidRPr="00A83665" w:rsidRDefault="00B24F12" w:rsidP="004548B5">
            <w:pPr>
              <w:rPr>
                <w:rFonts w:cstheme="minorHAnsi"/>
                <w:szCs w:val="16"/>
              </w:rPr>
            </w:pPr>
            <w:r w:rsidRPr="00A83665">
              <w:rPr>
                <w:rFonts w:cstheme="minorHAnsi"/>
                <w:szCs w:val="16"/>
              </w:rPr>
              <w:t>Storbritannia</w:t>
            </w:r>
          </w:p>
        </w:tc>
        <w:tc>
          <w:tcPr>
            <w:tcW w:w="0" w:type="pct"/>
            <w:tcBorders>
              <w:top w:val="nil"/>
            </w:tcBorders>
            <w:noWrap/>
            <w:hideMark/>
          </w:tcPr>
          <w:p w14:paraId="4BC92C30" w14:textId="7CBBEF52"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w:t>
            </w:r>
            <w:r w:rsidR="0070255C" w:rsidRPr="00A83665">
              <w:rPr>
                <w:rFonts w:cstheme="minorHAnsi"/>
                <w:szCs w:val="16"/>
              </w:rPr>
              <w:t> </w:t>
            </w:r>
            <w:r w:rsidRPr="00A83665">
              <w:rPr>
                <w:rFonts w:cstheme="minorHAnsi"/>
                <w:szCs w:val="16"/>
              </w:rPr>
              <w:t>622</w:t>
            </w:r>
          </w:p>
        </w:tc>
        <w:tc>
          <w:tcPr>
            <w:tcW w:w="0" w:type="pct"/>
            <w:tcBorders>
              <w:top w:val="nil"/>
            </w:tcBorders>
            <w:noWrap/>
            <w:hideMark/>
          </w:tcPr>
          <w:p w14:paraId="7FB10480" w14:textId="50D924DC"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w:t>
            </w:r>
            <w:r w:rsidR="0070255C" w:rsidRPr="00A83665">
              <w:rPr>
                <w:rFonts w:cstheme="minorHAnsi"/>
                <w:szCs w:val="16"/>
              </w:rPr>
              <w:t> </w:t>
            </w:r>
            <w:r w:rsidRPr="00A83665">
              <w:rPr>
                <w:rFonts w:cstheme="minorHAnsi"/>
                <w:szCs w:val="16"/>
              </w:rPr>
              <w:t>003</w:t>
            </w:r>
          </w:p>
        </w:tc>
        <w:tc>
          <w:tcPr>
            <w:tcW w:w="0" w:type="pct"/>
            <w:tcBorders>
              <w:top w:val="nil"/>
            </w:tcBorders>
            <w:noWrap/>
            <w:hideMark/>
          </w:tcPr>
          <w:p w14:paraId="4506A540" w14:textId="3567E05E"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w:t>
            </w:r>
            <w:r w:rsidR="0070255C" w:rsidRPr="00A83665">
              <w:rPr>
                <w:rFonts w:cstheme="minorHAnsi"/>
                <w:szCs w:val="16"/>
              </w:rPr>
              <w:t> </w:t>
            </w:r>
            <w:r w:rsidRPr="00A83665">
              <w:rPr>
                <w:rFonts w:cstheme="minorHAnsi"/>
                <w:szCs w:val="16"/>
              </w:rPr>
              <w:t>295</w:t>
            </w:r>
          </w:p>
        </w:tc>
        <w:tc>
          <w:tcPr>
            <w:tcW w:w="0" w:type="pct"/>
            <w:tcBorders>
              <w:top w:val="nil"/>
            </w:tcBorders>
            <w:noWrap/>
            <w:hideMark/>
          </w:tcPr>
          <w:p w14:paraId="2AFE60BE" w14:textId="6D1744D2"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w:t>
            </w:r>
            <w:r w:rsidR="0070255C" w:rsidRPr="00A83665">
              <w:rPr>
                <w:rFonts w:cstheme="minorHAnsi"/>
                <w:szCs w:val="16"/>
              </w:rPr>
              <w:t> </w:t>
            </w:r>
            <w:r w:rsidRPr="00A83665">
              <w:rPr>
                <w:rFonts w:cstheme="minorHAnsi"/>
                <w:szCs w:val="16"/>
              </w:rPr>
              <w:t>078</w:t>
            </w:r>
          </w:p>
        </w:tc>
        <w:tc>
          <w:tcPr>
            <w:tcW w:w="0" w:type="pct"/>
            <w:tcBorders>
              <w:top w:val="nil"/>
            </w:tcBorders>
            <w:noWrap/>
            <w:hideMark/>
          </w:tcPr>
          <w:p w14:paraId="7BD2205A" w14:textId="30B821DA"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w:t>
            </w:r>
            <w:r w:rsidR="0070255C" w:rsidRPr="00A83665">
              <w:rPr>
                <w:rFonts w:cstheme="minorHAnsi"/>
                <w:szCs w:val="16"/>
              </w:rPr>
              <w:t> </w:t>
            </w:r>
            <w:r w:rsidRPr="00A83665">
              <w:rPr>
                <w:rFonts w:cstheme="minorHAnsi"/>
                <w:szCs w:val="16"/>
              </w:rPr>
              <w:t>568</w:t>
            </w:r>
          </w:p>
        </w:tc>
        <w:tc>
          <w:tcPr>
            <w:tcW w:w="0" w:type="pct"/>
            <w:tcBorders>
              <w:top w:val="nil"/>
            </w:tcBorders>
            <w:noWrap/>
            <w:hideMark/>
          </w:tcPr>
          <w:p w14:paraId="473019E6" w14:textId="22F781E3"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w:t>
            </w:r>
            <w:r w:rsidR="0070255C" w:rsidRPr="00A83665">
              <w:rPr>
                <w:rFonts w:cstheme="minorHAnsi"/>
                <w:szCs w:val="16"/>
              </w:rPr>
              <w:t> </w:t>
            </w:r>
            <w:r w:rsidRPr="00A83665">
              <w:rPr>
                <w:rFonts w:cstheme="minorHAnsi"/>
                <w:szCs w:val="16"/>
              </w:rPr>
              <w:t>326</w:t>
            </w:r>
          </w:p>
        </w:tc>
        <w:tc>
          <w:tcPr>
            <w:tcW w:w="0" w:type="pct"/>
            <w:tcBorders>
              <w:top w:val="nil"/>
            </w:tcBorders>
            <w:noWrap/>
            <w:hideMark/>
          </w:tcPr>
          <w:p w14:paraId="1B5E7A7A" w14:textId="0C3EA534"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w:t>
            </w:r>
            <w:r w:rsidR="0070255C" w:rsidRPr="00A83665">
              <w:rPr>
                <w:rFonts w:cstheme="minorHAnsi"/>
                <w:szCs w:val="16"/>
              </w:rPr>
              <w:t> </w:t>
            </w:r>
            <w:r w:rsidRPr="00A83665">
              <w:rPr>
                <w:rFonts w:cstheme="minorHAnsi"/>
                <w:szCs w:val="16"/>
              </w:rPr>
              <w:t>058</w:t>
            </w:r>
          </w:p>
        </w:tc>
        <w:tc>
          <w:tcPr>
            <w:tcW w:w="0" w:type="pct"/>
            <w:tcBorders>
              <w:top w:val="nil"/>
            </w:tcBorders>
            <w:noWrap/>
            <w:hideMark/>
          </w:tcPr>
          <w:p w14:paraId="128D5FB5" w14:textId="647B572F"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w:t>
            </w:r>
            <w:r w:rsidR="00E53C65" w:rsidRPr="00A83665">
              <w:rPr>
                <w:rFonts w:cstheme="minorHAnsi"/>
                <w:szCs w:val="16"/>
              </w:rPr>
              <w:t> </w:t>
            </w:r>
            <w:r w:rsidRPr="00A83665">
              <w:rPr>
                <w:rFonts w:cstheme="minorHAnsi"/>
                <w:szCs w:val="16"/>
              </w:rPr>
              <w:t>885</w:t>
            </w:r>
          </w:p>
        </w:tc>
        <w:tc>
          <w:tcPr>
            <w:tcW w:w="0" w:type="pct"/>
            <w:tcBorders>
              <w:top w:val="nil"/>
            </w:tcBorders>
            <w:noWrap/>
            <w:hideMark/>
          </w:tcPr>
          <w:p w14:paraId="549D5DDF" w14:textId="6ACCA573"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w:t>
            </w:r>
            <w:r w:rsidR="00E53C65" w:rsidRPr="00A83665">
              <w:rPr>
                <w:rFonts w:cstheme="minorHAnsi"/>
                <w:szCs w:val="16"/>
              </w:rPr>
              <w:t> </w:t>
            </w:r>
            <w:r w:rsidRPr="00A83665">
              <w:rPr>
                <w:rFonts w:cstheme="minorHAnsi"/>
                <w:szCs w:val="16"/>
              </w:rPr>
              <w:t>695</w:t>
            </w:r>
          </w:p>
        </w:tc>
        <w:tc>
          <w:tcPr>
            <w:tcW w:w="0" w:type="pct"/>
            <w:tcBorders>
              <w:top w:val="nil"/>
            </w:tcBorders>
            <w:noWrap/>
            <w:hideMark/>
          </w:tcPr>
          <w:p w14:paraId="342719EA" w14:textId="47F424E3"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w:t>
            </w:r>
            <w:r w:rsidR="00E53C65" w:rsidRPr="00A83665">
              <w:rPr>
                <w:rFonts w:cstheme="minorHAnsi"/>
                <w:szCs w:val="16"/>
              </w:rPr>
              <w:t> </w:t>
            </w:r>
            <w:r w:rsidRPr="00A83665">
              <w:rPr>
                <w:rFonts w:cstheme="minorHAnsi"/>
                <w:szCs w:val="16"/>
              </w:rPr>
              <w:t>353</w:t>
            </w:r>
          </w:p>
        </w:tc>
      </w:tr>
      <w:tr w:rsidR="000E3BC2" w:rsidRPr="00B24F12" w14:paraId="4F3BC3E9" w14:textId="77777777" w:rsidTr="0001395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0FA6F770" w14:textId="77777777" w:rsidR="00B24F12" w:rsidRPr="00A83665" w:rsidRDefault="00B24F12" w:rsidP="004548B5">
            <w:pPr>
              <w:rPr>
                <w:rFonts w:cstheme="minorHAnsi"/>
                <w:szCs w:val="16"/>
              </w:rPr>
            </w:pPr>
            <w:r w:rsidRPr="00A83665">
              <w:rPr>
                <w:rFonts w:cstheme="minorHAnsi"/>
                <w:szCs w:val="16"/>
              </w:rPr>
              <w:t>Danmark</w:t>
            </w:r>
          </w:p>
        </w:tc>
        <w:tc>
          <w:tcPr>
            <w:tcW w:w="0" w:type="pct"/>
            <w:noWrap/>
            <w:hideMark/>
          </w:tcPr>
          <w:p w14:paraId="136F4182" w14:textId="7C37F8E5"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793</w:t>
            </w:r>
          </w:p>
        </w:tc>
        <w:tc>
          <w:tcPr>
            <w:tcW w:w="0" w:type="pct"/>
            <w:noWrap/>
            <w:hideMark/>
          </w:tcPr>
          <w:p w14:paraId="2E30C616" w14:textId="0A5460A1"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802</w:t>
            </w:r>
          </w:p>
        </w:tc>
        <w:tc>
          <w:tcPr>
            <w:tcW w:w="0" w:type="pct"/>
            <w:noWrap/>
            <w:hideMark/>
          </w:tcPr>
          <w:p w14:paraId="202BF3C4" w14:textId="620BC8A4"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745</w:t>
            </w:r>
          </w:p>
        </w:tc>
        <w:tc>
          <w:tcPr>
            <w:tcW w:w="0" w:type="pct"/>
            <w:noWrap/>
            <w:hideMark/>
          </w:tcPr>
          <w:p w14:paraId="51335B67" w14:textId="791D38B5"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770</w:t>
            </w:r>
          </w:p>
        </w:tc>
        <w:tc>
          <w:tcPr>
            <w:tcW w:w="0" w:type="pct"/>
            <w:noWrap/>
            <w:hideMark/>
          </w:tcPr>
          <w:p w14:paraId="3A4656E9" w14:textId="71155EA1"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514</w:t>
            </w:r>
          </w:p>
        </w:tc>
        <w:tc>
          <w:tcPr>
            <w:tcW w:w="0" w:type="pct"/>
            <w:noWrap/>
            <w:hideMark/>
          </w:tcPr>
          <w:p w14:paraId="3780EFFA" w14:textId="5BDC2F76"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454</w:t>
            </w:r>
          </w:p>
        </w:tc>
        <w:tc>
          <w:tcPr>
            <w:tcW w:w="0" w:type="pct"/>
            <w:noWrap/>
            <w:hideMark/>
          </w:tcPr>
          <w:p w14:paraId="688320A9" w14:textId="2915AE24"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371</w:t>
            </w:r>
          </w:p>
        </w:tc>
        <w:tc>
          <w:tcPr>
            <w:tcW w:w="0" w:type="pct"/>
            <w:noWrap/>
            <w:hideMark/>
          </w:tcPr>
          <w:p w14:paraId="0988E13E" w14:textId="3FC6609D"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408</w:t>
            </w:r>
          </w:p>
        </w:tc>
        <w:tc>
          <w:tcPr>
            <w:tcW w:w="0" w:type="pct"/>
            <w:noWrap/>
            <w:hideMark/>
          </w:tcPr>
          <w:p w14:paraId="6335C5F0" w14:textId="3875301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277</w:t>
            </w:r>
          </w:p>
        </w:tc>
        <w:tc>
          <w:tcPr>
            <w:tcW w:w="0" w:type="pct"/>
            <w:noWrap/>
            <w:hideMark/>
          </w:tcPr>
          <w:p w14:paraId="20F76DCB" w14:textId="02C2C005"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083</w:t>
            </w:r>
          </w:p>
        </w:tc>
      </w:tr>
      <w:tr w:rsidR="000E3BC2" w:rsidRPr="00B24F12" w14:paraId="6AC536E9" w14:textId="77777777" w:rsidTr="000139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42D7A034" w14:textId="77777777" w:rsidR="00B24F12" w:rsidRPr="00A83665" w:rsidRDefault="00B24F12" w:rsidP="004548B5">
            <w:pPr>
              <w:rPr>
                <w:rFonts w:cstheme="minorHAnsi"/>
                <w:szCs w:val="16"/>
              </w:rPr>
            </w:pPr>
            <w:r w:rsidRPr="00A83665">
              <w:rPr>
                <w:rFonts w:cstheme="minorHAnsi"/>
                <w:szCs w:val="16"/>
              </w:rPr>
              <w:t>USA</w:t>
            </w:r>
          </w:p>
        </w:tc>
        <w:tc>
          <w:tcPr>
            <w:tcW w:w="0" w:type="pct"/>
            <w:noWrap/>
            <w:hideMark/>
          </w:tcPr>
          <w:p w14:paraId="6529CD92" w14:textId="25BE9C30"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637</w:t>
            </w:r>
          </w:p>
        </w:tc>
        <w:tc>
          <w:tcPr>
            <w:tcW w:w="0" w:type="pct"/>
            <w:noWrap/>
            <w:hideMark/>
          </w:tcPr>
          <w:p w14:paraId="0FC03C59" w14:textId="42A6853A"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840</w:t>
            </w:r>
          </w:p>
        </w:tc>
        <w:tc>
          <w:tcPr>
            <w:tcW w:w="0" w:type="pct"/>
            <w:noWrap/>
            <w:hideMark/>
          </w:tcPr>
          <w:p w14:paraId="5CD7E1CB" w14:textId="550F2FB8"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088</w:t>
            </w:r>
          </w:p>
        </w:tc>
        <w:tc>
          <w:tcPr>
            <w:tcW w:w="0" w:type="pct"/>
            <w:noWrap/>
            <w:hideMark/>
          </w:tcPr>
          <w:p w14:paraId="60FE232D" w14:textId="413CFAD8"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096</w:t>
            </w:r>
          </w:p>
        </w:tc>
        <w:tc>
          <w:tcPr>
            <w:tcW w:w="0" w:type="pct"/>
            <w:noWrap/>
            <w:hideMark/>
          </w:tcPr>
          <w:p w14:paraId="10986DE9" w14:textId="29F9EE3D"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968</w:t>
            </w:r>
          </w:p>
        </w:tc>
        <w:tc>
          <w:tcPr>
            <w:tcW w:w="0" w:type="pct"/>
            <w:noWrap/>
            <w:hideMark/>
          </w:tcPr>
          <w:p w14:paraId="42BD4116" w14:textId="5E974D12"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905</w:t>
            </w:r>
          </w:p>
        </w:tc>
        <w:tc>
          <w:tcPr>
            <w:tcW w:w="0" w:type="pct"/>
            <w:noWrap/>
            <w:hideMark/>
          </w:tcPr>
          <w:p w14:paraId="7176C0BB" w14:textId="1D95A3E9"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858</w:t>
            </w:r>
          </w:p>
        </w:tc>
        <w:tc>
          <w:tcPr>
            <w:tcW w:w="0" w:type="pct"/>
            <w:noWrap/>
            <w:hideMark/>
          </w:tcPr>
          <w:p w14:paraId="73CCBAAB" w14:textId="26DCC6B5"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750</w:t>
            </w:r>
          </w:p>
        </w:tc>
        <w:tc>
          <w:tcPr>
            <w:tcW w:w="0" w:type="pct"/>
            <w:noWrap/>
            <w:hideMark/>
          </w:tcPr>
          <w:p w14:paraId="10223254" w14:textId="246C09EA"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472</w:t>
            </w:r>
          </w:p>
        </w:tc>
        <w:tc>
          <w:tcPr>
            <w:tcW w:w="0" w:type="pct"/>
            <w:noWrap/>
            <w:hideMark/>
          </w:tcPr>
          <w:p w14:paraId="0AF16BE7" w14:textId="044D353F"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666</w:t>
            </w:r>
          </w:p>
        </w:tc>
      </w:tr>
      <w:tr w:rsidR="000E3BC2" w:rsidRPr="00B24F12" w14:paraId="50B54A18" w14:textId="77777777" w:rsidTr="0001395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2AD8791D" w14:textId="77777777" w:rsidR="00B24F12" w:rsidRPr="00A83665" w:rsidRDefault="00B24F12" w:rsidP="004548B5">
            <w:pPr>
              <w:rPr>
                <w:rFonts w:cstheme="minorHAnsi"/>
                <w:szCs w:val="16"/>
              </w:rPr>
            </w:pPr>
            <w:r w:rsidRPr="00A83665">
              <w:rPr>
                <w:rFonts w:cstheme="minorHAnsi"/>
                <w:szCs w:val="16"/>
              </w:rPr>
              <w:t>Polen</w:t>
            </w:r>
          </w:p>
        </w:tc>
        <w:tc>
          <w:tcPr>
            <w:tcW w:w="0" w:type="pct"/>
            <w:noWrap/>
            <w:hideMark/>
          </w:tcPr>
          <w:p w14:paraId="4DAB19BD" w14:textId="1C7AA106"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523</w:t>
            </w:r>
          </w:p>
        </w:tc>
        <w:tc>
          <w:tcPr>
            <w:tcW w:w="0" w:type="pct"/>
            <w:noWrap/>
            <w:hideMark/>
          </w:tcPr>
          <w:p w14:paraId="38073716" w14:textId="0951E4AE"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504</w:t>
            </w:r>
          </w:p>
        </w:tc>
        <w:tc>
          <w:tcPr>
            <w:tcW w:w="0" w:type="pct"/>
            <w:noWrap/>
            <w:hideMark/>
          </w:tcPr>
          <w:p w14:paraId="07D90F27" w14:textId="75F1B73A"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566</w:t>
            </w:r>
          </w:p>
        </w:tc>
        <w:tc>
          <w:tcPr>
            <w:tcW w:w="0" w:type="pct"/>
            <w:noWrap/>
            <w:hideMark/>
          </w:tcPr>
          <w:p w14:paraId="2D26FB93" w14:textId="5B701565"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604</w:t>
            </w:r>
          </w:p>
        </w:tc>
        <w:tc>
          <w:tcPr>
            <w:tcW w:w="0" w:type="pct"/>
            <w:noWrap/>
            <w:hideMark/>
          </w:tcPr>
          <w:p w14:paraId="4B8DF6EA" w14:textId="74357100"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553</w:t>
            </w:r>
          </w:p>
        </w:tc>
        <w:tc>
          <w:tcPr>
            <w:tcW w:w="0" w:type="pct"/>
            <w:noWrap/>
            <w:hideMark/>
          </w:tcPr>
          <w:p w14:paraId="204657E9" w14:textId="6D74840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524</w:t>
            </w:r>
          </w:p>
        </w:tc>
        <w:tc>
          <w:tcPr>
            <w:tcW w:w="0" w:type="pct"/>
            <w:noWrap/>
            <w:hideMark/>
          </w:tcPr>
          <w:p w14:paraId="45A74482" w14:textId="10BDDB6B"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538</w:t>
            </w:r>
          </w:p>
        </w:tc>
        <w:tc>
          <w:tcPr>
            <w:tcW w:w="0" w:type="pct"/>
            <w:noWrap/>
            <w:hideMark/>
          </w:tcPr>
          <w:p w14:paraId="3CFC1847" w14:textId="7EBFC280"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579</w:t>
            </w:r>
          </w:p>
        </w:tc>
        <w:tc>
          <w:tcPr>
            <w:tcW w:w="0" w:type="pct"/>
            <w:noWrap/>
            <w:hideMark/>
          </w:tcPr>
          <w:p w14:paraId="2E3C2899" w14:textId="5FC515A8"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547</w:t>
            </w:r>
          </w:p>
        </w:tc>
        <w:tc>
          <w:tcPr>
            <w:tcW w:w="0" w:type="pct"/>
            <w:noWrap/>
            <w:hideMark/>
          </w:tcPr>
          <w:p w14:paraId="54EE3006" w14:textId="2100528F"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530</w:t>
            </w:r>
          </w:p>
        </w:tc>
      </w:tr>
      <w:tr w:rsidR="000E3BC2" w:rsidRPr="00B24F12" w14:paraId="4249D480" w14:textId="77777777" w:rsidTr="000139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55E8547B" w14:textId="77777777" w:rsidR="00B24F12" w:rsidRPr="00A83665" w:rsidRDefault="00B24F12" w:rsidP="004548B5">
            <w:pPr>
              <w:rPr>
                <w:rFonts w:cstheme="minorHAnsi"/>
                <w:szCs w:val="16"/>
              </w:rPr>
            </w:pPr>
            <w:r w:rsidRPr="00A83665">
              <w:rPr>
                <w:rFonts w:cstheme="minorHAnsi"/>
                <w:szCs w:val="16"/>
              </w:rPr>
              <w:t>Nederland</w:t>
            </w:r>
          </w:p>
        </w:tc>
        <w:tc>
          <w:tcPr>
            <w:tcW w:w="0" w:type="pct"/>
            <w:noWrap/>
            <w:hideMark/>
          </w:tcPr>
          <w:p w14:paraId="4CFDE3C0"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386</w:t>
            </w:r>
          </w:p>
        </w:tc>
        <w:tc>
          <w:tcPr>
            <w:tcW w:w="0" w:type="pct"/>
            <w:noWrap/>
            <w:hideMark/>
          </w:tcPr>
          <w:p w14:paraId="43171A43"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381</w:t>
            </w:r>
          </w:p>
        </w:tc>
        <w:tc>
          <w:tcPr>
            <w:tcW w:w="0" w:type="pct"/>
            <w:noWrap/>
            <w:hideMark/>
          </w:tcPr>
          <w:p w14:paraId="68574A30"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377</w:t>
            </w:r>
          </w:p>
        </w:tc>
        <w:tc>
          <w:tcPr>
            <w:tcW w:w="0" w:type="pct"/>
            <w:noWrap/>
            <w:hideMark/>
          </w:tcPr>
          <w:p w14:paraId="77C60912"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405</w:t>
            </w:r>
          </w:p>
        </w:tc>
        <w:tc>
          <w:tcPr>
            <w:tcW w:w="0" w:type="pct"/>
            <w:noWrap/>
            <w:hideMark/>
          </w:tcPr>
          <w:p w14:paraId="0356FE7D"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450</w:t>
            </w:r>
          </w:p>
        </w:tc>
        <w:tc>
          <w:tcPr>
            <w:tcW w:w="0" w:type="pct"/>
            <w:noWrap/>
            <w:hideMark/>
          </w:tcPr>
          <w:p w14:paraId="3B6DBA22"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519</w:t>
            </w:r>
          </w:p>
        </w:tc>
        <w:tc>
          <w:tcPr>
            <w:tcW w:w="0" w:type="pct"/>
            <w:noWrap/>
            <w:hideMark/>
          </w:tcPr>
          <w:p w14:paraId="7B8A7115"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599</w:t>
            </w:r>
          </w:p>
        </w:tc>
        <w:tc>
          <w:tcPr>
            <w:tcW w:w="0" w:type="pct"/>
            <w:noWrap/>
            <w:hideMark/>
          </w:tcPr>
          <w:p w14:paraId="09211E74"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614</w:t>
            </w:r>
          </w:p>
        </w:tc>
        <w:tc>
          <w:tcPr>
            <w:tcW w:w="0" w:type="pct"/>
            <w:noWrap/>
            <w:hideMark/>
          </w:tcPr>
          <w:p w14:paraId="569A0A4D"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664</w:t>
            </w:r>
          </w:p>
        </w:tc>
        <w:tc>
          <w:tcPr>
            <w:tcW w:w="0" w:type="pct"/>
            <w:noWrap/>
            <w:hideMark/>
          </w:tcPr>
          <w:p w14:paraId="6E8A14B8"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727</w:t>
            </w:r>
          </w:p>
        </w:tc>
      </w:tr>
      <w:tr w:rsidR="000E3BC2" w:rsidRPr="00B24F12" w14:paraId="297021E8" w14:textId="77777777" w:rsidTr="0001395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2569FD81" w14:textId="77777777" w:rsidR="00B24F12" w:rsidRPr="00A83665" w:rsidRDefault="00B24F12" w:rsidP="004548B5">
            <w:pPr>
              <w:rPr>
                <w:rFonts w:cstheme="minorHAnsi"/>
                <w:szCs w:val="16"/>
              </w:rPr>
            </w:pPr>
            <w:r w:rsidRPr="00A83665">
              <w:rPr>
                <w:rFonts w:cstheme="minorHAnsi"/>
                <w:szCs w:val="16"/>
              </w:rPr>
              <w:t>Ungarn</w:t>
            </w:r>
          </w:p>
        </w:tc>
        <w:tc>
          <w:tcPr>
            <w:tcW w:w="0" w:type="pct"/>
            <w:noWrap/>
            <w:hideMark/>
          </w:tcPr>
          <w:p w14:paraId="6E2F10E2"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856</w:t>
            </w:r>
          </w:p>
        </w:tc>
        <w:tc>
          <w:tcPr>
            <w:tcW w:w="0" w:type="pct"/>
            <w:noWrap/>
            <w:hideMark/>
          </w:tcPr>
          <w:p w14:paraId="1EA791D5"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814</w:t>
            </w:r>
          </w:p>
        </w:tc>
        <w:tc>
          <w:tcPr>
            <w:tcW w:w="0" w:type="pct"/>
            <w:noWrap/>
            <w:hideMark/>
          </w:tcPr>
          <w:p w14:paraId="1D92693B"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924</w:t>
            </w:r>
          </w:p>
        </w:tc>
        <w:tc>
          <w:tcPr>
            <w:tcW w:w="0" w:type="pct"/>
            <w:noWrap/>
            <w:hideMark/>
          </w:tcPr>
          <w:p w14:paraId="14DBAF8A"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997</w:t>
            </w:r>
          </w:p>
        </w:tc>
        <w:tc>
          <w:tcPr>
            <w:tcW w:w="0" w:type="pct"/>
            <w:noWrap/>
            <w:hideMark/>
          </w:tcPr>
          <w:p w14:paraId="4AE9EFF6"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1043</w:t>
            </w:r>
          </w:p>
        </w:tc>
        <w:tc>
          <w:tcPr>
            <w:tcW w:w="0" w:type="pct"/>
            <w:noWrap/>
            <w:hideMark/>
          </w:tcPr>
          <w:p w14:paraId="0BA79E5E"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949</w:t>
            </w:r>
          </w:p>
        </w:tc>
        <w:tc>
          <w:tcPr>
            <w:tcW w:w="0" w:type="pct"/>
            <w:noWrap/>
            <w:hideMark/>
          </w:tcPr>
          <w:p w14:paraId="38732223"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874</w:t>
            </w:r>
          </w:p>
        </w:tc>
        <w:tc>
          <w:tcPr>
            <w:tcW w:w="0" w:type="pct"/>
            <w:noWrap/>
            <w:hideMark/>
          </w:tcPr>
          <w:p w14:paraId="33F17614"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766</w:t>
            </w:r>
          </w:p>
        </w:tc>
        <w:tc>
          <w:tcPr>
            <w:tcW w:w="0" w:type="pct"/>
            <w:noWrap/>
            <w:hideMark/>
          </w:tcPr>
          <w:p w14:paraId="514B9D2E"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721</w:t>
            </w:r>
          </w:p>
        </w:tc>
        <w:tc>
          <w:tcPr>
            <w:tcW w:w="0" w:type="pct"/>
            <w:noWrap/>
            <w:hideMark/>
          </w:tcPr>
          <w:p w14:paraId="5CD9C53A"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712</w:t>
            </w:r>
          </w:p>
        </w:tc>
      </w:tr>
      <w:tr w:rsidR="000E3BC2" w:rsidRPr="00B24F12" w14:paraId="2F0E82EF" w14:textId="77777777" w:rsidTr="000139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4DD180F8" w14:textId="77777777" w:rsidR="00B24F12" w:rsidRPr="00A83665" w:rsidRDefault="00B24F12" w:rsidP="004548B5">
            <w:pPr>
              <w:rPr>
                <w:rFonts w:cstheme="minorHAnsi"/>
                <w:szCs w:val="16"/>
              </w:rPr>
            </w:pPr>
            <w:r w:rsidRPr="00A83665">
              <w:rPr>
                <w:rFonts w:cstheme="minorHAnsi"/>
                <w:szCs w:val="16"/>
              </w:rPr>
              <w:t>Slovakia</w:t>
            </w:r>
          </w:p>
        </w:tc>
        <w:tc>
          <w:tcPr>
            <w:tcW w:w="0" w:type="pct"/>
            <w:noWrap/>
            <w:hideMark/>
          </w:tcPr>
          <w:p w14:paraId="794D9311"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480</w:t>
            </w:r>
          </w:p>
        </w:tc>
        <w:tc>
          <w:tcPr>
            <w:tcW w:w="0" w:type="pct"/>
            <w:noWrap/>
            <w:hideMark/>
          </w:tcPr>
          <w:p w14:paraId="300FDF60"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514</w:t>
            </w:r>
          </w:p>
        </w:tc>
        <w:tc>
          <w:tcPr>
            <w:tcW w:w="0" w:type="pct"/>
            <w:noWrap/>
            <w:hideMark/>
          </w:tcPr>
          <w:p w14:paraId="6BF92470"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529</w:t>
            </w:r>
          </w:p>
        </w:tc>
        <w:tc>
          <w:tcPr>
            <w:tcW w:w="0" w:type="pct"/>
            <w:noWrap/>
            <w:hideMark/>
          </w:tcPr>
          <w:p w14:paraId="4FF7D03A"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547</w:t>
            </w:r>
          </w:p>
        </w:tc>
        <w:tc>
          <w:tcPr>
            <w:tcW w:w="0" w:type="pct"/>
            <w:noWrap/>
            <w:hideMark/>
          </w:tcPr>
          <w:p w14:paraId="70FC1E81"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579</w:t>
            </w:r>
          </w:p>
        </w:tc>
        <w:tc>
          <w:tcPr>
            <w:tcW w:w="0" w:type="pct"/>
            <w:noWrap/>
            <w:hideMark/>
          </w:tcPr>
          <w:p w14:paraId="132B281D"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603</w:t>
            </w:r>
          </w:p>
        </w:tc>
        <w:tc>
          <w:tcPr>
            <w:tcW w:w="0" w:type="pct"/>
            <w:noWrap/>
            <w:hideMark/>
          </w:tcPr>
          <w:p w14:paraId="79AE8DB7"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575</w:t>
            </w:r>
          </w:p>
        </w:tc>
        <w:tc>
          <w:tcPr>
            <w:tcW w:w="0" w:type="pct"/>
            <w:noWrap/>
            <w:hideMark/>
          </w:tcPr>
          <w:p w14:paraId="387F93A0"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541</w:t>
            </w:r>
          </w:p>
        </w:tc>
        <w:tc>
          <w:tcPr>
            <w:tcW w:w="0" w:type="pct"/>
            <w:noWrap/>
            <w:hideMark/>
          </w:tcPr>
          <w:p w14:paraId="114F3B91"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554</w:t>
            </w:r>
          </w:p>
        </w:tc>
        <w:tc>
          <w:tcPr>
            <w:tcW w:w="0" w:type="pct"/>
            <w:noWrap/>
            <w:hideMark/>
          </w:tcPr>
          <w:p w14:paraId="27ACE65F"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545</w:t>
            </w:r>
          </w:p>
        </w:tc>
      </w:tr>
      <w:tr w:rsidR="000E3BC2" w:rsidRPr="00B24F12" w14:paraId="65DA966F" w14:textId="77777777" w:rsidTr="0001395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5AC1DC0C" w14:textId="77777777" w:rsidR="00B24F12" w:rsidRPr="00A83665" w:rsidRDefault="00B24F12" w:rsidP="004548B5">
            <w:pPr>
              <w:rPr>
                <w:rFonts w:cstheme="minorHAnsi"/>
                <w:szCs w:val="16"/>
              </w:rPr>
            </w:pPr>
            <w:r w:rsidRPr="00A83665">
              <w:rPr>
                <w:rFonts w:cstheme="minorHAnsi"/>
                <w:szCs w:val="16"/>
              </w:rPr>
              <w:lastRenderedPageBreak/>
              <w:t>Sverige</w:t>
            </w:r>
          </w:p>
        </w:tc>
        <w:tc>
          <w:tcPr>
            <w:tcW w:w="0" w:type="pct"/>
            <w:noWrap/>
            <w:hideMark/>
          </w:tcPr>
          <w:p w14:paraId="5A238E4D"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770</w:t>
            </w:r>
          </w:p>
        </w:tc>
        <w:tc>
          <w:tcPr>
            <w:tcW w:w="0" w:type="pct"/>
            <w:noWrap/>
            <w:hideMark/>
          </w:tcPr>
          <w:p w14:paraId="211706ED"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656</w:t>
            </w:r>
          </w:p>
        </w:tc>
        <w:tc>
          <w:tcPr>
            <w:tcW w:w="0" w:type="pct"/>
            <w:noWrap/>
            <w:hideMark/>
          </w:tcPr>
          <w:p w14:paraId="0B717B9B"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625</w:t>
            </w:r>
          </w:p>
        </w:tc>
        <w:tc>
          <w:tcPr>
            <w:tcW w:w="0" w:type="pct"/>
            <w:noWrap/>
            <w:hideMark/>
          </w:tcPr>
          <w:p w14:paraId="1B9FA40E"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566</w:t>
            </w:r>
          </w:p>
        </w:tc>
        <w:tc>
          <w:tcPr>
            <w:tcW w:w="0" w:type="pct"/>
            <w:noWrap/>
            <w:hideMark/>
          </w:tcPr>
          <w:p w14:paraId="56657025"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584</w:t>
            </w:r>
          </w:p>
        </w:tc>
        <w:tc>
          <w:tcPr>
            <w:tcW w:w="0" w:type="pct"/>
            <w:noWrap/>
            <w:hideMark/>
          </w:tcPr>
          <w:p w14:paraId="0C8C2B17"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625</w:t>
            </w:r>
          </w:p>
        </w:tc>
        <w:tc>
          <w:tcPr>
            <w:tcW w:w="0" w:type="pct"/>
            <w:noWrap/>
            <w:hideMark/>
          </w:tcPr>
          <w:p w14:paraId="785DB731"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600</w:t>
            </w:r>
          </w:p>
        </w:tc>
        <w:tc>
          <w:tcPr>
            <w:tcW w:w="0" w:type="pct"/>
            <w:noWrap/>
            <w:hideMark/>
          </w:tcPr>
          <w:p w14:paraId="3E49C897"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512</w:t>
            </w:r>
          </w:p>
        </w:tc>
        <w:tc>
          <w:tcPr>
            <w:tcW w:w="0" w:type="pct"/>
            <w:noWrap/>
            <w:hideMark/>
          </w:tcPr>
          <w:p w14:paraId="2FA11103"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473</w:t>
            </w:r>
          </w:p>
        </w:tc>
        <w:tc>
          <w:tcPr>
            <w:tcW w:w="0" w:type="pct"/>
            <w:noWrap/>
            <w:hideMark/>
          </w:tcPr>
          <w:p w14:paraId="511676DB"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451</w:t>
            </w:r>
          </w:p>
        </w:tc>
      </w:tr>
      <w:tr w:rsidR="000E3BC2" w:rsidRPr="00B24F12" w14:paraId="000740EF" w14:textId="77777777" w:rsidTr="000139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0DCA093A" w14:textId="77777777" w:rsidR="00B24F12" w:rsidRPr="00A83665" w:rsidRDefault="00B24F12" w:rsidP="004548B5">
            <w:pPr>
              <w:rPr>
                <w:rFonts w:cstheme="minorHAnsi"/>
                <w:szCs w:val="16"/>
              </w:rPr>
            </w:pPr>
            <w:r w:rsidRPr="00A83665">
              <w:rPr>
                <w:rFonts w:cstheme="minorHAnsi"/>
                <w:szCs w:val="16"/>
              </w:rPr>
              <w:t>Spania</w:t>
            </w:r>
          </w:p>
        </w:tc>
        <w:tc>
          <w:tcPr>
            <w:tcW w:w="0" w:type="pct"/>
            <w:noWrap/>
            <w:hideMark/>
          </w:tcPr>
          <w:p w14:paraId="1AD0B4F0"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132</w:t>
            </w:r>
          </w:p>
        </w:tc>
        <w:tc>
          <w:tcPr>
            <w:tcW w:w="0" w:type="pct"/>
            <w:noWrap/>
            <w:hideMark/>
          </w:tcPr>
          <w:p w14:paraId="53BA1DDF"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136</w:t>
            </w:r>
          </w:p>
        </w:tc>
        <w:tc>
          <w:tcPr>
            <w:tcW w:w="0" w:type="pct"/>
            <w:noWrap/>
            <w:hideMark/>
          </w:tcPr>
          <w:p w14:paraId="2618E72E"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194</w:t>
            </w:r>
          </w:p>
        </w:tc>
        <w:tc>
          <w:tcPr>
            <w:tcW w:w="0" w:type="pct"/>
            <w:noWrap/>
            <w:hideMark/>
          </w:tcPr>
          <w:p w14:paraId="24698A28"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276</w:t>
            </w:r>
          </w:p>
        </w:tc>
        <w:tc>
          <w:tcPr>
            <w:tcW w:w="0" w:type="pct"/>
            <w:noWrap/>
            <w:hideMark/>
          </w:tcPr>
          <w:p w14:paraId="7FE5EE14"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263</w:t>
            </w:r>
          </w:p>
        </w:tc>
        <w:tc>
          <w:tcPr>
            <w:tcW w:w="0" w:type="pct"/>
            <w:noWrap/>
            <w:hideMark/>
          </w:tcPr>
          <w:p w14:paraId="32EB7565"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304</w:t>
            </w:r>
          </w:p>
        </w:tc>
        <w:tc>
          <w:tcPr>
            <w:tcW w:w="0" w:type="pct"/>
            <w:noWrap/>
            <w:hideMark/>
          </w:tcPr>
          <w:p w14:paraId="0E036E8C"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289</w:t>
            </w:r>
          </w:p>
        </w:tc>
        <w:tc>
          <w:tcPr>
            <w:tcW w:w="0" w:type="pct"/>
            <w:noWrap/>
            <w:hideMark/>
          </w:tcPr>
          <w:p w14:paraId="34B4B5F2"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357</w:t>
            </w:r>
          </w:p>
        </w:tc>
        <w:tc>
          <w:tcPr>
            <w:tcW w:w="0" w:type="pct"/>
            <w:noWrap/>
            <w:hideMark/>
          </w:tcPr>
          <w:p w14:paraId="13B4CA87"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392</w:t>
            </w:r>
          </w:p>
        </w:tc>
        <w:tc>
          <w:tcPr>
            <w:tcW w:w="0" w:type="pct"/>
            <w:noWrap/>
            <w:hideMark/>
          </w:tcPr>
          <w:p w14:paraId="19CA46B5" w14:textId="7777777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432</w:t>
            </w:r>
          </w:p>
        </w:tc>
      </w:tr>
      <w:tr w:rsidR="000E3BC2" w:rsidRPr="00B24F12" w14:paraId="3AB627A7" w14:textId="77777777" w:rsidTr="0001395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3152C6A0" w14:textId="77777777" w:rsidR="00B24F12" w:rsidRPr="00A83665" w:rsidRDefault="00B24F12" w:rsidP="004548B5">
            <w:pPr>
              <w:rPr>
                <w:rFonts w:cstheme="minorHAnsi"/>
                <w:szCs w:val="16"/>
              </w:rPr>
            </w:pPr>
            <w:r w:rsidRPr="00A83665">
              <w:rPr>
                <w:rFonts w:cstheme="minorHAnsi"/>
                <w:szCs w:val="16"/>
              </w:rPr>
              <w:t>Australia</w:t>
            </w:r>
          </w:p>
        </w:tc>
        <w:tc>
          <w:tcPr>
            <w:tcW w:w="0" w:type="pct"/>
            <w:noWrap/>
            <w:hideMark/>
          </w:tcPr>
          <w:p w14:paraId="4F9AABA3" w14:textId="278036E0"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188</w:t>
            </w:r>
          </w:p>
        </w:tc>
        <w:tc>
          <w:tcPr>
            <w:tcW w:w="0" w:type="pct"/>
            <w:noWrap/>
            <w:hideMark/>
          </w:tcPr>
          <w:p w14:paraId="7BB76693" w14:textId="7CC6051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080</w:t>
            </w:r>
          </w:p>
        </w:tc>
        <w:tc>
          <w:tcPr>
            <w:tcW w:w="0" w:type="pct"/>
            <w:noWrap/>
            <w:hideMark/>
          </w:tcPr>
          <w:p w14:paraId="45E717DA"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980</w:t>
            </w:r>
          </w:p>
        </w:tc>
        <w:tc>
          <w:tcPr>
            <w:tcW w:w="0" w:type="pct"/>
            <w:noWrap/>
            <w:hideMark/>
          </w:tcPr>
          <w:p w14:paraId="4D8AE92D"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926</w:t>
            </w:r>
          </w:p>
        </w:tc>
        <w:tc>
          <w:tcPr>
            <w:tcW w:w="0" w:type="pct"/>
            <w:noWrap/>
            <w:hideMark/>
          </w:tcPr>
          <w:p w14:paraId="65203B29"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909</w:t>
            </w:r>
          </w:p>
        </w:tc>
        <w:tc>
          <w:tcPr>
            <w:tcW w:w="0" w:type="pct"/>
            <w:noWrap/>
            <w:hideMark/>
          </w:tcPr>
          <w:p w14:paraId="208A8F9A"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906</w:t>
            </w:r>
          </w:p>
        </w:tc>
        <w:tc>
          <w:tcPr>
            <w:tcW w:w="0" w:type="pct"/>
            <w:noWrap/>
            <w:hideMark/>
          </w:tcPr>
          <w:p w14:paraId="7EB3DC83"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848</w:t>
            </w:r>
          </w:p>
        </w:tc>
        <w:tc>
          <w:tcPr>
            <w:tcW w:w="0" w:type="pct"/>
            <w:noWrap/>
            <w:hideMark/>
          </w:tcPr>
          <w:p w14:paraId="551F7810"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714</w:t>
            </w:r>
          </w:p>
        </w:tc>
        <w:tc>
          <w:tcPr>
            <w:tcW w:w="0" w:type="pct"/>
            <w:noWrap/>
            <w:hideMark/>
          </w:tcPr>
          <w:p w14:paraId="334DDC00"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454</w:t>
            </w:r>
          </w:p>
        </w:tc>
        <w:tc>
          <w:tcPr>
            <w:tcW w:w="0" w:type="pct"/>
            <w:noWrap/>
            <w:hideMark/>
          </w:tcPr>
          <w:p w14:paraId="4CFDABD7" w14:textId="77777777" w:rsidR="00B24F12" w:rsidRPr="00A83665"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szCs w:val="16"/>
              </w:rPr>
            </w:pPr>
            <w:r w:rsidRPr="00A83665">
              <w:rPr>
                <w:rFonts w:cstheme="minorHAnsi"/>
                <w:szCs w:val="16"/>
              </w:rPr>
              <w:t>375</w:t>
            </w:r>
          </w:p>
        </w:tc>
      </w:tr>
      <w:tr w:rsidR="000E3BC2" w:rsidRPr="00B24F12" w14:paraId="38D7319A" w14:textId="77777777" w:rsidTr="0001395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791C159F" w14:textId="77777777" w:rsidR="00B24F12" w:rsidRPr="00A83665" w:rsidRDefault="00B24F12" w:rsidP="004548B5">
            <w:pPr>
              <w:rPr>
                <w:rFonts w:cstheme="minorHAnsi"/>
                <w:szCs w:val="16"/>
              </w:rPr>
            </w:pPr>
            <w:r w:rsidRPr="00A83665">
              <w:rPr>
                <w:rFonts w:cstheme="minorHAnsi"/>
                <w:szCs w:val="16"/>
              </w:rPr>
              <w:t>Andre land</w:t>
            </w:r>
          </w:p>
        </w:tc>
        <w:tc>
          <w:tcPr>
            <w:tcW w:w="0" w:type="pct"/>
            <w:noWrap/>
            <w:hideMark/>
          </w:tcPr>
          <w:p w14:paraId="45765A70" w14:textId="53BE3BC4"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884</w:t>
            </w:r>
          </w:p>
        </w:tc>
        <w:tc>
          <w:tcPr>
            <w:tcW w:w="0" w:type="pct"/>
            <w:noWrap/>
            <w:hideMark/>
          </w:tcPr>
          <w:p w14:paraId="68786742" w14:textId="4407A425"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879</w:t>
            </w:r>
          </w:p>
        </w:tc>
        <w:tc>
          <w:tcPr>
            <w:tcW w:w="0" w:type="pct"/>
            <w:noWrap/>
            <w:hideMark/>
          </w:tcPr>
          <w:p w14:paraId="6E1E3061" w14:textId="74310664"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1</w:t>
            </w:r>
            <w:r w:rsidR="00E53C65" w:rsidRPr="00A83665">
              <w:rPr>
                <w:rFonts w:cstheme="minorHAnsi"/>
                <w:szCs w:val="16"/>
              </w:rPr>
              <w:t> </w:t>
            </w:r>
            <w:r w:rsidRPr="00A83665">
              <w:rPr>
                <w:rFonts w:cstheme="minorHAnsi"/>
                <w:szCs w:val="16"/>
              </w:rPr>
              <w:t>970</w:t>
            </w:r>
          </w:p>
        </w:tc>
        <w:tc>
          <w:tcPr>
            <w:tcW w:w="0" w:type="pct"/>
            <w:noWrap/>
            <w:hideMark/>
          </w:tcPr>
          <w:p w14:paraId="1732FE8A" w14:textId="17CF1A33"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177</w:t>
            </w:r>
          </w:p>
        </w:tc>
        <w:tc>
          <w:tcPr>
            <w:tcW w:w="0" w:type="pct"/>
            <w:noWrap/>
            <w:hideMark/>
          </w:tcPr>
          <w:p w14:paraId="1A5BAD02" w14:textId="7F2CD158"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482</w:t>
            </w:r>
          </w:p>
        </w:tc>
        <w:tc>
          <w:tcPr>
            <w:tcW w:w="0" w:type="pct"/>
            <w:noWrap/>
            <w:hideMark/>
          </w:tcPr>
          <w:p w14:paraId="4A08D408" w14:textId="75680D5C"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519</w:t>
            </w:r>
          </w:p>
        </w:tc>
        <w:tc>
          <w:tcPr>
            <w:tcW w:w="0" w:type="pct"/>
            <w:noWrap/>
            <w:hideMark/>
          </w:tcPr>
          <w:p w14:paraId="4FBB1A7C" w14:textId="33D56DF2"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342</w:t>
            </w:r>
          </w:p>
        </w:tc>
        <w:tc>
          <w:tcPr>
            <w:tcW w:w="0" w:type="pct"/>
            <w:noWrap/>
            <w:hideMark/>
          </w:tcPr>
          <w:p w14:paraId="57F3F03F" w14:textId="1DE7A991"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240</w:t>
            </w:r>
          </w:p>
        </w:tc>
        <w:tc>
          <w:tcPr>
            <w:tcW w:w="0" w:type="pct"/>
            <w:noWrap/>
            <w:hideMark/>
          </w:tcPr>
          <w:p w14:paraId="44547BA0" w14:textId="5B60F28C"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069</w:t>
            </w:r>
          </w:p>
        </w:tc>
        <w:tc>
          <w:tcPr>
            <w:tcW w:w="0" w:type="pct"/>
            <w:noWrap/>
            <w:hideMark/>
          </w:tcPr>
          <w:p w14:paraId="781781B0" w14:textId="3145BAA7" w:rsidR="00B24F12" w:rsidRPr="00A83665" w:rsidRDefault="00B24F12" w:rsidP="004548B5">
            <w:pPr>
              <w:cnfStyle w:val="000000100000" w:firstRow="0" w:lastRow="0" w:firstColumn="0" w:lastColumn="0" w:oddVBand="0" w:evenVBand="0" w:oddHBand="1" w:evenHBand="0" w:firstRowFirstColumn="0" w:firstRowLastColumn="0" w:lastRowFirstColumn="0" w:lastRowLastColumn="0"/>
              <w:rPr>
                <w:rFonts w:cstheme="minorHAnsi"/>
                <w:szCs w:val="16"/>
              </w:rPr>
            </w:pPr>
            <w:r w:rsidRPr="00A83665">
              <w:rPr>
                <w:rFonts w:cstheme="minorHAnsi"/>
                <w:szCs w:val="16"/>
              </w:rPr>
              <w:t>2</w:t>
            </w:r>
            <w:r w:rsidR="00E53C65" w:rsidRPr="00A83665">
              <w:rPr>
                <w:rFonts w:cstheme="minorHAnsi"/>
                <w:szCs w:val="16"/>
              </w:rPr>
              <w:t> </w:t>
            </w:r>
            <w:r w:rsidRPr="00A83665">
              <w:rPr>
                <w:rFonts w:cstheme="minorHAnsi"/>
                <w:szCs w:val="16"/>
              </w:rPr>
              <w:t>179</w:t>
            </w:r>
          </w:p>
        </w:tc>
      </w:tr>
      <w:tr w:rsidR="000E3BC2" w:rsidRPr="00FD6420" w14:paraId="6FDAD193" w14:textId="77777777" w:rsidTr="0001395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pct"/>
            <w:noWrap/>
            <w:hideMark/>
          </w:tcPr>
          <w:p w14:paraId="3296B3BE" w14:textId="7C3FEA7A" w:rsidR="00B24F12" w:rsidRPr="000E3224" w:rsidRDefault="00BA1F56" w:rsidP="004548B5">
            <w:pPr>
              <w:rPr>
                <w:rFonts w:cstheme="minorHAnsi"/>
                <w:b/>
                <w:bCs/>
                <w:szCs w:val="16"/>
              </w:rPr>
            </w:pPr>
            <w:r>
              <w:rPr>
                <w:rFonts w:cstheme="minorHAnsi"/>
                <w:b/>
                <w:bCs/>
                <w:szCs w:val="16"/>
              </w:rPr>
              <w:t>I alt</w:t>
            </w:r>
          </w:p>
        </w:tc>
        <w:tc>
          <w:tcPr>
            <w:tcW w:w="0" w:type="pct"/>
            <w:noWrap/>
            <w:hideMark/>
          </w:tcPr>
          <w:p w14:paraId="5A7A4ED9" w14:textId="28F5E226"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16</w:t>
            </w:r>
            <w:r w:rsidR="00E53C65" w:rsidRPr="00827118">
              <w:rPr>
                <w:rFonts w:cstheme="minorHAnsi"/>
                <w:b/>
                <w:sz w:val="15"/>
                <w:szCs w:val="15"/>
              </w:rPr>
              <w:t> </w:t>
            </w:r>
            <w:r w:rsidRPr="00827118">
              <w:rPr>
                <w:rFonts w:cstheme="minorHAnsi"/>
                <w:b/>
                <w:sz w:val="15"/>
                <w:szCs w:val="15"/>
              </w:rPr>
              <w:t>271</w:t>
            </w:r>
          </w:p>
        </w:tc>
        <w:tc>
          <w:tcPr>
            <w:tcW w:w="0" w:type="pct"/>
            <w:noWrap/>
            <w:hideMark/>
          </w:tcPr>
          <w:p w14:paraId="212FB7F8" w14:textId="7BF195E8"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16</w:t>
            </w:r>
            <w:r w:rsidR="00E53C65" w:rsidRPr="00827118">
              <w:rPr>
                <w:rFonts w:cstheme="minorHAnsi"/>
                <w:b/>
                <w:sz w:val="15"/>
                <w:szCs w:val="15"/>
              </w:rPr>
              <w:t> </w:t>
            </w:r>
            <w:r w:rsidRPr="00827118">
              <w:rPr>
                <w:rFonts w:cstheme="minorHAnsi"/>
                <w:b/>
                <w:sz w:val="15"/>
                <w:szCs w:val="15"/>
              </w:rPr>
              <w:t>609</w:t>
            </w:r>
          </w:p>
        </w:tc>
        <w:tc>
          <w:tcPr>
            <w:tcW w:w="0" w:type="pct"/>
            <w:noWrap/>
            <w:hideMark/>
          </w:tcPr>
          <w:p w14:paraId="3EB17677" w14:textId="7E10D7C5"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17</w:t>
            </w:r>
            <w:r w:rsidR="00E53C65" w:rsidRPr="00827118">
              <w:rPr>
                <w:rFonts w:cstheme="minorHAnsi"/>
                <w:b/>
                <w:sz w:val="15"/>
                <w:szCs w:val="15"/>
              </w:rPr>
              <w:t> </w:t>
            </w:r>
            <w:r w:rsidRPr="00827118">
              <w:rPr>
                <w:rFonts w:cstheme="minorHAnsi"/>
                <w:b/>
                <w:sz w:val="15"/>
                <w:szCs w:val="15"/>
              </w:rPr>
              <w:t>293</w:t>
            </w:r>
          </w:p>
        </w:tc>
        <w:tc>
          <w:tcPr>
            <w:tcW w:w="0" w:type="pct"/>
            <w:noWrap/>
            <w:hideMark/>
          </w:tcPr>
          <w:p w14:paraId="391A971C" w14:textId="67328F62"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17</w:t>
            </w:r>
            <w:r w:rsidR="00E53C65" w:rsidRPr="00827118">
              <w:rPr>
                <w:rFonts w:cstheme="minorHAnsi"/>
                <w:b/>
                <w:sz w:val="15"/>
                <w:szCs w:val="15"/>
              </w:rPr>
              <w:t> </w:t>
            </w:r>
            <w:r w:rsidRPr="00827118">
              <w:rPr>
                <w:rFonts w:cstheme="minorHAnsi"/>
                <w:b/>
                <w:sz w:val="15"/>
                <w:szCs w:val="15"/>
              </w:rPr>
              <w:t>442</w:t>
            </w:r>
          </w:p>
        </w:tc>
        <w:tc>
          <w:tcPr>
            <w:tcW w:w="0" w:type="pct"/>
            <w:noWrap/>
            <w:hideMark/>
          </w:tcPr>
          <w:p w14:paraId="4C23EBE1" w14:textId="19B39552"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16</w:t>
            </w:r>
            <w:r w:rsidR="00E53C65" w:rsidRPr="00827118">
              <w:rPr>
                <w:rFonts w:cstheme="minorHAnsi"/>
                <w:b/>
                <w:sz w:val="15"/>
                <w:szCs w:val="15"/>
              </w:rPr>
              <w:t> </w:t>
            </w:r>
            <w:r w:rsidRPr="00827118">
              <w:rPr>
                <w:rFonts w:cstheme="minorHAnsi"/>
                <w:b/>
                <w:sz w:val="15"/>
                <w:szCs w:val="15"/>
              </w:rPr>
              <w:t>913</w:t>
            </w:r>
          </w:p>
        </w:tc>
        <w:tc>
          <w:tcPr>
            <w:tcW w:w="0" w:type="pct"/>
            <w:noWrap/>
            <w:hideMark/>
          </w:tcPr>
          <w:p w14:paraId="191D075C" w14:textId="197421CA"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16</w:t>
            </w:r>
            <w:r w:rsidR="00E53C65" w:rsidRPr="00827118">
              <w:rPr>
                <w:rFonts w:cstheme="minorHAnsi"/>
                <w:b/>
                <w:sz w:val="15"/>
                <w:szCs w:val="15"/>
              </w:rPr>
              <w:t> </w:t>
            </w:r>
            <w:r w:rsidRPr="00827118">
              <w:rPr>
                <w:rFonts w:cstheme="minorHAnsi"/>
                <w:b/>
                <w:sz w:val="15"/>
                <w:szCs w:val="15"/>
              </w:rPr>
              <w:t>634</w:t>
            </w:r>
          </w:p>
        </w:tc>
        <w:tc>
          <w:tcPr>
            <w:tcW w:w="0" w:type="pct"/>
            <w:noWrap/>
            <w:hideMark/>
          </w:tcPr>
          <w:p w14:paraId="09B00820" w14:textId="1741024D"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15</w:t>
            </w:r>
            <w:r w:rsidR="00E53C65" w:rsidRPr="00827118">
              <w:rPr>
                <w:rFonts w:cstheme="minorHAnsi"/>
                <w:b/>
                <w:sz w:val="15"/>
                <w:szCs w:val="15"/>
              </w:rPr>
              <w:t> </w:t>
            </w:r>
            <w:r w:rsidRPr="00827118">
              <w:rPr>
                <w:rFonts w:cstheme="minorHAnsi"/>
                <w:b/>
                <w:sz w:val="15"/>
                <w:szCs w:val="15"/>
              </w:rPr>
              <w:t>952</w:t>
            </w:r>
          </w:p>
        </w:tc>
        <w:tc>
          <w:tcPr>
            <w:tcW w:w="0" w:type="pct"/>
            <w:noWrap/>
            <w:hideMark/>
          </w:tcPr>
          <w:p w14:paraId="413473D7" w14:textId="3401F520"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15</w:t>
            </w:r>
            <w:r w:rsidR="00E53C65" w:rsidRPr="00827118">
              <w:rPr>
                <w:rFonts w:cstheme="minorHAnsi"/>
                <w:b/>
                <w:sz w:val="15"/>
                <w:szCs w:val="15"/>
              </w:rPr>
              <w:t> </w:t>
            </w:r>
            <w:r w:rsidRPr="00827118">
              <w:rPr>
                <w:rFonts w:cstheme="minorHAnsi"/>
                <w:b/>
                <w:sz w:val="15"/>
                <w:szCs w:val="15"/>
              </w:rPr>
              <w:t>366</w:t>
            </w:r>
          </w:p>
        </w:tc>
        <w:tc>
          <w:tcPr>
            <w:tcW w:w="0" w:type="pct"/>
            <w:noWrap/>
            <w:hideMark/>
          </w:tcPr>
          <w:p w14:paraId="144CCC22" w14:textId="4A25AC75"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14</w:t>
            </w:r>
            <w:r w:rsidR="00E53C65" w:rsidRPr="00827118">
              <w:rPr>
                <w:rFonts w:cstheme="minorHAnsi"/>
                <w:b/>
                <w:sz w:val="15"/>
                <w:szCs w:val="15"/>
              </w:rPr>
              <w:t> </w:t>
            </w:r>
            <w:r w:rsidRPr="00827118">
              <w:rPr>
                <w:rFonts w:cstheme="minorHAnsi"/>
                <w:b/>
                <w:sz w:val="15"/>
                <w:szCs w:val="15"/>
              </w:rPr>
              <w:t>318</w:t>
            </w:r>
          </w:p>
        </w:tc>
        <w:tc>
          <w:tcPr>
            <w:tcW w:w="0" w:type="pct"/>
            <w:noWrap/>
            <w:hideMark/>
          </w:tcPr>
          <w:p w14:paraId="614003B3" w14:textId="2255EA8F" w:rsidR="00B24F12" w:rsidRPr="00827118" w:rsidRDefault="00B24F12" w:rsidP="004548B5">
            <w:pPr>
              <w:cnfStyle w:val="000000010000" w:firstRow="0" w:lastRow="0" w:firstColumn="0" w:lastColumn="0" w:oddVBand="0" w:evenVBand="0" w:oddHBand="0" w:evenHBand="1" w:firstRowFirstColumn="0" w:firstRowLastColumn="0" w:lastRowFirstColumn="0" w:lastRowLastColumn="0"/>
              <w:rPr>
                <w:rFonts w:cstheme="minorHAnsi"/>
                <w:b/>
                <w:sz w:val="15"/>
                <w:szCs w:val="15"/>
              </w:rPr>
            </w:pPr>
            <w:r w:rsidRPr="00827118">
              <w:rPr>
                <w:rFonts w:cstheme="minorHAnsi"/>
                <w:b/>
                <w:sz w:val="15"/>
                <w:szCs w:val="15"/>
              </w:rPr>
              <w:t>14</w:t>
            </w:r>
            <w:r w:rsidR="00E53C65" w:rsidRPr="00827118">
              <w:rPr>
                <w:rFonts w:cstheme="minorHAnsi"/>
                <w:b/>
                <w:sz w:val="15"/>
                <w:szCs w:val="15"/>
              </w:rPr>
              <w:t> </w:t>
            </w:r>
            <w:r w:rsidRPr="00827118">
              <w:rPr>
                <w:rFonts w:cstheme="minorHAnsi"/>
                <w:b/>
                <w:sz w:val="15"/>
                <w:szCs w:val="15"/>
              </w:rPr>
              <w:t>053</w:t>
            </w:r>
          </w:p>
        </w:tc>
      </w:tr>
    </w:tbl>
    <w:p w14:paraId="15209945" w14:textId="77777777" w:rsidR="00553D21" w:rsidRDefault="00553D21" w:rsidP="00553D21">
      <w:pPr>
        <w:pStyle w:val="Merknad"/>
      </w:pPr>
      <w:r>
        <w:t xml:space="preserve">Tabellen viser norske gradsstudenter i utlandet med støtte fra Lånekassen, tall per år gjelder studieår. </w:t>
      </w:r>
    </w:p>
    <w:p w14:paraId="51749B6F" w14:textId="1EA4B08E" w:rsidR="009872FB" w:rsidRDefault="00553D21" w:rsidP="004237BB">
      <w:pPr>
        <w:pStyle w:val="Kilde"/>
      </w:pPr>
      <w:bookmarkStart w:id="94" w:name="_Hlk127973600"/>
      <w:r>
        <w:t>Kilde: Lånekassen</w:t>
      </w:r>
    </w:p>
    <w:bookmarkEnd w:id="94"/>
    <w:p w14:paraId="0A89A849" w14:textId="77777777" w:rsidR="009267FB" w:rsidRDefault="009267FB" w:rsidP="00553D21">
      <w:pPr>
        <w:pStyle w:val="Kilde"/>
      </w:pPr>
    </w:p>
    <w:p w14:paraId="45B9E44B" w14:textId="1D1BC2E4" w:rsidR="00561B26" w:rsidRDefault="009049C9" w:rsidP="00C54CEC">
      <w:r>
        <w:fldChar w:fldCharType="begin"/>
      </w:r>
      <w:r>
        <w:instrText xml:space="preserve"> REF _Ref133169207 \h </w:instrText>
      </w:r>
      <w:r>
        <w:fldChar w:fldCharType="separate"/>
      </w:r>
      <w:r w:rsidR="00F262EF">
        <w:t xml:space="preserve">Tabell </w:t>
      </w:r>
      <w:r w:rsidR="00F262EF">
        <w:rPr>
          <w:noProof/>
        </w:rPr>
        <w:t>2</w:t>
      </w:r>
      <w:r w:rsidR="00F262EF">
        <w:t>.</w:t>
      </w:r>
      <w:r w:rsidR="00F262EF">
        <w:rPr>
          <w:noProof/>
        </w:rPr>
        <w:t>4</w:t>
      </w:r>
      <w:r>
        <w:fldChar w:fldCharType="end"/>
      </w:r>
      <w:r w:rsidR="0008204D" w:rsidRPr="0008204D">
        <w:t xml:space="preserve"> </w:t>
      </w:r>
      <w:r w:rsidR="0032661F">
        <w:t>viser</w:t>
      </w:r>
      <w:r w:rsidR="0008204D" w:rsidRPr="0008204D">
        <w:t xml:space="preserve"> </w:t>
      </w:r>
      <w:r w:rsidR="0032661F">
        <w:t>fordelingen</w:t>
      </w:r>
      <w:r w:rsidR="0008204D" w:rsidRPr="0008204D">
        <w:t xml:space="preserve"> på </w:t>
      </w:r>
      <w:r w:rsidR="0032661F">
        <w:t xml:space="preserve">de mest populære </w:t>
      </w:r>
      <w:r w:rsidR="0008204D" w:rsidRPr="0008204D">
        <w:t>fagområde</w:t>
      </w:r>
      <w:r w:rsidR="0032661F">
        <w:t>ne blant norske gradsstudenter i utlandet</w:t>
      </w:r>
      <w:r w:rsidR="00413E6F">
        <w:t xml:space="preserve"> fra studieåret 2013/14 til </w:t>
      </w:r>
      <w:r w:rsidR="009C7D36">
        <w:t>2021/22</w:t>
      </w:r>
      <w:r w:rsidR="0008204D" w:rsidRPr="0008204D">
        <w:t>. Medisin og økonomi og administrasjon er de klart største fagområdene for norske gradsstudenter i utlandet</w:t>
      </w:r>
      <w:r w:rsidR="00601387">
        <w:t xml:space="preserve">. Mens medisin ligger stabilt på rundt 3 000 utenlandsstudenter årlig, </w:t>
      </w:r>
      <w:r w:rsidR="00986F43">
        <w:t xml:space="preserve">har økonomi og administrasjon </w:t>
      </w:r>
      <w:r w:rsidR="00410309">
        <w:t xml:space="preserve">hatt en nedgang på 24 prosent </w:t>
      </w:r>
      <w:r w:rsidR="00413E6F">
        <w:t>siden 2013</w:t>
      </w:r>
      <w:r w:rsidR="00AE1DBF">
        <w:t xml:space="preserve">. </w:t>
      </w:r>
      <w:r w:rsidR="00C92753">
        <w:t xml:space="preserve">Det utgjør </w:t>
      </w:r>
      <w:r w:rsidR="00022D34">
        <w:t>den største nedgangen i antall studenter</w:t>
      </w:r>
      <w:r w:rsidR="00B97DC0">
        <w:t xml:space="preserve">. </w:t>
      </w:r>
      <w:r w:rsidR="00CF5A33">
        <w:t xml:space="preserve">Det er imidlertid </w:t>
      </w:r>
      <w:r w:rsidR="007F666D">
        <w:t xml:space="preserve">humanistiske fag og </w:t>
      </w:r>
      <w:r w:rsidR="00CF5A33">
        <w:t xml:space="preserve">bildende kunst/kunsthåndverk </w:t>
      </w:r>
      <w:r w:rsidR="007F666D">
        <w:t xml:space="preserve">som har størst </w:t>
      </w:r>
      <w:r w:rsidR="004E69B1">
        <w:t xml:space="preserve">prosentvis </w:t>
      </w:r>
      <w:r w:rsidR="007F666D">
        <w:t xml:space="preserve">nedgang i perioden, med henholdsvis </w:t>
      </w:r>
      <w:r w:rsidR="00561B26">
        <w:t>40 og 41 prosent. Også siste år har humanistiske fag hatt en tydelig tilbakegang</w:t>
      </w:r>
      <w:r w:rsidR="00F55737">
        <w:t xml:space="preserve">. </w:t>
      </w:r>
      <w:r w:rsidR="00DF4194">
        <w:t xml:space="preserve">Et annet fagområde med </w:t>
      </w:r>
      <w:r w:rsidR="0099770D">
        <w:t xml:space="preserve">betydelig nedgang er psykologi, med </w:t>
      </w:r>
      <w:r w:rsidR="00F87C21">
        <w:t xml:space="preserve">10 </w:t>
      </w:r>
      <w:r w:rsidR="0099770D">
        <w:t xml:space="preserve">prosent færre gradsstudenter i utlandet. </w:t>
      </w:r>
      <w:r w:rsidR="00B21DD0">
        <w:t xml:space="preserve">For samfunnsfag </w:t>
      </w:r>
      <w:r w:rsidR="00D40F2A">
        <w:t>går tallene derimot opp</w:t>
      </w:r>
      <w:r w:rsidR="006E68F7">
        <w:t xml:space="preserve"> med </w:t>
      </w:r>
      <w:r w:rsidR="00F87C21">
        <w:t>6</w:t>
      </w:r>
      <w:r w:rsidR="006E68F7">
        <w:t xml:space="preserve"> prosent</w:t>
      </w:r>
      <w:r w:rsidR="00DE409E">
        <w:t xml:space="preserve"> for siste studieår. </w:t>
      </w:r>
    </w:p>
    <w:p w14:paraId="719254F1" w14:textId="32AD5A39" w:rsidR="00B578D1" w:rsidRDefault="00FE01A3" w:rsidP="00FE01A3">
      <w:pPr>
        <w:pStyle w:val="Bildetekst"/>
      </w:pPr>
      <w:bookmarkStart w:id="95" w:name="_Ref133169207"/>
      <w:bookmarkStart w:id="96" w:name="_Toc134792811"/>
      <w:r>
        <w:t xml:space="preserve">Tabell </w:t>
      </w:r>
      <w:r>
        <w:fldChar w:fldCharType="begin"/>
      </w:r>
      <w:r>
        <w:instrText>STYLEREF 1 \s</w:instrText>
      </w:r>
      <w:r>
        <w:fldChar w:fldCharType="separate"/>
      </w:r>
      <w:r w:rsidR="00F262EF">
        <w:rPr>
          <w:noProof/>
        </w:rPr>
        <w:t>2</w:t>
      </w:r>
      <w:r>
        <w:fldChar w:fldCharType="end"/>
      </w:r>
      <w:r>
        <w:t>.</w:t>
      </w:r>
      <w:r>
        <w:fldChar w:fldCharType="begin"/>
      </w:r>
      <w:r>
        <w:instrText>SEQ Tabell \* ARABIC \s 1</w:instrText>
      </w:r>
      <w:r>
        <w:fldChar w:fldCharType="separate"/>
      </w:r>
      <w:r w:rsidR="00F262EF">
        <w:rPr>
          <w:noProof/>
        </w:rPr>
        <w:t>4</w:t>
      </w:r>
      <w:r>
        <w:fldChar w:fldCharType="end"/>
      </w:r>
      <w:bookmarkEnd w:id="95"/>
      <w:r>
        <w:t xml:space="preserve"> </w:t>
      </w:r>
      <w:r w:rsidRPr="00623DDB">
        <w:t>Gradsstudenter i utlandet per fagområde, sortert etter antall studenter</w:t>
      </w:r>
      <w:bookmarkEnd w:id="96"/>
    </w:p>
    <w:tbl>
      <w:tblPr>
        <w:tblStyle w:val="Dik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2"/>
        <w:gridCol w:w="699"/>
        <w:gridCol w:w="699"/>
        <w:gridCol w:w="699"/>
        <w:gridCol w:w="699"/>
        <w:gridCol w:w="699"/>
        <w:gridCol w:w="699"/>
        <w:gridCol w:w="699"/>
        <w:gridCol w:w="699"/>
        <w:gridCol w:w="700"/>
        <w:gridCol w:w="7"/>
      </w:tblGrid>
      <w:tr w:rsidR="001E1DE2" w:rsidRPr="0076579B" w14:paraId="040CDE2C" w14:textId="77777777" w:rsidTr="00EB799A">
        <w:trPr>
          <w:cnfStyle w:val="100000000000" w:firstRow="1" w:lastRow="0" w:firstColumn="0" w:lastColumn="0" w:oddVBand="0" w:evenVBand="0" w:oddHBand="0"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0" w:type="dxa"/>
            <w:noWrap/>
            <w:hideMark/>
          </w:tcPr>
          <w:p w14:paraId="26B8F03C" w14:textId="77777777" w:rsidR="004B1CBA" w:rsidRPr="0076579B" w:rsidRDefault="004B1CBA" w:rsidP="00A569C4">
            <w:pPr>
              <w:rPr>
                <w:rFonts w:cstheme="minorHAnsi"/>
                <w:bCs/>
                <w:color w:val="FFFFFF" w:themeColor="background1"/>
                <w:szCs w:val="16"/>
              </w:rPr>
            </w:pPr>
            <w:r w:rsidRPr="0076579B">
              <w:rPr>
                <w:rFonts w:cstheme="minorHAnsi"/>
                <w:bCs/>
                <w:color w:val="FFFFFF" w:themeColor="background1"/>
                <w:szCs w:val="16"/>
              </w:rPr>
              <w:t>Fagområde</w:t>
            </w:r>
          </w:p>
        </w:tc>
        <w:tc>
          <w:tcPr>
            <w:tcW w:w="0" w:type="dxa"/>
            <w:noWrap/>
            <w:hideMark/>
          </w:tcPr>
          <w:p w14:paraId="1FE4FA3A"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2013</w:t>
            </w:r>
          </w:p>
        </w:tc>
        <w:tc>
          <w:tcPr>
            <w:tcW w:w="0" w:type="dxa"/>
            <w:noWrap/>
            <w:hideMark/>
          </w:tcPr>
          <w:p w14:paraId="2E60410A"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2014</w:t>
            </w:r>
          </w:p>
        </w:tc>
        <w:tc>
          <w:tcPr>
            <w:tcW w:w="0" w:type="dxa"/>
            <w:noWrap/>
            <w:hideMark/>
          </w:tcPr>
          <w:p w14:paraId="3DABD86D"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2015</w:t>
            </w:r>
          </w:p>
        </w:tc>
        <w:tc>
          <w:tcPr>
            <w:tcW w:w="0" w:type="dxa"/>
            <w:noWrap/>
            <w:hideMark/>
          </w:tcPr>
          <w:p w14:paraId="049AA57E"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2016</w:t>
            </w:r>
          </w:p>
        </w:tc>
        <w:tc>
          <w:tcPr>
            <w:tcW w:w="0" w:type="dxa"/>
            <w:noWrap/>
            <w:hideMark/>
          </w:tcPr>
          <w:p w14:paraId="3BCB88B9"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2017</w:t>
            </w:r>
          </w:p>
        </w:tc>
        <w:tc>
          <w:tcPr>
            <w:tcW w:w="0" w:type="dxa"/>
            <w:noWrap/>
            <w:hideMark/>
          </w:tcPr>
          <w:p w14:paraId="0A48F2A8"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2018</w:t>
            </w:r>
          </w:p>
        </w:tc>
        <w:tc>
          <w:tcPr>
            <w:tcW w:w="0" w:type="dxa"/>
            <w:noWrap/>
            <w:hideMark/>
          </w:tcPr>
          <w:p w14:paraId="2B91DB84"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bCs/>
                <w:color w:val="FFFFFF" w:themeColor="background1"/>
                <w:szCs w:val="16"/>
              </w:rPr>
            </w:pPr>
            <w:r w:rsidRPr="0076579B">
              <w:rPr>
                <w:rFonts w:cstheme="minorHAnsi"/>
                <w:bCs/>
                <w:color w:val="FFFFFF" w:themeColor="background1"/>
                <w:szCs w:val="16"/>
              </w:rPr>
              <w:t>2019</w:t>
            </w:r>
          </w:p>
        </w:tc>
        <w:tc>
          <w:tcPr>
            <w:tcW w:w="0" w:type="dxa"/>
            <w:noWrap/>
            <w:hideMark/>
          </w:tcPr>
          <w:p w14:paraId="159F318B"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16"/>
              </w:rPr>
            </w:pPr>
            <w:r w:rsidRPr="0076579B">
              <w:rPr>
                <w:rFonts w:cstheme="minorHAnsi"/>
                <w:color w:val="FFFFFF" w:themeColor="background1"/>
                <w:szCs w:val="16"/>
              </w:rPr>
              <w:t>2020</w:t>
            </w:r>
          </w:p>
        </w:tc>
        <w:tc>
          <w:tcPr>
            <w:tcW w:w="0" w:type="dxa"/>
            <w:gridSpan w:val="2"/>
            <w:noWrap/>
            <w:hideMark/>
          </w:tcPr>
          <w:p w14:paraId="173C6C21" w14:textId="77777777" w:rsidR="004B1CBA" w:rsidRPr="0076579B" w:rsidRDefault="004B1CBA" w:rsidP="0076579B">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16"/>
              </w:rPr>
            </w:pPr>
            <w:r w:rsidRPr="0076579B">
              <w:rPr>
                <w:rFonts w:cstheme="minorHAnsi"/>
                <w:color w:val="FFFFFF" w:themeColor="background1"/>
                <w:szCs w:val="16"/>
              </w:rPr>
              <w:t>2021</w:t>
            </w:r>
          </w:p>
        </w:tc>
      </w:tr>
      <w:tr w:rsidR="001E1DE2" w:rsidRPr="0076579B" w14:paraId="0D01BA64" w14:textId="77777777" w:rsidTr="0076579B">
        <w:trPr>
          <w:gridAfter w:val="1"/>
          <w:cnfStyle w:val="000000100000" w:firstRow="0" w:lastRow="0" w:firstColumn="0" w:lastColumn="0" w:oddVBand="0" w:evenVBand="0" w:oddHBand="1" w:evenHBand="0"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7CB3E997" w14:textId="77777777" w:rsidR="004B1CBA" w:rsidRPr="0076579B" w:rsidRDefault="004B1CBA" w:rsidP="00A569C4">
            <w:pPr>
              <w:rPr>
                <w:rFonts w:cstheme="minorHAnsi"/>
                <w:szCs w:val="16"/>
              </w:rPr>
            </w:pPr>
            <w:r w:rsidRPr="0076579B">
              <w:rPr>
                <w:rFonts w:cstheme="minorHAnsi"/>
                <w:szCs w:val="16"/>
              </w:rPr>
              <w:t>Medisin</w:t>
            </w:r>
          </w:p>
        </w:tc>
        <w:tc>
          <w:tcPr>
            <w:tcW w:w="699" w:type="dxa"/>
            <w:noWrap/>
            <w:vAlign w:val="center"/>
            <w:hideMark/>
          </w:tcPr>
          <w:p w14:paraId="1D153B1F" w14:textId="193B29A6"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100</w:t>
            </w:r>
          </w:p>
        </w:tc>
        <w:tc>
          <w:tcPr>
            <w:tcW w:w="699" w:type="dxa"/>
            <w:noWrap/>
            <w:vAlign w:val="center"/>
            <w:hideMark/>
          </w:tcPr>
          <w:p w14:paraId="5289D214" w14:textId="5587E13D"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225</w:t>
            </w:r>
          </w:p>
        </w:tc>
        <w:tc>
          <w:tcPr>
            <w:tcW w:w="699" w:type="dxa"/>
            <w:noWrap/>
            <w:vAlign w:val="center"/>
            <w:hideMark/>
          </w:tcPr>
          <w:p w14:paraId="0C4D1D7D" w14:textId="14A5FCFB"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318</w:t>
            </w:r>
          </w:p>
        </w:tc>
        <w:tc>
          <w:tcPr>
            <w:tcW w:w="699" w:type="dxa"/>
            <w:noWrap/>
            <w:vAlign w:val="center"/>
            <w:hideMark/>
          </w:tcPr>
          <w:p w14:paraId="0570FE2F" w14:textId="2037D823"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285</w:t>
            </w:r>
          </w:p>
        </w:tc>
        <w:tc>
          <w:tcPr>
            <w:tcW w:w="699" w:type="dxa"/>
            <w:noWrap/>
            <w:vAlign w:val="center"/>
            <w:hideMark/>
          </w:tcPr>
          <w:p w14:paraId="5AD40646" w14:textId="55291C7D"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177</w:t>
            </w:r>
          </w:p>
        </w:tc>
        <w:tc>
          <w:tcPr>
            <w:tcW w:w="699" w:type="dxa"/>
            <w:noWrap/>
            <w:vAlign w:val="center"/>
            <w:hideMark/>
          </w:tcPr>
          <w:p w14:paraId="130183EC" w14:textId="76CF1A9E"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101</w:t>
            </w:r>
          </w:p>
        </w:tc>
        <w:tc>
          <w:tcPr>
            <w:tcW w:w="699" w:type="dxa"/>
            <w:noWrap/>
            <w:vAlign w:val="center"/>
            <w:hideMark/>
          </w:tcPr>
          <w:p w14:paraId="3C2EBC11" w14:textId="2C470729"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071</w:t>
            </w:r>
          </w:p>
        </w:tc>
        <w:tc>
          <w:tcPr>
            <w:tcW w:w="699" w:type="dxa"/>
            <w:noWrap/>
            <w:vAlign w:val="center"/>
            <w:hideMark/>
          </w:tcPr>
          <w:p w14:paraId="67F1AF04" w14:textId="0F476EE5"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064</w:t>
            </w:r>
          </w:p>
        </w:tc>
        <w:tc>
          <w:tcPr>
            <w:tcW w:w="700" w:type="dxa"/>
            <w:noWrap/>
            <w:vAlign w:val="center"/>
            <w:hideMark/>
          </w:tcPr>
          <w:p w14:paraId="3DD41A4C" w14:textId="506EBE44"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032</w:t>
            </w:r>
          </w:p>
        </w:tc>
      </w:tr>
      <w:tr w:rsidR="001E1DE2" w:rsidRPr="0076579B" w14:paraId="2C1A684B" w14:textId="77777777" w:rsidTr="0076579B">
        <w:trPr>
          <w:gridAfter w:val="1"/>
          <w:cnfStyle w:val="000000010000" w:firstRow="0" w:lastRow="0" w:firstColumn="0" w:lastColumn="0" w:oddVBand="0" w:evenVBand="0" w:oddHBand="0" w:evenHBand="1"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16584D92" w14:textId="4BF9F685" w:rsidR="004B1CBA" w:rsidRPr="0076579B" w:rsidRDefault="004B1CBA" w:rsidP="00A569C4">
            <w:pPr>
              <w:rPr>
                <w:rFonts w:cstheme="minorHAnsi"/>
                <w:szCs w:val="16"/>
              </w:rPr>
            </w:pPr>
            <w:r w:rsidRPr="0076579B">
              <w:rPr>
                <w:rFonts w:cstheme="minorHAnsi"/>
                <w:szCs w:val="16"/>
              </w:rPr>
              <w:t>Økonomi</w:t>
            </w:r>
            <w:r w:rsidR="00902051" w:rsidRPr="0076579B">
              <w:rPr>
                <w:rFonts w:cstheme="minorHAnsi"/>
                <w:szCs w:val="16"/>
              </w:rPr>
              <w:t xml:space="preserve"> </w:t>
            </w:r>
            <w:r w:rsidRPr="0076579B">
              <w:rPr>
                <w:rFonts w:cstheme="minorHAnsi"/>
                <w:szCs w:val="16"/>
              </w:rPr>
              <w:t>/</w:t>
            </w:r>
            <w:r w:rsidR="00902051" w:rsidRPr="0076579B">
              <w:rPr>
                <w:rFonts w:cstheme="minorHAnsi"/>
                <w:szCs w:val="16"/>
              </w:rPr>
              <w:t xml:space="preserve"> </w:t>
            </w:r>
            <w:r w:rsidRPr="0076579B">
              <w:rPr>
                <w:rFonts w:cstheme="minorHAnsi"/>
                <w:szCs w:val="16"/>
              </w:rPr>
              <w:t>business</w:t>
            </w:r>
            <w:r w:rsidR="00902051" w:rsidRPr="0076579B">
              <w:rPr>
                <w:rFonts w:cstheme="minorHAnsi"/>
                <w:szCs w:val="16"/>
              </w:rPr>
              <w:t xml:space="preserve"> </w:t>
            </w:r>
            <w:r w:rsidRPr="0076579B">
              <w:rPr>
                <w:rFonts w:cstheme="minorHAnsi"/>
                <w:szCs w:val="16"/>
              </w:rPr>
              <w:t>/</w:t>
            </w:r>
            <w:r w:rsidR="00341FD3" w:rsidRPr="0076579B">
              <w:rPr>
                <w:rFonts w:cstheme="minorHAnsi"/>
                <w:szCs w:val="16"/>
              </w:rPr>
              <w:t xml:space="preserve"> </w:t>
            </w:r>
            <w:r w:rsidRPr="0076579B">
              <w:rPr>
                <w:rFonts w:cstheme="minorHAnsi"/>
                <w:szCs w:val="16"/>
              </w:rPr>
              <w:t>administrasjon</w:t>
            </w:r>
            <w:r w:rsidR="00902051" w:rsidRPr="0076579B">
              <w:rPr>
                <w:rFonts w:cstheme="minorHAnsi"/>
                <w:szCs w:val="16"/>
              </w:rPr>
              <w:t xml:space="preserve"> </w:t>
            </w:r>
            <w:r w:rsidRPr="0076579B">
              <w:rPr>
                <w:rFonts w:cstheme="minorHAnsi"/>
                <w:szCs w:val="16"/>
              </w:rPr>
              <w:t>/</w:t>
            </w:r>
            <w:r w:rsidR="00902051" w:rsidRPr="0076579B">
              <w:rPr>
                <w:rFonts w:cstheme="minorHAnsi"/>
                <w:szCs w:val="16"/>
              </w:rPr>
              <w:t xml:space="preserve"> </w:t>
            </w:r>
            <w:r w:rsidRPr="0076579B">
              <w:rPr>
                <w:rFonts w:cstheme="minorHAnsi"/>
                <w:szCs w:val="16"/>
              </w:rPr>
              <w:t>ledelse</w:t>
            </w:r>
          </w:p>
        </w:tc>
        <w:tc>
          <w:tcPr>
            <w:tcW w:w="699" w:type="dxa"/>
            <w:noWrap/>
            <w:vAlign w:val="center"/>
            <w:hideMark/>
          </w:tcPr>
          <w:p w14:paraId="54A49934" w14:textId="19BD46F9"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491</w:t>
            </w:r>
          </w:p>
        </w:tc>
        <w:tc>
          <w:tcPr>
            <w:tcW w:w="699" w:type="dxa"/>
            <w:noWrap/>
            <w:vAlign w:val="center"/>
            <w:hideMark/>
          </w:tcPr>
          <w:p w14:paraId="49963E73" w14:textId="7F8593A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674</w:t>
            </w:r>
          </w:p>
        </w:tc>
        <w:tc>
          <w:tcPr>
            <w:tcW w:w="699" w:type="dxa"/>
            <w:noWrap/>
            <w:vAlign w:val="center"/>
            <w:hideMark/>
          </w:tcPr>
          <w:p w14:paraId="23E6A476" w14:textId="0DEC8CA9"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680</w:t>
            </w:r>
          </w:p>
        </w:tc>
        <w:tc>
          <w:tcPr>
            <w:tcW w:w="699" w:type="dxa"/>
            <w:noWrap/>
            <w:vAlign w:val="center"/>
            <w:hideMark/>
          </w:tcPr>
          <w:p w14:paraId="623FFECF" w14:textId="504F4D6C"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441</w:t>
            </w:r>
          </w:p>
        </w:tc>
        <w:tc>
          <w:tcPr>
            <w:tcW w:w="699" w:type="dxa"/>
            <w:noWrap/>
            <w:vAlign w:val="center"/>
            <w:hideMark/>
          </w:tcPr>
          <w:p w14:paraId="4C1F3107" w14:textId="36FF82D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297</w:t>
            </w:r>
          </w:p>
        </w:tc>
        <w:tc>
          <w:tcPr>
            <w:tcW w:w="699" w:type="dxa"/>
            <w:noWrap/>
            <w:vAlign w:val="center"/>
            <w:hideMark/>
          </w:tcPr>
          <w:p w14:paraId="63A8AD9C" w14:textId="0759FA60"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3</w:t>
            </w:r>
            <w:r w:rsidR="00902051" w:rsidRPr="0076579B">
              <w:rPr>
                <w:rFonts w:cstheme="minorHAnsi"/>
                <w:szCs w:val="16"/>
              </w:rPr>
              <w:t> </w:t>
            </w:r>
            <w:r w:rsidRPr="0076579B">
              <w:rPr>
                <w:rFonts w:cstheme="minorHAnsi"/>
                <w:szCs w:val="16"/>
              </w:rPr>
              <w:t>063</w:t>
            </w:r>
          </w:p>
        </w:tc>
        <w:tc>
          <w:tcPr>
            <w:tcW w:w="699" w:type="dxa"/>
            <w:noWrap/>
            <w:vAlign w:val="center"/>
            <w:hideMark/>
          </w:tcPr>
          <w:p w14:paraId="5919323B" w14:textId="06DDE528"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2</w:t>
            </w:r>
            <w:r w:rsidR="00902051" w:rsidRPr="0076579B">
              <w:rPr>
                <w:rFonts w:cstheme="minorHAnsi"/>
                <w:szCs w:val="16"/>
              </w:rPr>
              <w:t> </w:t>
            </w:r>
            <w:r w:rsidRPr="0076579B">
              <w:rPr>
                <w:rFonts w:cstheme="minorHAnsi"/>
                <w:szCs w:val="16"/>
              </w:rPr>
              <w:t>852</w:t>
            </w:r>
          </w:p>
        </w:tc>
        <w:tc>
          <w:tcPr>
            <w:tcW w:w="699" w:type="dxa"/>
            <w:noWrap/>
            <w:vAlign w:val="center"/>
            <w:hideMark/>
          </w:tcPr>
          <w:p w14:paraId="36A8E53D" w14:textId="4517F301"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2</w:t>
            </w:r>
            <w:r w:rsidR="00902051" w:rsidRPr="0076579B">
              <w:rPr>
                <w:rFonts w:cstheme="minorHAnsi"/>
                <w:szCs w:val="16"/>
              </w:rPr>
              <w:t> </w:t>
            </w:r>
            <w:r w:rsidRPr="0076579B">
              <w:rPr>
                <w:rFonts w:cstheme="minorHAnsi"/>
                <w:szCs w:val="16"/>
              </w:rPr>
              <w:t>632</w:t>
            </w:r>
          </w:p>
        </w:tc>
        <w:tc>
          <w:tcPr>
            <w:tcW w:w="700" w:type="dxa"/>
            <w:noWrap/>
            <w:vAlign w:val="center"/>
            <w:hideMark/>
          </w:tcPr>
          <w:p w14:paraId="086F2CE8" w14:textId="5569FD2D"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2</w:t>
            </w:r>
            <w:r w:rsidR="00902051" w:rsidRPr="0076579B">
              <w:rPr>
                <w:rFonts w:cstheme="minorHAnsi"/>
                <w:szCs w:val="16"/>
              </w:rPr>
              <w:t> </w:t>
            </w:r>
            <w:r w:rsidRPr="0076579B">
              <w:rPr>
                <w:rFonts w:cstheme="minorHAnsi"/>
                <w:szCs w:val="16"/>
              </w:rPr>
              <w:t>655</w:t>
            </w:r>
          </w:p>
        </w:tc>
      </w:tr>
      <w:tr w:rsidR="001E1DE2" w:rsidRPr="0076579B" w14:paraId="7720FAD8" w14:textId="77777777" w:rsidTr="0076579B">
        <w:trPr>
          <w:gridAfter w:val="1"/>
          <w:cnfStyle w:val="000000100000" w:firstRow="0" w:lastRow="0" w:firstColumn="0" w:lastColumn="0" w:oddVBand="0" w:evenVBand="0" w:oddHBand="1" w:evenHBand="0"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0C1FDEF0" w14:textId="77777777" w:rsidR="004B1CBA" w:rsidRPr="0076579B" w:rsidRDefault="004B1CBA" w:rsidP="00A569C4">
            <w:pPr>
              <w:rPr>
                <w:rFonts w:cstheme="minorHAnsi"/>
                <w:szCs w:val="16"/>
              </w:rPr>
            </w:pPr>
            <w:r w:rsidRPr="0076579B">
              <w:rPr>
                <w:rFonts w:cstheme="minorHAnsi"/>
                <w:szCs w:val="16"/>
              </w:rPr>
              <w:t>Samfunnsfag</w:t>
            </w:r>
          </w:p>
        </w:tc>
        <w:tc>
          <w:tcPr>
            <w:tcW w:w="699" w:type="dxa"/>
            <w:noWrap/>
            <w:vAlign w:val="center"/>
            <w:hideMark/>
          </w:tcPr>
          <w:p w14:paraId="3DB860EC" w14:textId="0929C66B"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334</w:t>
            </w:r>
          </w:p>
        </w:tc>
        <w:tc>
          <w:tcPr>
            <w:tcW w:w="699" w:type="dxa"/>
            <w:noWrap/>
            <w:vAlign w:val="center"/>
            <w:hideMark/>
          </w:tcPr>
          <w:p w14:paraId="656B1F5D" w14:textId="55594DF9"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328</w:t>
            </w:r>
          </w:p>
        </w:tc>
        <w:tc>
          <w:tcPr>
            <w:tcW w:w="699" w:type="dxa"/>
            <w:noWrap/>
            <w:vAlign w:val="center"/>
            <w:hideMark/>
          </w:tcPr>
          <w:p w14:paraId="599F26A0" w14:textId="28FB5DEB"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343</w:t>
            </w:r>
          </w:p>
        </w:tc>
        <w:tc>
          <w:tcPr>
            <w:tcW w:w="699" w:type="dxa"/>
            <w:noWrap/>
            <w:vAlign w:val="center"/>
            <w:hideMark/>
          </w:tcPr>
          <w:p w14:paraId="49999AEC" w14:textId="0C89CE61"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374</w:t>
            </w:r>
          </w:p>
        </w:tc>
        <w:tc>
          <w:tcPr>
            <w:tcW w:w="699" w:type="dxa"/>
            <w:noWrap/>
            <w:vAlign w:val="center"/>
            <w:hideMark/>
          </w:tcPr>
          <w:p w14:paraId="24D91E90" w14:textId="3625FE2C"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362</w:t>
            </w:r>
          </w:p>
        </w:tc>
        <w:tc>
          <w:tcPr>
            <w:tcW w:w="699" w:type="dxa"/>
            <w:noWrap/>
            <w:vAlign w:val="center"/>
            <w:hideMark/>
          </w:tcPr>
          <w:p w14:paraId="38763116" w14:textId="760F4EF3"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306</w:t>
            </w:r>
          </w:p>
        </w:tc>
        <w:tc>
          <w:tcPr>
            <w:tcW w:w="699" w:type="dxa"/>
            <w:noWrap/>
            <w:vAlign w:val="center"/>
            <w:hideMark/>
          </w:tcPr>
          <w:p w14:paraId="2945EA5E" w14:textId="6168D6C8"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264</w:t>
            </w:r>
          </w:p>
        </w:tc>
        <w:tc>
          <w:tcPr>
            <w:tcW w:w="699" w:type="dxa"/>
            <w:noWrap/>
            <w:vAlign w:val="center"/>
            <w:hideMark/>
          </w:tcPr>
          <w:p w14:paraId="7A3CD5A9" w14:textId="798BB9F8"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173</w:t>
            </w:r>
          </w:p>
        </w:tc>
        <w:tc>
          <w:tcPr>
            <w:tcW w:w="700" w:type="dxa"/>
            <w:noWrap/>
            <w:vAlign w:val="center"/>
            <w:hideMark/>
          </w:tcPr>
          <w:p w14:paraId="0ADDB979" w14:textId="33CC5784"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1</w:t>
            </w:r>
            <w:r w:rsidR="00902051" w:rsidRPr="0076579B">
              <w:rPr>
                <w:rFonts w:cstheme="minorHAnsi"/>
                <w:szCs w:val="16"/>
              </w:rPr>
              <w:t> </w:t>
            </w:r>
            <w:r w:rsidRPr="0076579B">
              <w:rPr>
                <w:rFonts w:cstheme="minorHAnsi"/>
                <w:szCs w:val="16"/>
              </w:rPr>
              <w:t>241</w:t>
            </w:r>
          </w:p>
        </w:tc>
      </w:tr>
      <w:tr w:rsidR="001E1DE2" w:rsidRPr="0076579B" w14:paraId="6940295A" w14:textId="77777777" w:rsidTr="0076579B">
        <w:trPr>
          <w:gridAfter w:val="1"/>
          <w:cnfStyle w:val="000000010000" w:firstRow="0" w:lastRow="0" w:firstColumn="0" w:lastColumn="0" w:oddVBand="0" w:evenVBand="0" w:oddHBand="0" w:evenHBand="1"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474430E5" w14:textId="77777777" w:rsidR="004B1CBA" w:rsidRPr="0076579B" w:rsidRDefault="004B1CBA" w:rsidP="00A569C4">
            <w:pPr>
              <w:rPr>
                <w:rFonts w:cstheme="minorHAnsi"/>
                <w:szCs w:val="16"/>
              </w:rPr>
            </w:pPr>
            <w:r w:rsidRPr="0076579B">
              <w:rPr>
                <w:rFonts w:cstheme="minorHAnsi"/>
                <w:szCs w:val="16"/>
              </w:rPr>
              <w:t>Psykologi</w:t>
            </w:r>
          </w:p>
        </w:tc>
        <w:tc>
          <w:tcPr>
            <w:tcW w:w="699" w:type="dxa"/>
            <w:noWrap/>
            <w:vAlign w:val="center"/>
            <w:hideMark/>
          </w:tcPr>
          <w:p w14:paraId="1E14A7EC"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885</w:t>
            </w:r>
          </w:p>
        </w:tc>
        <w:tc>
          <w:tcPr>
            <w:tcW w:w="699" w:type="dxa"/>
            <w:noWrap/>
            <w:vAlign w:val="center"/>
            <w:hideMark/>
          </w:tcPr>
          <w:p w14:paraId="197ABD56"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983</w:t>
            </w:r>
          </w:p>
        </w:tc>
        <w:tc>
          <w:tcPr>
            <w:tcW w:w="699" w:type="dxa"/>
            <w:noWrap/>
            <w:vAlign w:val="center"/>
            <w:hideMark/>
          </w:tcPr>
          <w:p w14:paraId="14BE535A"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1065</w:t>
            </w:r>
          </w:p>
        </w:tc>
        <w:tc>
          <w:tcPr>
            <w:tcW w:w="699" w:type="dxa"/>
            <w:noWrap/>
            <w:vAlign w:val="center"/>
            <w:hideMark/>
          </w:tcPr>
          <w:p w14:paraId="649065A1"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1005</w:t>
            </w:r>
          </w:p>
        </w:tc>
        <w:tc>
          <w:tcPr>
            <w:tcW w:w="699" w:type="dxa"/>
            <w:noWrap/>
            <w:vAlign w:val="center"/>
            <w:hideMark/>
          </w:tcPr>
          <w:p w14:paraId="1297CBB3"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956</w:t>
            </w:r>
          </w:p>
        </w:tc>
        <w:tc>
          <w:tcPr>
            <w:tcW w:w="699" w:type="dxa"/>
            <w:noWrap/>
            <w:vAlign w:val="center"/>
            <w:hideMark/>
          </w:tcPr>
          <w:p w14:paraId="646E4F51"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951</w:t>
            </w:r>
          </w:p>
        </w:tc>
        <w:tc>
          <w:tcPr>
            <w:tcW w:w="699" w:type="dxa"/>
            <w:noWrap/>
            <w:vAlign w:val="center"/>
            <w:hideMark/>
          </w:tcPr>
          <w:p w14:paraId="76E5C697"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967</w:t>
            </w:r>
          </w:p>
        </w:tc>
        <w:tc>
          <w:tcPr>
            <w:tcW w:w="699" w:type="dxa"/>
            <w:noWrap/>
            <w:vAlign w:val="center"/>
            <w:hideMark/>
          </w:tcPr>
          <w:p w14:paraId="68008BD5"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922</w:t>
            </w:r>
          </w:p>
        </w:tc>
        <w:tc>
          <w:tcPr>
            <w:tcW w:w="700" w:type="dxa"/>
            <w:noWrap/>
            <w:vAlign w:val="center"/>
            <w:hideMark/>
          </w:tcPr>
          <w:p w14:paraId="780169AE"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834</w:t>
            </w:r>
          </w:p>
        </w:tc>
      </w:tr>
      <w:tr w:rsidR="001E1DE2" w:rsidRPr="0076579B" w14:paraId="22405635" w14:textId="77777777" w:rsidTr="0076579B">
        <w:trPr>
          <w:gridAfter w:val="1"/>
          <w:cnfStyle w:val="000000100000" w:firstRow="0" w:lastRow="0" w:firstColumn="0" w:lastColumn="0" w:oddVBand="0" w:evenVBand="0" w:oddHBand="1" w:evenHBand="0"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5D7F4653" w14:textId="77777777" w:rsidR="004B1CBA" w:rsidRPr="0076579B" w:rsidRDefault="004B1CBA" w:rsidP="00A569C4">
            <w:pPr>
              <w:rPr>
                <w:rFonts w:cstheme="minorHAnsi"/>
                <w:szCs w:val="16"/>
              </w:rPr>
            </w:pPr>
            <w:r w:rsidRPr="0076579B">
              <w:rPr>
                <w:rFonts w:cstheme="minorHAnsi"/>
                <w:szCs w:val="16"/>
              </w:rPr>
              <w:t>Realfag</w:t>
            </w:r>
          </w:p>
        </w:tc>
        <w:tc>
          <w:tcPr>
            <w:tcW w:w="699" w:type="dxa"/>
            <w:noWrap/>
            <w:vAlign w:val="center"/>
            <w:hideMark/>
          </w:tcPr>
          <w:p w14:paraId="76B9B5D1"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498</w:t>
            </w:r>
          </w:p>
        </w:tc>
        <w:tc>
          <w:tcPr>
            <w:tcW w:w="699" w:type="dxa"/>
            <w:noWrap/>
            <w:vAlign w:val="center"/>
            <w:hideMark/>
          </w:tcPr>
          <w:p w14:paraId="4D8100B2"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539</w:t>
            </w:r>
          </w:p>
        </w:tc>
        <w:tc>
          <w:tcPr>
            <w:tcW w:w="699" w:type="dxa"/>
            <w:noWrap/>
            <w:vAlign w:val="center"/>
            <w:hideMark/>
          </w:tcPr>
          <w:p w14:paraId="69048A8C"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582</w:t>
            </w:r>
          </w:p>
        </w:tc>
        <w:tc>
          <w:tcPr>
            <w:tcW w:w="699" w:type="dxa"/>
            <w:noWrap/>
            <w:vAlign w:val="center"/>
            <w:hideMark/>
          </w:tcPr>
          <w:p w14:paraId="6E440D8D"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605</w:t>
            </w:r>
          </w:p>
        </w:tc>
        <w:tc>
          <w:tcPr>
            <w:tcW w:w="699" w:type="dxa"/>
            <w:noWrap/>
            <w:vAlign w:val="center"/>
            <w:hideMark/>
          </w:tcPr>
          <w:p w14:paraId="43C8BB41"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667</w:t>
            </w:r>
          </w:p>
        </w:tc>
        <w:tc>
          <w:tcPr>
            <w:tcW w:w="699" w:type="dxa"/>
            <w:noWrap/>
            <w:vAlign w:val="center"/>
            <w:hideMark/>
          </w:tcPr>
          <w:p w14:paraId="06C48F26"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681</w:t>
            </w:r>
          </w:p>
        </w:tc>
        <w:tc>
          <w:tcPr>
            <w:tcW w:w="699" w:type="dxa"/>
            <w:noWrap/>
            <w:vAlign w:val="center"/>
            <w:hideMark/>
          </w:tcPr>
          <w:p w14:paraId="3DB452D0"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658</w:t>
            </w:r>
          </w:p>
        </w:tc>
        <w:tc>
          <w:tcPr>
            <w:tcW w:w="699" w:type="dxa"/>
            <w:noWrap/>
            <w:vAlign w:val="center"/>
            <w:hideMark/>
          </w:tcPr>
          <w:p w14:paraId="49D9BD45"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620</w:t>
            </w:r>
          </w:p>
        </w:tc>
        <w:tc>
          <w:tcPr>
            <w:tcW w:w="700" w:type="dxa"/>
            <w:noWrap/>
            <w:vAlign w:val="center"/>
            <w:hideMark/>
          </w:tcPr>
          <w:p w14:paraId="413ED363"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591</w:t>
            </w:r>
          </w:p>
        </w:tc>
      </w:tr>
      <w:tr w:rsidR="001E1DE2" w:rsidRPr="0076579B" w14:paraId="3C1B3E96" w14:textId="77777777" w:rsidTr="0076579B">
        <w:trPr>
          <w:gridAfter w:val="1"/>
          <w:cnfStyle w:val="000000010000" w:firstRow="0" w:lastRow="0" w:firstColumn="0" w:lastColumn="0" w:oddVBand="0" w:evenVBand="0" w:oddHBand="0" w:evenHBand="1"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1937EF8C" w14:textId="77777777" w:rsidR="004B1CBA" w:rsidRPr="0076579B" w:rsidRDefault="004B1CBA" w:rsidP="00A569C4">
            <w:pPr>
              <w:rPr>
                <w:rFonts w:cstheme="minorHAnsi"/>
                <w:szCs w:val="16"/>
              </w:rPr>
            </w:pPr>
            <w:r w:rsidRPr="0076579B">
              <w:rPr>
                <w:rFonts w:cstheme="minorHAnsi"/>
                <w:szCs w:val="16"/>
              </w:rPr>
              <w:t>Ingeniørfag</w:t>
            </w:r>
          </w:p>
        </w:tc>
        <w:tc>
          <w:tcPr>
            <w:tcW w:w="699" w:type="dxa"/>
            <w:noWrap/>
            <w:vAlign w:val="center"/>
            <w:hideMark/>
          </w:tcPr>
          <w:p w14:paraId="11ED7B7E"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692</w:t>
            </w:r>
          </w:p>
        </w:tc>
        <w:tc>
          <w:tcPr>
            <w:tcW w:w="699" w:type="dxa"/>
            <w:noWrap/>
            <w:vAlign w:val="center"/>
            <w:hideMark/>
          </w:tcPr>
          <w:p w14:paraId="5EA75C00"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750</w:t>
            </w:r>
          </w:p>
        </w:tc>
        <w:tc>
          <w:tcPr>
            <w:tcW w:w="699" w:type="dxa"/>
            <w:noWrap/>
            <w:vAlign w:val="center"/>
            <w:hideMark/>
          </w:tcPr>
          <w:p w14:paraId="558153ED"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812</w:t>
            </w:r>
          </w:p>
        </w:tc>
        <w:tc>
          <w:tcPr>
            <w:tcW w:w="699" w:type="dxa"/>
            <w:noWrap/>
            <w:vAlign w:val="center"/>
            <w:hideMark/>
          </w:tcPr>
          <w:p w14:paraId="5D7D8276"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823</w:t>
            </w:r>
          </w:p>
        </w:tc>
        <w:tc>
          <w:tcPr>
            <w:tcW w:w="699" w:type="dxa"/>
            <w:noWrap/>
            <w:vAlign w:val="center"/>
            <w:hideMark/>
          </w:tcPr>
          <w:p w14:paraId="3302E121"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803</w:t>
            </w:r>
          </w:p>
        </w:tc>
        <w:tc>
          <w:tcPr>
            <w:tcW w:w="699" w:type="dxa"/>
            <w:noWrap/>
            <w:vAlign w:val="center"/>
            <w:hideMark/>
          </w:tcPr>
          <w:p w14:paraId="108376EC"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776</w:t>
            </w:r>
          </w:p>
        </w:tc>
        <w:tc>
          <w:tcPr>
            <w:tcW w:w="699" w:type="dxa"/>
            <w:noWrap/>
            <w:vAlign w:val="center"/>
            <w:hideMark/>
          </w:tcPr>
          <w:p w14:paraId="1E75FD99"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708</w:t>
            </w:r>
          </w:p>
        </w:tc>
        <w:tc>
          <w:tcPr>
            <w:tcW w:w="699" w:type="dxa"/>
            <w:noWrap/>
            <w:vAlign w:val="center"/>
            <w:hideMark/>
          </w:tcPr>
          <w:p w14:paraId="2F8EA376"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600</w:t>
            </w:r>
          </w:p>
        </w:tc>
        <w:tc>
          <w:tcPr>
            <w:tcW w:w="700" w:type="dxa"/>
            <w:noWrap/>
            <w:vAlign w:val="center"/>
            <w:hideMark/>
          </w:tcPr>
          <w:p w14:paraId="0E21A748"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562</w:t>
            </w:r>
          </w:p>
        </w:tc>
      </w:tr>
      <w:tr w:rsidR="001E1DE2" w:rsidRPr="0076579B" w14:paraId="47D6B652" w14:textId="77777777" w:rsidTr="0076579B">
        <w:trPr>
          <w:gridAfter w:val="1"/>
          <w:cnfStyle w:val="000000100000" w:firstRow="0" w:lastRow="0" w:firstColumn="0" w:lastColumn="0" w:oddVBand="0" w:evenVBand="0" w:oddHBand="1" w:evenHBand="0"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7C3CDAA1" w14:textId="77777777" w:rsidR="004B1CBA" w:rsidRPr="0076579B" w:rsidRDefault="004B1CBA" w:rsidP="00A569C4">
            <w:pPr>
              <w:rPr>
                <w:rFonts w:cstheme="minorHAnsi"/>
                <w:szCs w:val="16"/>
              </w:rPr>
            </w:pPr>
            <w:r w:rsidRPr="0076579B">
              <w:rPr>
                <w:rFonts w:cstheme="minorHAnsi"/>
                <w:szCs w:val="16"/>
              </w:rPr>
              <w:t>Humanistiske fag</w:t>
            </w:r>
          </w:p>
        </w:tc>
        <w:tc>
          <w:tcPr>
            <w:tcW w:w="699" w:type="dxa"/>
            <w:noWrap/>
            <w:vAlign w:val="center"/>
            <w:hideMark/>
          </w:tcPr>
          <w:p w14:paraId="459C4009"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889</w:t>
            </w:r>
          </w:p>
        </w:tc>
        <w:tc>
          <w:tcPr>
            <w:tcW w:w="699" w:type="dxa"/>
            <w:noWrap/>
            <w:vAlign w:val="center"/>
            <w:hideMark/>
          </w:tcPr>
          <w:p w14:paraId="16516254"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885</w:t>
            </w:r>
          </w:p>
        </w:tc>
        <w:tc>
          <w:tcPr>
            <w:tcW w:w="699" w:type="dxa"/>
            <w:noWrap/>
            <w:vAlign w:val="center"/>
            <w:hideMark/>
          </w:tcPr>
          <w:p w14:paraId="4B35E7D0"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839</w:t>
            </w:r>
          </w:p>
        </w:tc>
        <w:tc>
          <w:tcPr>
            <w:tcW w:w="699" w:type="dxa"/>
            <w:noWrap/>
            <w:vAlign w:val="center"/>
            <w:hideMark/>
          </w:tcPr>
          <w:p w14:paraId="6E0AF259"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770</w:t>
            </w:r>
          </w:p>
        </w:tc>
        <w:tc>
          <w:tcPr>
            <w:tcW w:w="699" w:type="dxa"/>
            <w:noWrap/>
            <w:vAlign w:val="center"/>
            <w:hideMark/>
          </w:tcPr>
          <w:p w14:paraId="35002DBA"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765</w:t>
            </w:r>
          </w:p>
        </w:tc>
        <w:tc>
          <w:tcPr>
            <w:tcW w:w="699" w:type="dxa"/>
            <w:noWrap/>
            <w:vAlign w:val="center"/>
            <w:hideMark/>
          </w:tcPr>
          <w:p w14:paraId="62E719E6"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723</w:t>
            </w:r>
          </w:p>
        </w:tc>
        <w:tc>
          <w:tcPr>
            <w:tcW w:w="699" w:type="dxa"/>
            <w:noWrap/>
            <w:vAlign w:val="center"/>
            <w:hideMark/>
          </w:tcPr>
          <w:p w14:paraId="56D98AE2"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671</w:t>
            </w:r>
          </w:p>
        </w:tc>
        <w:tc>
          <w:tcPr>
            <w:tcW w:w="699" w:type="dxa"/>
            <w:noWrap/>
            <w:vAlign w:val="center"/>
            <w:hideMark/>
          </w:tcPr>
          <w:p w14:paraId="72B1E361"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597</w:t>
            </w:r>
          </w:p>
        </w:tc>
        <w:tc>
          <w:tcPr>
            <w:tcW w:w="700" w:type="dxa"/>
            <w:noWrap/>
            <w:vAlign w:val="center"/>
            <w:hideMark/>
          </w:tcPr>
          <w:p w14:paraId="2D6CF3EE" w14:textId="7777777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523</w:t>
            </w:r>
          </w:p>
        </w:tc>
      </w:tr>
      <w:tr w:rsidR="001E1DE2" w:rsidRPr="0076579B" w14:paraId="5D1B2BB8" w14:textId="77777777" w:rsidTr="0076579B">
        <w:trPr>
          <w:gridAfter w:val="1"/>
          <w:cnfStyle w:val="000000010000" w:firstRow="0" w:lastRow="0" w:firstColumn="0" w:lastColumn="0" w:oddVBand="0" w:evenVBand="0" w:oddHBand="0" w:evenHBand="1"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131D3EDC" w14:textId="77777777" w:rsidR="004B1CBA" w:rsidRPr="0076579B" w:rsidRDefault="004B1CBA" w:rsidP="00A569C4">
            <w:pPr>
              <w:rPr>
                <w:rFonts w:cstheme="minorHAnsi"/>
                <w:szCs w:val="16"/>
              </w:rPr>
            </w:pPr>
            <w:r w:rsidRPr="0076579B">
              <w:rPr>
                <w:rFonts w:cstheme="minorHAnsi"/>
                <w:szCs w:val="16"/>
              </w:rPr>
              <w:t>Bildende kunst / kunsthåndverk</w:t>
            </w:r>
          </w:p>
        </w:tc>
        <w:tc>
          <w:tcPr>
            <w:tcW w:w="699" w:type="dxa"/>
            <w:noWrap/>
            <w:vAlign w:val="center"/>
            <w:hideMark/>
          </w:tcPr>
          <w:p w14:paraId="640133F1"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716</w:t>
            </w:r>
          </w:p>
        </w:tc>
        <w:tc>
          <w:tcPr>
            <w:tcW w:w="699" w:type="dxa"/>
            <w:noWrap/>
            <w:vAlign w:val="center"/>
            <w:hideMark/>
          </w:tcPr>
          <w:p w14:paraId="1D32A355"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689</w:t>
            </w:r>
          </w:p>
        </w:tc>
        <w:tc>
          <w:tcPr>
            <w:tcW w:w="699" w:type="dxa"/>
            <w:noWrap/>
            <w:vAlign w:val="center"/>
            <w:hideMark/>
          </w:tcPr>
          <w:p w14:paraId="3AB0B43E"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649</w:t>
            </w:r>
          </w:p>
        </w:tc>
        <w:tc>
          <w:tcPr>
            <w:tcW w:w="699" w:type="dxa"/>
            <w:noWrap/>
            <w:vAlign w:val="center"/>
            <w:hideMark/>
          </w:tcPr>
          <w:p w14:paraId="27FF897D"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555</w:t>
            </w:r>
          </w:p>
        </w:tc>
        <w:tc>
          <w:tcPr>
            <w:tcW w:w="699" w:type="dxa"/>
            <w:noWrap/>
            <w:vAlign w:val="center"/>
            <w:hideMark/>
          </w:tcPr>
          <w:p w14:paraId="114A4785"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483</w:t>
            </w:r>
          </w:p>
        </w:tc>
        <w:tc>
          <w:tcPr>
            <w:tcW w:w="699" w:type="dxa"/>
            <w:noWrap/>
            <w:vAlign w:val="center"/>
            <w:hideMark/>
          </w:tcPr>
          <w:p w14:paraId="69A67B40"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482</w:t>
            </w:r>
          </w:p>
        </w:tc>
        <w:tc>
          <w:tcPr>
            <w:tcW w:w="699" w:type="dxa"/>
            <w:noWrap/>
            <w:vAlign w:val="center"/>
            <w:hideMark/>
          </w:tcPr>
          <w:p w14:paraId="32D34076"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462</w:t>
            </w:r>
          </w:p>
        </w:tc>
        <w:tc>
          <w:tcPr>
            <w:tcW w:w="699" w:type="dxa"/>
            <w:noWrap/>
            <w:vAlign w:val="center"/>
            <w:hideMark/>
          </w:tcPr>
          <w:p w14:paraId="6D5CAC28"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418</w:t>
            </w:r>
          </w:p>
        </w:tc>
        <w:tc>
          <w:tcPr>
            <w:tcW w:w="700" w:type="dxa"/>
            <w:noWrap/>
            <w:vAlign w:val="center"/>
            <w:hideMark/>
          </w:tcPr>
          <w:p w14:paraId="17456AB4" w14:textId="7777777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szCs w:val="16"/>
              </w:rPr>
            </w:pPr>
            <w:r w:rsidRPr="0076579B">
              <w:rPr>
                <w:rFonts w:cstheme="minorHAnsi"/>
                <w:szCs w:val="16"/>
              </w:rPr>
              <w:t>431</w:t>
            </w:r>
          </w:p>
        </w:tc>
      </w:tr>
      <w:tr w:rsidR="001E1DE2" w:rsidRPr="0076579B" w14:paraId="2FA09230" w14:textId="77777777" w:rsidTr="0076579B">
        <w:trPr>
          <w:gridAfter w:val="1"/>
          <w:cnfStyle w:val="000000100000" w:firstRow="0" w:lastRow="0" w:firstColumn="0" w:lastColumn="0" w:oddVBand="0" w:evenVBand="0" w:oddHBand="1" w:evenHBand="0"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766911C0" w14:textId="77777777" w:rsidR="004B1CBA" w:rsidRPr="0076579B" w:rsidRDefault="004B1CBA" w:rsidP="00A569C4">
            <w:pPr>
              <w:rPr>
                <w:rFonts w:cstheme="minorHAnsi"/>
                <w:szCs w:val="16"/>
              </w:rPr>
            </w:pPr>
            <w:r w:rsidRPr="0076579B">
              <w:rPr>
                <w:rFonts w:cstheme="minorHAnsi"/>
                <w:szCs w:val="16"/>
              </w:rPr>
              <w:t>Andre fagområder</w:t>
            </w:r>
          </w:p>
        </w:tc>
        <w:tc>
          <w:tcPr>
            <w:tcW w:w="699" w:type="dxa"/>
            <w:noWrap/>
            <w:vAlign w:val="center"/>
            <w:hideMark/>
          </w:tcPr>
          <w:p w14:paraId="37DADFC6" w14:textId="7D0EA0B0"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w:t>
            </w:r>
            <w:r w:rsidR="00902051" w:rsidRPr="0076579B">
              <w:rPr>
                <w:rFonts w:cstheme="minorHAnsi"/>
                <w:szCs w:val="16"/>
              </w:rPr>
              <w:t> </w:t>
            </w:r>
            <w:r w:rsidRPr="0076579B">
              <w:rPr>
                <w:rFonts w:cstheme="minorHAnsi"/>
                <w:szCs w:val="16"/>
              </w:rPr>
              <w:t>004</w:t>
            </w:r>
          </w:p>
        </w:tc>
        <w:tc>
          <w:tcPr>
            <w:tcW w:w="699" w:type="dxa"/>
            <w:noWrap/>
            <w:vAlign w:val="center"/>
            <w:hideMark/>
          </w:tcPr>
          <w:p w14:paraId="62C76D7E" w14:textId="35AF703D"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w:t>
            </w:r>
            <w:r w:rsidR="00902051" w:rsidRPr="0076579B">
              <w:rPr>
                <w:rFonts w:cstheme="minorHAnsi"/>
                <w:szCs w:val="16"/>
              </w:rPr>
              <w:t> </w:t>
            </w:r>
            <w:r w:rsidRPr="0076579B">
              <w:rPr>
                <w:rFonts w:cstheme="minorHAnsi"/>
                <w:szCs w:val="16"/>
              </w:rPr>
              <w:t>220</w:t>
            </w:r>
          </w:p>
        </w:tc>
        <w:tc>
          <w:tcPr>
            <w:tcW w:w="699" w:type="dxa"/>
            <w:noWrap/>
            <w:vAlign w:val="center"/>
            <w:hideMark/>
          </w:tcPr>
          <w:p w14:paraId="17C06E51" w14:textId="3A19800A"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w:t>
            </w:r>
            <w:r w:rsidR="00902051" w:rsidRPr="0076579B">
              <w:rPr>
                <w:rFonts w:cstheme="minorHAnsi"/>
                <w:szCs w:val="16"/>
              </w:rPr>
              <w:t> </w:t>
            </w:r>
            <w:r w:rsidRPr="0076579B">
              <w:rPr>
                <w:rFonts w:cstheme="minorHAnsi"/>
                <w:szCs w:val="16"/>
              </w:rPr>
              <w:t>154</w:t>
            </w:r>
          </w:p>
        </w:tc>
        <w:tc>
          <w:tcPr>
            <w:tcW w:w="699" w:type="dxa"/>
            <w:noWrap/>
            <w:vAlign w:val="center"/>
            <w:hideMark/>
          </w:tcPr>
          <w:p w14:paraId="4C54D059" w14:textId="74B4F811"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w:t>
            </w:r>
            <w:r w:rsidR="00902051" w:rsidRPr="0076579B">
              <w:rPr>
                <w:rFonts w:cstheme="minorHAnsi"/>
                <w:szCs w:val="16"/>
              </w:rPr>
              <w:t> </w:t>
            </w:r>
            <w:r w:rsidRPr="0076579B">
              <w:rPr>
                <w:rFonts w:cstheme="minorHAnsi"/>
                <w:szCs w:val="16"/>
              </w:rPr>
              <w:t>055</w:t>
            </w:r>
          </w:p>
        </w:tc>
        <w:tc>
          <w:tcPr>
            <w:tcW w:w="699" w:type="dxa"/>
            <w:noWrap/>
            <w:vAlign w:val="center"/>
            <w:hideMark/>
          </w:tcPr>
          <w:p w14:paraId="6CC9C5A3" w14:textId="3FD75BB7"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5</w:t>
            </w:r>
            <w:r w:rsidR="00902051" w:rsidRPr="0076579B">
              <w:rPr>
                <w:rFonts w:cstheme="minorHAnsi"/>
                <w:szCs w:val="16"/>
              </w:rPr>
              <w:t> </w:t>
            </w:r>
            <w:r w:rsidRPr="0076579B">
              <w:rPr>
                <w:rFonts w:cstheme="minorHAnsi"/>
                <w:szCs w:val="16"/>
              </w:rPr>
              <w:t>124</w:t>
            </w:r>
          </w:p>
        </w:tc>
        <w:tc>
          <w:tcPr>
            <w:tcW w:w="699" w:type="dxa"/>
            <w:noWrap/>
            <w:vAlign w:val="center"/>
            <w:hideMark/>
          </w:tcPr>
          <w:p w14:paraId="13B00038" w14:textId="3594D1D0"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4</w:t>
            </w:r>
            <w:r w:rsidR="00902051" w:rsidRPr="0076579B">
              <w:rPr>
                <w:rFonts w:cstheme="minorHAnsi"/>
                <w:szCs w:val="16"/>
              </w:rPr>
              <w:t> </w:t>
            </w:r>
            <w:r w:rsidRPr="0076579B">
              <w:rPr>
                <w:rFonts w:cstheme="minorHAnsi"/>
                <w:szCs w:val="16"/>
              </w:rPr>
              <w:t>869</w:t>
            </w:r>
          </w:p>
        </w:tc>
        <w:tc>
          <w:tcPr>
            <w:tcW w:w="699" w:type="dxa"/>
            <w:noWrap/>
            <w:vAlign w:val="center"/>
            <w:hideMark/>
          </w:tcPr>
          <w:p w14:paraId="62051D83" w14:textId="4AAE30A1"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4</w:t>
            </w:r>
            <w:r w:rsidR="00902051" w:rsidRPr="0076579B">
              <w:rPr>
                <w:rFonts w:cstheme="minorHAnsi"/>
                <w:szCs w:val="16"/>
              </w:rPr>
              <w:t> </w:t>
            </w:r>
            <w:r w:rsidRPr="0076579B">
              <w:rPr>
                <w:rFonts w:cstheme="minorHAnsi"/>
                <w:szCs w:val="16"/>
              </w:rPr>
              <w:t>713</w:t>
            </w:r>
          </w:p>
        </w:tc>
        <w:tc>
          <w:tcPr>
            <w:tcW w:w="699" w:type="dxa"/>
            <w:noWrap/>
            <w:vAlign w:val="center"/>
            <w:hideMark/>
          </w:tcPr>
          <w:p w14:paraId="794A1B21" w14:textId="510BA381"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4</w:t>
            </w:r>
            <w:r w:rsidR="00902051" w:rsidRPr="0076579B">
              <w:rPr>
                <w:rFonts w:cstheme="minorHAnsi"/>
                <w:szCs w:val="16"/>
              </w:rPr>
              <w:t> </w:t>
            </w:r>
            <w:r w:rsidRPr="0076579B">
              <w:rPr>
                <w:rFonts w:cstheme="minorHAnsi"/>
                <w:szCs w:val="16"/>
              </w:rPr>
              <w:t>292</w:t>
            </w:r>
          </w:p>
        </w:tc>
        <w:tc>
          <w:tcPr>
            <w:tcW w:w="700" w:type="dxa"/>
            <w:noWrap/>
            <w:vAlign w:val="center"/>
            <w:hideMark/>
          </w:tcPr>
          <w:p w14:paraId="2AFFBA73" w14:textId="7537006F" w:rsidR="004B1CBA" w:rsidRPr="0076579B" w:rsidRDefault="004B1CBA" w:rsidP="0076579B">
            <w:pPr>
              <w:cnfStyle w:val="000000100000" w:firstRow="0" w:lastRow="0" w:firstColumn="0" w:lastColumn="0" w:oddVBand="0" w:evenVBand="0" w:oddHBand="1" w:evenHBand="0" w:firstRowFirstColumn="0" w:firstRowLastColumn="0" w:lastRowFirstColumn="0" w:lastRowLastColumn="0"/>
              <w:rPr>
                <w:rFonts w:cstheme="minorHAnsi"/>
                <w:szCs w:val="16"/>
              </w:rPr>
            </w:pPr>
            <w:r w:rsidRPr="0076579B">
              <w:rPr>
                <w:rFonts w:cstheme="minorHAnsi"/>
                <w:szCs w:val="16"/>
              </w:rPr>
              <w:t>4</w:t>
            </w:r>
            <w:r w:rsidR="00902051" w:rsidRPr="0076579B">
              <w:rPr>
                <w:rFonts w:cstheme="minorHAnsi"/>
                <w:szCs w:val="16"/>
              </w:rPr>
              <w:t> </w:t>
            </w:r>
            <w:r w:rsidRPr="0076579B">
              <w:rPr>
                <w:rFonts w:cstheme="minorHAnsi"/>
                <w:szCs w:val="16"/>
              </w:rPr>
              <w:t>184</w:t>
            </w:r>
          </w:p>
        </w:tc>
      </w:tr>
      <w:tr w:rsidR="001E1DE2" w:rsidRPr="0076579B" w14:paraId="03FD8E74" w14:textId="77777777" w:rsidTr="0076579B">
        <w:trPr>
          <w:gridAfter w:val="1"/>
          <w:cnfStyle w:val="000000010000" w:firstRow="0" w:lastRow="0" w:firstColumn="0" w:lastColumn="0" w:oddVBand="0" w:evenVBand="0" w:oddHBand="0" w:evenHBand="1" w:firstRowFirstColumn="0" w:firstRowLastColumn="0" w:lastRowFirstColumn="0" w:lastRowLastColumn="0"/>
          <w:wAfter w:w="7" w:type="dxa"/>
          <w:cantSplit/>
          <w:trHeight w:val="170"/>
        </w:trPr>
        <w:tc>
          <w:tcPr>
            <w:cnfStyle w:val="001000000000" w:firstRow="0" w:lastRow="0" w:firstColumn="1" w:lastColumn="0" w:oddVBand="0" w:evenVBand="0" w:oddHBand="0" w:evenHBand="0" w:firstRowFirstColumn="0" w:firstRowLastColumn="0" w:lastRowFirstColumn="0" w:lastRowLastColumn="0"/>
            <w:tcW w:w="1812" w:type="dxa"/>
            <w:noWrap/>
            <w:hideMark/>
          </w:tcPr>
          <w:p w14:paraId="3E150F0F" w14:textId="362AF314" w:rsidR="004B1CBA" w:rsidRPr="00C42854" w:rsidRDefault="003756C0" w:rsidP="00A569C4">
            <w:pPr>
              <w:rPr>
                <w:rFonts w:cstheme="minorHAnsi"/>
                <w:b/>
                <w:bCs/>
                <w:szCs w:val="16"/>
              </w:rPr>
            </w:pPr>
            <w:r w:rsidRPr="00C42854">
              <w:rPr>
                <w:rFonts w:cstheme="minorHAnsi"/>
                <w:b/>
                <w:bCs/>
                <w:szCs w:val="16"/>
              </w:rPr>
              <w:t>I alt</w:t>
            </w:r>
          </w:p>
        </w:tc>
        <w:tc>
          <w:tcPr>
            <w:tcW w:w="699" w:type="dxa"/>
            <w:noWrap/>
            <w:vAlign w:val="center"/>
            <w:hideMark/>
          </w:tcPr>
          <w:p w14:paraId="48EF8133" w14:textId="12D3D3C3"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16</w:t>
            </w:r>
            <w:r w:rsidR="00902051" w:rsidRPr="0076579B">
              <w:rPr>
                <w:rFonts w:cstheme="minorHAnsi"/>
                <w:b/>
                <w:bCs/>
                <w:sz w:val="14"/>
                <w:szCs w:val="14"/>
              </w:rPr>
              <w:t> </w:t>
            </w:r>
            <w:r w:rsidRPr="0076579B">
              <w:rPr>
                <w:rFonts w:cstheme="minorHAnsi"/>
                <w:b/>
                <w:bCs/>
                <w:sz w:val="14"/>
                <w:szCs w:val="14"/>
              </w:rPr>
              <w:t>609</w:t>
            </w:r>
          </w:p>
        </w:tc>
        <w:tc>
          <w:tcPr>
            <w:tcW w:w="699" w:type="dxa"/>
            <w:noWrap/>
            <w:vAlign w:val="center"/>
            <w:hideMark/>
          </w:tcPr>
          <w:p w14:paraId="273C57B2" w14:textId="3E28D897"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17</w:t>
            </w:r>
            <w:r w:rsidR="00902051" w:rsidRPr="0076579B">
              <w:rPr>
                <w:rFonts w:cstheme="minorHAnsi"/>
                <w:b/>
                <w:bCs/>
                <w:sz w:val="14"/>
                <w:szCs w:val="14"/>
              </w:rPr>
              <w:t> </w:t>
            </w:r>
            <w:r w:rsidRPr="0076579B">
              <w:rPr>
                <w:rFonts w:cstheme="minorHAnsi"/>
                <w:b/>
                <w:bCs/>
                <w:sz w:val="14"/>
                <w:szCs w:val="14"/>
              </w:rPr>
              <w:t>293</w:t>
            </w:r>
          </w:p>
        </w:tc>
        <w:tc>
          <w:tcPr>
            <w:tcW w:w="699" w:type="dxa"/>
            <w:noWrap/>
            <w:vAlign w:val="center"/>
            <w:hideMark/>
          </w:tcPr>
          <w:p w14:paraId="50FD1D28" w14:textId="6429CCB4"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17</w:t>
            </w:r>
            <w:r w:rsidR="00902051" w:rsidRPr="0076579B">
              <w:rPr>
                <w:rFonts w:cstheme="minorHAnsi"/>
                <w:b/>
                <w:bCs/>
                <w:sz w:val="14"/>
                <w:szCs w:val="14"/>
              </w:rPr>
              <w:t> </w:t>
            </w:r>
            <w:r w:rsidRPr="0076579B">
              <w:rPr>
                <w:rFonts w:cstheme="minorHAnsi"/>
                <w:b/>
                <w:bCs/>
                <w:sz w:val="14"/>
                <w:szCs w:val="14"/>
              </w:rPr>
              <w:t>442</w:t>
            </w:r>
          </w:p>
        </w:tc>
        <w:tc>
          <w:tcPr>
            <w:tcW w:w="699" w:type="dxa"/>
            <w:noWrap/>
            <w:vAlign w:val="center"/>
            <w:hideMark/>
          </w:tcPr>
          <w:p w14:paraId="19546B0A" w14:textId="3FE5D54F"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16</w:t>
            </w:r>
            <w:r w:rsidR="00902051" w:rsidRPr="0076579B">
              <w:rPr>
                <w:rFonts w:cstheme="minorHAnsi"/>
                <w:b/>
                <w:bCs/>
                <w:sz w:val="14"/>
                <w:szCs w:val="14"/>
              </w:rPr>
              <w:t> </w:t>
            </w:r>
            <w:r w:rsidRPr="0076579B">
              <w:rPr>
                <w:rFonts w:cstheme="minorHAnsi"/>
                <w:b/>
                <w:bCs/>
                <w:sz w:val="14"/>
                <w:szCs w:val="14"/>
              </w:rPr>
              <w:t>913</w:t>
            </w:r>
          </w:p>
        </w:tc>
        <w:tc>
          <w:tcPr>
            <w:tcW w:w="699" w:type="dxa"/>
            <w:noWrap/>
            <w:vAlign w:val="center"/>
            <w:hideMark/>
          </w:tcPr>
          <w:p w14:paraId="569B1A80" w14:textId="3BB1909B"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16</w:t>
            </w:r>
            <w:r w:rsidR="00902051" w:rsidRPr="0076579B">
              <w:rPr>
                <w:rFonts w:cstheme="minorHAnsi"/>
                <w:b/>
                <w:bCs/>
                <w:sz w:val="14"/>
                <w:szCs w:val="14"/>
              </w:rPr>
              <w:t> </w:t>
            </w:r>
            <w:r w:rsidRPr="0076579B">
              <w:rPr>
                <w:rFonts w:cstheme="minorHAnsi"/>
                <w:b/>
                <w:bCs/>
                <w:sz w:val="14"/>
                <w:szCs w:val="14"/>
              </w:rPr>
              <w:t>634</w:t>
            </w:r>
          </w:p>
        </w:tc>
        <w:tc>
          <w:tcPr>
            <w:tcW w:w="699" w:type="dxa"/>
            <w:noWrap/>
            <w:vAlign w:val="center"/>
            <w:hideMark/>
          </w:tcPr>
          <w:p w14:paraId="17547F5D" w14:textId="3478C6E0"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15</w:t>
            </w:r>
            <w:r w:rsidR="00902051" w:rsidRPr="0076579B">
              <w:rPr>
                <w:rFonts w:cstheme="minorHAnsi"/>
                <w:b/>
                <w:bCs/>
                <w:sz w:val="14"/>
                <w:szCs w:val="14"/>
              </w:rPr>
              <w:t> </w:t>
            </w:r>
            <w:r w:rsidRPr="0076579B">
              <w:rPr>
                <w:rFonts w:cstheme="minorHAnsi"/>
                <w:b/>
                <w:bCs/>
                <w:sz w:val="14"/>
                <w:szCs w:val="14"/>
              </w:rPr>
              <w:t>952</w:t>
            </w:r>
          </w:p>
        </w:tc>
        <w:tc>
          <w:tcPr>
            <w:tcW w:w="699" w:type="dxa"/>
            <w:noWrap/>
            <w:vAlign w:val="center"/>
            <w:hideMark/>
          </w:tcPr>
          <w:p w14:paraId="1FA6C49D" w14:textId="7FD99765"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15</w:t>
            </w:r>
            <w:r w:rsidR="00902051" w:rsidRPr="0076579B">
              <w:rPr>
                <w:rFonts w:cstheme="minorHAnsi"/>
                <w:b/>
                <w:bCs/>
                <w:sz w:val="14"/>
                <w:szCs w:val="14"/>
              </w:rPr>
              <w:t> </w:t>
            </w:r>
            <w:r w:rsidRPr="0076579B">
              <w:rPr>
                <w:rFonts w:cstheme="minorHAnsi"/>
                <w:b/>
                <w:bCs/>
                <w:sz w:val="14"/>
                <w:szCs w:val="14"/>
              </w:rPr>
              <w:t>366</w:t>
            </w:r>
          </w:p>
        </w:tc>
        <w:tc>
          <w:tcPr>
            <w:tcW w:w="699" w:type="dxa"/>
            <w:noWrap/>
            <w:vAlign w:val="center"/>
            <w:hideMark/>
          </w:tcPr>
          <w:p w14:paraId="5BD18CDB" w14:textId="6D319063"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14</w:t>
            </w:r>
            <w:r w:rsidR="00902051" w:rsidRPr="0076579B">
              <w:rPr>
                <w:rFonts w:cstheme="minorHAnsi"/>
                <w:b/>
                <w:bCs/>
                <w:sz w:val="14"/>
                <w:szCs w:val="14"/>
              </w:rPr>
              <w:t> </w:t>
            </w:r>
            <w:r w:rsidRPr="0076579B">
              <w:rPr>
                <w:rFonts w:cstheme="minorHAnsi"/>
                <w:b/>
                <w:bCs/>
                <w:sz w:val="14"/>
                <w:szCs w:val="14"/>
              </w:rPr>
              <w:t>318</w:t>
            </w:r>
          </w:p>
        </w:tc>
        <w:tc>
          <w:tcPr>
            <w:tcW w:w="700" w:type="dxa"/>
            <w:noWrap/>
            <w:vAlign w:val="center"/>
            <w:hideMark/>
          </w:tcPr>
          <w:p w14:paraId="111594E3" w14:textId="38050A28" w:rsidR="004B1CBA" w:rsidRPr="0076579B" w:rsidRDefault="004B1CBA" w:rsidP="0076579B">
            <w:pPr>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76579B">
              <w:rPr>
                <w:rFonts w:cstheme="minorHAnsi"/>
                <w:b/>
                <w:bCs/>
                <w:sz w:val="14"/>
                <w:szCs w:val="14"/>
              </w:rPr>
              <w:t>14</w:t>
            </w:r>
            <w:r w:rsidR="00902051" w:rsidRPr="0076579B">
              <w:rPr>
                <w:rFonts w:cstheme="minorHAnsi"/>
                <w:b/>
                <w:bCs/>
                <w:sz w:val="14"/>
                <w:szCs w:val="14"/>
              </w:rPr>
              <w:t> </w:t>
            </w:r>
            <w:r w:rsidRPr="0076579B">
              <w:rPr>
                <w:rFonts w:cstheme="minorHAnsi"/>
                <w:b/>
                <w:bCs/>
                <w:sz w:val="14"/>
                <w:szCs w:val="14"/>
              </w:rPr>
              <w:t>053</w:t>
            </w:r>
          </w:p>
        </w:tc>
      </w:tr>
    </w:tbl>
    <w:p w14:paraId="101EC417" w14:textId="6532815F" w:rsidR="00EB7D73" w:rsidRDefault="00EB7D73" w:rsidP="00561292">
      <w:pPr>
        <w:pStyle w:val="Merknad"/>
      </w:pPr>
      <w:r w:rsidRPr="00EB7D73">
        <w:t>Tabellen viser norske gradsstudenter i utlandet med støtte fra Lånekassen, tall per år gjelder studieår.</w:t>
      </w:r>
    </w:p>
    <w:p w14:paraId="77DBC965" w14:textId="6C0B9C89" w:rsidR="00561292" w:rsidRPr="00561292" w:rsidRDefault="00561292" w:rsidP="004237BB">
      <w:pPr>
        <w:pStyle w:val="Kilde"/>
      </w:pPr>
      <w:r w:rsidRPr="00561292">
        <w:t>Kilde: Lånekassen</w:t>
      </w:r>
    </w:p>
    <w:p w14:paraId="5A1887C1" w14:textId="77777777" w:rsidR="005B2B32" w:rsidRDefault="005B2B32">
      <w:pPr>
        <w:rPr>
          <w:rFonts w:asciiTheme="majorHAnsi" w:eastAsiaTheme="majorEastAsia" w:hAnsiTheme="majorHAnsi" w:cstheme="majorBidi"/>
          <w:b/>
          <w:color w:val="362683"/>
          <w:sz w:val="24"/>
          <w:szCs w:val="26"/>
        </w:rPr>
      </w:pPr>
      <w:r>
        <w:br w:type="page"/>
      </w:r>
    </w:p>
    <w:p w14:paraId="1DE09CFA" w14:textId="77777777" w:rsidR="005F3EC2" w:rsidRDefault="005F3EC2" w:rsidP="00AE4B98">
      <w:pPr>
        <w:pStyle w:val="Overskrift3"/>
      </w:pPr>
      <w:bookmarkStart w:id="97" w:name="_Toc134792733"/>
      <w:r w:rsidRPr="00CE1206">
        <w:lastRenderedPageBreak/>
        <w:t>Internasjonale</w:t>
      </w:r>
      <w:r>
        <w:t xml:space="preserve"> studenter</w:t>
      </w:r>
      <w:r w:rsidRPr="00CE1206">
        <w:t xml:space="preserve"> i Norge</w:t>
      </w:r>
      <w:bookmarkEnd w:id="97"/>
    </w:p>
    <w:p w14:paraId="091514A9" w14:textId="61A16783" w:rsidR="00B25AD6" w:rsidRPr="00C65DD5" w:rsidRDefault="001053E7" w:rsidP="007C3A4D">
      <w:pPr>
        <w:rPr>
          <w:highlight w:val="yellow"/>
        </w:rPr>
      </w:pPr>
      <w:r w:rsidRPr="007B1CB6">
        <w:t>T</w:t>
      </w:r>
      <w:r w:rsidR="007C3A4D" w:rsidRPr="007B1CB6">
        <w:t xml:space="preserve">ilstandsrapporten </w:t>
      </w:r>
      <w:r w:rsidRPr="007B1CB6">
        <w:t xml:space="preserve">har siden 2019 </w:t>
      </w:r>
      <w:r w:rsidR="007C3A4D" w:rsidRPr="007B1CB6">
        <w:t>presentert tall for internasjonale studenter basert på OECDs definisjon</w:t>
      </w:r>
      <w:r w:rsidR="00B37DCB" w:rsidRPr="007B1CB6">
        <w:t xml:space="preserve">. </w:t>
      </w:r>
      <w:r w:rsidR="007B1CB6" w:rsidRPr="007B1CB6">
        <w:t>Denne</w:t>
      </w:r>
      <w:r w:rsidR="00163332" w:rsidRPr="007B1CB6">
        <w:t xml:space="preserve"> </w:t>
      </w:r>
      <w:r w:rsidR="007B1CB6" w:rsidRPr="007B1CB6">
        <w:t>omfatter</w:t>
      </w:r>
      <w:r w:rsidR="007C3A4D" w:rsidRPr="007B1CB6">
        <w:t xml:space="preserve"> </w:t>
      </w:r>
      <w:r w:rsidR="007B1CB6" w:rsidRPr="007B1CB6">
        <w:t>alle</w:t>
      </w:r>
      <w:r w:rsidR="007C3A4D" w:rsidRPr="007B1CB6">
        <w:t xml:space="preserve"> studente</w:t>
      </w:r>
      <w:r w:rsidR="007B1CB6" w:rsidRPr="007B1CB6">
        <w:t>r</w:t>
      </w:r>
      <w:r w:rsidR="007C3A4D" w:rsidRPr="007B1CB6">
        <w:t xml:space="preserve"> som har krysset landegrenser for å studere,</w:t>
      </w:r>
      <w:r w:rsidR="009B0C19" w:rsidRPr="007B1CB6">
        <w:t xml:space="preserve"> </w:t>
      </w:r>
      <w:r w:rsidR="00042F83">
        <w:t>unntatt</w:t>
      </w:r>
      <w:r w:rsidR="007C3A4D" w:rsidRPr="007B1CB6">
        <w:t xml:space="preserve"> utvekslingsstudenter. </w:t>
      </w:r>
      <w:r w:rsidR="00BB7C58">
        <w:t xml:space="preserve">Internasjonale studenter </w:t>
      </w:r>
      <w:r w:rsidR="00A04C6F">
        <w:t xml:space="preserve">vil </w:t>
      </w:r>
      <w:r w:rsidR="00EC63B6">
        <w:t>der</w:t>
      </w:r>
      <w:r w:rsidR="002F4753">
        <w:t>m</w:t>
      </w:r>
      <w:r w:rsidR="00EC63B6">
        <w:t xml:space="preserve">ed </w:t>
      </w:r>
      <w:r w:rsidR="00A04C6F">
        <w:t>inkludere</w:t>
      </w:r>
      <w:r w:rsidR="00BF0A73">
        <w:t xml:space="preserve"> </w:t>
      </w:r>
      <w:r w:rsidR="00EC63B6">
        <w:t xml:space="preserve">både </w:t>
      </w:r>
      <w:r w:rsidR="00397CDA">
        <w:t>hel</w:t>
      </w:r>
      <w:r w:rsidR="00EC63B6">
        <w:t>g</w:t>
      </w:r>
      <w:r w:rsidR="00BB7C58" w:rsidRPr="007B0CAE">
        <w:t xml:space="preserve">radsstudenter </w:t>
      </w:r>
      <w:r w:rsidR="00397CDA">
        <w:t xml:space="preserve">og </w:t>
      </w:r>
      <w:r w:rsidR="00BB7C58" w:rsidRPr="007B0CAE">
        <w:t>studenter på enkeltemner og årsenhet</w:t>
      </w:r>
      <w:r w:rsidR="00877961">
        <w:t>er</w:t>
      </w:r>
      <w:r w:rsidR="00780A57">
        <w:t xml:space="preserve"> som ikke er på utveksling</w:t>
      </w:r>
      <w:r w:rsidR="00BB7C58" w:rsidRPr="007B0CAE">
        <w:t>.</w:t>
      </w:r>
    </w:p>
    <w:p w14:paraId="36A6B726" w14:textId="741C5BE0" w:rsidR="00B25AD6" w:rsidRDefault="00B71E1E" w:rsidP="007C3A4D">
      <w:r w:rsidRPr="00D725BA">
        <w:t>SSB</w:t>
      </w:r>
      <w:r w:rsidR="007C3A4D" w:rsidRPr="00D725BA">
        <w:t xml:space="preserve"> har operasjonalisert </w:t>
      </w:r>
      <w:r w:rsidR="000D2092">
        <w:t>OECDs definisjon</w:t>
      </w:r>
      <w:r w:rsidR="007C3A4D" w:rsidRPr="00D725BA">
        <w:t xml:space="preserve"> som «studenter som har sin videregående opplæring fra utlandet og som har flyttet til Norge for mindre enn fem år siden». </w:t>
      </w:r>
      <w:r w:rsidR="006E74D9" w:rsidRPr="00F80720">
        <w:t xml:space="preserve">Ofte </w:t>
      </w:r>
      <w:r w:rsidR="00732C00">
        <w:t xml:space="preserve">mangler </w:t>
      </w:r>
      <w:r w:rsidR="008D0EFA">
        <w:t xml:space="preserve">imidlertid </w:t>
      </w:r>
      <w:r w:rsidR="00F80720" w:rsidRPr="00F80720">
        <w:t xml:space="preserve">opplysninger om </w:t>
      </w:r>
      <w:r w:rsidR="001636F8">
        <w:t>hvilket land</w:t>
      </w:r>
      <w:r w:rsidR="002A17DC">
        <w:t xml:space="preserve"> </w:t>
      </w:r>
      <w:r w:rsidR="007C3A4D" w:rsidRPr="00F80720">
        <w:t xml:space="preserve">videregående </w:t>
      </w:r>
      <w:r w:rsidR="00674C7F" w:rsidRPr="00F80720">
        <w:t>opplæring</w:t>
      </w:r>
      <w:r w:rsidR="001636F8">
        <w:t xml:space="preserve"> </w:t>
      </w:r>
      <w:r w:rsidR="0002179B">
        <w:t>har funnet sted i</w:t>
      </w:r>
      <w:r w:rsidR="00610488">
        <w:t xml:space="preserve">, og </w:t>
      </w:r>
      <w:r w:rsidR="00AD0091">
        <w:t xml:space="preserve">SSB bruker da </w:t>
      </w:r>
      <w:r w:rsidR="00EC29CF">
        <w:t>kun</w:t>
      </w:r>
      <w:r w:rsidR="00AD0091">
        <w:t xml:space="preserve"> </w:t>
      </w:r>
      <w:r w:rsidR="007C3A4D" w:rsidRPr="00F80720">
        <w:t xml:space="preserve">statsborgerskap </w:t>
      </w:r>
      <w:r w:rsidR="00D72F32">
        <w:t>samt</w:t>
      </w:r>
      <w:r w:rsidR="007C3A4D" w:rsidRPr="00F80720">
        <w:t xml:space="preserve"> opphold i Norge i mindre enn fem år som utvalgskriteri</w:t>
      </w:r>
      <w:r w:rsidR="005D752A">
        <w:t>er</w:t>
      </w:r>
      <w:r w:rsidR="007C3A4D" w:rsidRPr="00F80720">
        <w:t>.</w:t>
      </w:r>
      <w:r w:rsidR="00B25AD6">
        <w:t xml:space="preserve"> </w:t>
      </w:r>
      <w:r w:rsidR="007C3A4D" w:rsidRPr="00B25AD6">
        <w:t>I praksis gir denne operasjonaliseringen langt flere internasjonale studenter enn de som</w:t>
      </w:r>
      <w:r w:rsidR="00895552">
        <w:t xml:space="preserve"> </w:t>
      </w:r>
      <w:r w:rsidR="007C3A4D" w:rsidRPr="00B25AD6">
        <w:t xml:space="preserve">krysser grensen </w:t>
      </w:r>
      <w:r w:rsidR="00E22447">
        <w:t>for</w:t>
      </w:r>
      <w:r w:rsidR="007C3A4D" w:rsidRPr="00B25AD6">
        <w:t xml:space="preserve"> </w:t>
      </w:r>
      <w:r w:rsidR="00E22447">
        <w:t xml:space="preserve">å </w:t>
      </w:r>
      <w:r w:rsidR="007C3A4D" w:rsidRPr="00B25AD6">
        <w:t>stud</w:t>
      </w:r>
      <w:r w:rsidR="00E22447">
        <w:t>ere</w:t>
      </w:r>
      <w:r w:rsidR="007C3A4D" w:rsidRPr="00B25AD6">
        <w:t xml:space="preserve"> i Norge</w:t>
      </w:r>
      <w:r w:rsidR="00E0777D">
        <w:t xml:space="preserve"> og </w:t>
      </w:r>
      <w:r w:rsidR="00B351C8">
        <w:t xml:space="preserve">som </w:t>
      </w:r>
      <w:r w:rsidR="00E0777D">
        <w:t xml:space="preserve">dermed </w:t>
      </w:r>
      <w:r w:rsidR="00CA537C">
        <w:t xml:space="preserve">skal regnes som internasjonale studenter i henhold til </w:t>
      </w:r>
      <w:r w:rsidR="00F21BFE">
        <w:t>OEC</w:t>
      </w:r>
      <w:r w:rsidR="00B03AE1">
        <w:t>D</w:t>
      </w:r>
      <w:r w:rsidR="007C3A4D" w:rsidRPr="00B25AD6">
        <w:t xml:space="preserve">. </w:t>
      </w:r>
      <w:r w:rsidR="00330F99">
        <w:t>Tellingen</w:t>
      </w:r>
      <w:r w:rsidR="000242E8">
        <w:t xml:space="preserve"> </w:t>
      </w:r>
      <w:r w:rsidR="00330F99">
        <w:t>kan for eksempel omfatte</w:t>
      </w:r>
      <w:r w:rsidR="007C3A4D" w:rsidRPr="00B25AD6">
        <w:t xml:space="preserve"> personer som kommer for å arbeide og deres familiemedlemmer, eller flyktninger og asylsøkere med oppholdstillatelse.</w:t>
      </w:r>
    </w:p>
    <w:p w14:paraId="505A74AD" w14:textId="1D13391E" w:rsidR="0061387B" w:rsidRDefault="007C3A4D" w:rsidP="007C3A4D">
      <w:r w:rsidRPr="00483CF7">
        <w:t>I 202</w:t>
      </w:r>
      <w:r w:rsidR="00ED0963" w:rsidRPr="00483CF7">
        <w:t>2</w:t>
      </w:r>
      <w:r w:rsidRPr="00483CF7">
        <w:t xml:space="preserve"> </w:t>
      </w:r>
      <w:r w:rsidR="002F6BCC">
        <w:t>var</w:t>
      </w:r>
      <w:r w:rsidRPr="00483CF7">
        <w:t xml:space="preserve"> det </w:t>
      </w:r>
      <w:r w:rsidR="002110B6" w:rsidRPr="00483CF7">
        <w:t>nær 14</w:t>
      </w:r>
      <w:r w:rsidR="000F7C95" w:rsidRPr="00483CF7">
        <w:t> </w:t>
      </w:r>
      <w:r w:rsidRPr="00483CF7">
        <w:t xml:space="preserve">000 internasjonale gradsstudenter </w:t>
      </w:r>
      <w:r w:rsidR="00985D73">
        <w:t>i</w:t>
      </w:r>
      <w:r w:rsidRPr="00483CF7">
        <w:t xml:space="preserve"> Norge</w:t>
      </w:r>
      <w:r w:rsidR="00B82B79">
        <w:t>,</w:t>
      </w:r>
      <w:r w:rsidRPr="00483CF7">
        <w:t xml:space="preserve"> </w:t>
      </w:r>
      <w:r w:rsidR="00757098">
        <w:t>gitt</w:t>
      </w:r>
      <w:r w:rsidRPr="00483CF7">
        <w:t xml:space="preserve"> </w:t>
      </w:r>
      <w:r w:rsidR="00377F19" w:rsidRPr="00483CF7">
        <w:t xml:space="preserve">SSBs </w:t>
      </w:r>
      <w:r w:rsidRPr="00483CF7">
        <w:t>utvalgskriteri</w:t>
      </w:r>
      <w:r w:rsidR="00377F19" w:rsidRPr="00483CF7">
        <w:t>er</w:t>
      </w:r>
      <w:r w:rsidR="00E660F7">
        <w:t xml:space="preserve"> </w:t>
      </w:r>
      <w:r w:rsidR="00E924A2">
        <w:t>beskrevet ovenfor</w:t>
      </w:r>
      <w:r w:rsidRPr="00483CF7">
        <w:t xml:space="preserve">. </w:t>
      </w:r>
      <w:r w:rsidR="0061387B">
        <w:t xml:space="preserve">Dette er en økning på </w:t>
      </w:r>
      <w:r w:rsidR="00D71C04">
        <w:t xml:space="preserve">6 prosent </w:t>
      </w:r>
      <w:r w:rsidR="00E86CA1">
        <w:t xml:space="preserve">siden </w:t>
      </w:r>
      <w:r w:rsidR="005F3C43">
        <w:t>året før.</w:t>
      </w:r>
      <w:r w:rsidR="004B1141">
        <w:t xml:space="preserve"> De siste ti årene har antallet </w:t>
      </w:r>
      <w:r w:rsidR="00A1664B">
        <w:t>internasjonale studenter som kommer til Norge</w:t>
      </w:r>
      <w:r w:rsidR="008E0C09">
        <w:t xml:space="preserve"> </w:t>
      </w:r>
      <w:r w:rsidR="00716F79">
        <w:t xml:space="preserve">økt med </w:t>
      </w:r>
      <w:r w:rsidR="004835A9">
        <w:t>18</w:t>
      </w:r>
      <w:r w:rsidR="00137E33">
        <w:t> </w:t>
      </w:r>
      <w:r w:rsidR="004835A9">
        <w:t xml:space="preserve">prosent, </w:t>
      </w:r>
      <w:r w:rsidR="00137E33">
        <w:t xml:space="preserve">eller </w:t>
      </w:r>
      <w:r w:rsidR="00AD2068">
        <w:t>nærmere 2</w:t>
      </w:r>
      <w:r w:rsidR="00E14198">
        <w:t xml:space="preserve"> 100 personer. </w:t>
      </w:r>
      <w:r w:rsidR="002D5C55">
        <w:t>Nær halvparten</w:t>
      </w:r>
      <w:r w:rsidR="001557E0">
        <w:t xml:space="preserve"> av disse, 45</w:t>
      </w:r>
      <w:r w:rsidR="00B62CB3">
        <w:t> </w:t>
      </w:r>
      <w:r w:rsidR="001557E0">
        <w:t>prosent</w:t>
      </w:r>
      <w:r w:rsidR="002D5C55">
        <w:t xml:space="preserve">, </w:t>
      </w:r>
      <w:r w:rsidR="001557E0">
        <w:t xml:space="preserve">kommer fra </w:t>
      </w:r>
      <w:r w:rsidR="002D5C55">
        <w:t xml:space="preserve">Europa, mens </w:t>
      </w:r>
      <w:r w:rsidR="00A72FF2">
        <w:t>38</w:t>
      </w:r>
      <w:r w:rsidR="00B62CB3">
        <w:t> </w:t>
      </w:r>
      <w:r w:rsidR="00A72FF2">
        <w:t>prosent kommer fra land i Asia.</w:t>
      </w:r>
      <w:r w:rsidR="001D5ECF">
        <w:t xml:space="preserve"> </w:t>
      </w:r>
      <w:r w:rsidR="00043A69">
        <w:t xml:space="preserve">De siste ti årene har </w:t>
      </w:r>
      <w:r w:rsidR="00297A9C">
        <w:t xml:space="preserve">tilstrømmingen av internasjonale studenter </w:t>
      </w:r>
      <w:r w:rsidR="006067C0">
        <w:t>fra Asia</w:t>
      </w:r>
      <w:r w:rsidR="00B4594B">
        <w:t xml:space="preserve"> og </w:t>
      </w:r>
      <w:r w:rsidR="001249C1">
        <w:t>Nord</w:t>
      </w:r>
      <w:r w:rsidR="0002182A">
        <w:t>-</w:t>
      </w:r>
      <w:r w:rsidR="00F84DD4">
        <w:t>, Sør</w:t>
      </w:r>
      <w:r w:rsidR="0002182A">
        <w:t>-</w:t>
      </w:r>
      <w:r w:rsidR="00F84DD4">
        <w:t xml:space="preserve"> og Mellom-</w:t>
      </w:r>
      <w:r w:rsidR="00B4594B">
        <w:t xml:space="preserve">Amerika </w:t>
      </w:r>
      <w:r w:rsidR="00BA5BB9">
        <w:t>mer enn dob</w:t>
      </w:r>
      <w:r w:rsidR="001C2DCD">
        <w:t xml:space="preserve">let </w:t>
      </w:r>
      <w:r w:rsidR="00F84DD4">
        <w:t xml:space="preserve">seg, mens </w:t>
      </w:r>
      <w:r w:rsidR="009D0B67">
        <w:t xml:space="preserve">tilstrømmingen fra Europa har gått </w:t>
      </w:r>
      <w:r w:rsidR="00CA3104">
        <w:t>noe ned (8 prosent)</w:t>
      </w:r>
      <w:r w:rsidR="00ED579B" w:rsidRPr="00ED579B">
        <w:t xml:space="preserve"> </w:t>
      </w:r>
      <w:r w:rsidR="00CA3104">
        <w:t xml:space="preserve">i samme periode. </w:t>
      </w:r>
      <w:r w:rsidR="00C7652B">
        <w:t>Det siste året er det derimot studenter fra Afrika som har økt mest i antall (</w:t>
      </w:r>
      <w:r w:rsidR="004D39E7">
        <w:t xml:space="preserve">11 prosent). </w:t>
      </w:r>
    </w:p>
    <w:p w14:paraId="27E87E00" w14:textId="45B35420" w:rsidR="00E06E04" w:rsidRDefault="006A2FE6" w:rsidP="007C3A4D">
      <w:r>
        <w:fldChar w:fldCharType="begin"/>
      </w:r>
      <w:r>
        <w:instrText xml:space="preserve"> REF _Ref133243451 \h </w:instrText>
      </w:r>
      <w:r>
        <w:fldChar w:fldCharType="separate"/>
      </w:r>
      <w:r w:rsidR="00F262EF">
        <w:t xml:space="preserve">Figur </w:t>
      </w:r>
      <w:r w:rsidR="00F262EF">
        <w:rPr>
          <w:noProof/>
        </w:rPr>
        <w:t>2</w:t>
      </w:r>
      <w:r w:rsidR="00F262EF">
        <w:t>.</w:t>
      </w:r>
      <w:r w:rsidR="00F262EF">
        <w:rPr>
          <w:noProof/>
        </w:rPr>
        <w:t>18</w:t>
      </w:r>
      <w:r>
        <w:fldChar w:fldCharType="end"/>
      </w:r>
      <w:r w:rsidR="007C3A4D" w:rsidRPr="00241EB5">
        <w:t xml:space="preserve"> viser utviklingen </w:t>
      </w:r>
      <w:r w:rsidR="00FA5342">
        <w:t>i perioden 2013</w:t>
      </w:r>
      <w:r w:rsidR="00A16B62">
        <w:t>–</w:t>
      </w:r>
      <w:r w:rsidR="00FA5342">
        <w:t>2022</w:t>
      </w:r>
      <w:r w:rsidR="004F1E28">
        <w:t xml:space="preserve"> </w:t>
      </w:r>
      <w:r w:rsidR="007C3A4D" w:rsidRPr="00241EB5">
        <w:t xml:space="preserve">for de åtte landene som hadde flest studenter i Norge. </w:t>
      </w:r>
      <w:r w:rsidR="007C3A4D" w:rsidRPr="00960E11">
        <w:t>I 202</w:t>
      </w:r>
      <w:r w:rsidR="0051657F" w:rsidRPr="00960E11">
        <w:t>2</w:t>
      </w:r>
      <w:r w:rsidR="007C3A4D" w:rsidRPr="00960E11">
        <w:t xml:space="preserve"> kom det flest internasjonale studenter fra </w:t>
      </w:r>
      <w:r w:rsidR="00D17DAC" w:rsidRPr="00960E11">
        <w:t xml:space="preserve">Iran </w:t>
      </w:r>
      <w:r w:rsidR="00EE7E62">
        <w:t>(</w:t>
      </w:r>
      <w:r w:rsidR="00C627C3">
        <w:t>nær 900</w:t>
      </w:r>
      <w:r w:rsidR="003274D9">
        <w:t xml:space="preserve"> studenter</w:t>
      </w:r>
      <w:r w:rsidR="00C627C3">
        <w:t xml:space="preserve">) </w:t>
      </w:r>
      <w:r w:rsidR="00D17DAC" w:rsidRPr="00960E11">
        <w:t>og Tyskland</w:t>
      </w:r>
      <w:r w:rsidR="00C627C3">
        <w:t xml:space="preserve"> (nær 850</w:t>
      </w:r>
      <w:r w:rsidR="003274D9">
        <w:t xml:space="preserve"> studenter</w:t>
      </w:r>
      <w:r w:rsidR="00C627C3">
        <w:t>)</w:t>
      </w:r>
      <w:r w:rsidR="00D17DAC" w:rsidRPr="00960E11">
        <w:t>.</w:t>
      </w:r>
      <w:r w:rsidR="00960E11" w:rsidRPr="00960E11">
        <w:t xml:space="preserve"> </w:t>
      </w:r>
      <w:r w:rsidR="00DC1DD7" w:rsidRPr="007E403E">
        <w:t>Antallet studenter fra Iran har økt kraftig hvert år siden 2017</w:t>
      </w:r>
      <w:r w:rsidR="00D169BF" w:rsidRPr="007E403E">
        <w:t xml:space="preserve"> med </w:t>
      </w:r>
      <w:r w:rsidR="00E2737D" w:rsidRPr="007E403E">
        <w:t xml:space="preserve">om lag </w:t>
      </w:r>
      <w:r w:rsidR="00F4775B" w:rsidRPr="007E403E">
        <w:t>hundre personer</w:t>
      </w:r>
      <w:r w:rsidR="000A47C4">
        <w:t xml:space="preserve"> </w:t>
      </w:r>
      <w:r w:rsidR="0021667F" w:rsidRPr="007E403E">
        <w:t>årlig</w:t>
      </w:r>
      <w:r w:rsidR="00F03B22">
        <w:t xml:space="preserve">, mens </w:t>
      </w:r>
      <w:r w:rsidR="000C4B3A">
        <w:t xml:space="preserve">det fra </w:t>
      </w:r>
      <w:r w:rsidR="00F03B22">
        <w:t xml:space="preserve">Tyskland </w:t>
      </w:r>
      <w:r w:rsidR="000C4B3A">
        <w:t xml:space="preserve">har vært </w:t>
      </w:r>
      <w:r w:rsidR="00A11E96">
        <w:t xml:space="preserve">en </w:t>
      </w:r>
      <w:r w:rsidR="004E6ECE">
        <w:t>særlig</w:t>
      </w:r>
      <w:r w:rsidR="00340872">
        <w:t xml:space="preserve"> </w:t>
      </w:r>
      <w:r w:rsidR="004E6ECE">
        <w:t>økning</w:t>
      </w:r>
      <w:r w:rsidR="00C1536E">
        <w:t xml:space="preserve"> de siste to årene</w:t>
      </w:r>
      <w:r w:rsidR="00D07875">
        <w:t xml:space="preserve">. </w:t>
      </w:r>
      <w:r w:rsidR="007E403E">
        <w:t xml:space="preserve">For de siste ti årene </w:t>
      </w:r>
      <w:r w:rsidR="005D0314">
        <w:t>under ett</w:t>
      </w:r>
      <w:r w:rsidR="00A46742">
        <w:t>,</w:t>
      </w:r>
      <w:r w:rsidR="005D0314">
        <w:t xml:space="preserve"> </w:t>
      </w:r>
      <w:r w:rsidR="007E403E">
        <w:t xml:space="preserve">er det </w:t>
      </w:r>
      <w:r w:rsidR="00F82E57">
        <w:t xml:space="preserve">derimot </w:t>
      </w:r>
      <w:r w:rsidR="00254221">
        <w:t>Bangla</w:t>
      </w:r>
      <w:r w:rsidR="00E074FE">
        <w:t xml:space="preserve">desh </w:t>
      </w:r>
      <w:r w:rsidR="00DD52C8">
        <w:t xml:space="preserve">som har størst </w:t>
      </w:r>
      <w:r w:rsidR="00253390">
        <w:t>relativ</w:t>
      </w:r>
      <w:r w:rsidR="00DD52C8">
        <w:t xml:space="preserve"> vekst</w:t>
      </w:r>
      <w:r w:rsidR="00FA3682">
        <w:t xml:space="preserve"> med fire ganger så mange studenter </w:t>
      </w:r>
      <w:r w:rsidR="00584BB1">
        <w:t xml:space="preserve">i 2022 som </w:t>
      </w:r>
      <w:r w:rsidR="001B40CF">
        <w:t>ti år tidligere</w:t>
      </w:r>
      <w:r w:rsidR="00BD39CE">
        <w:t>.</w:t>
      </w:r>
      <w:r w:rsidR="00DD52C8">
        <w:t xml:space="preserve"> </w:t>
      </w:r>
      <w:r w:rsidR="00A02F5C">
        <w:t xml:space="preserve">Bare siste år har </w:t>
      </w:r>
      <w:r w:rsidR="00301BAE">
        <w:t xml:space="preserve">antallet internasjonale studenter fra </w:t>
      </w:r>
      <w:r w:rsidR="00BF1B87">
        <w:t xml:space="preserve">Bangladesh </w:t>
      </w:r>
      <w:r w:rsidR="00DD63C7">
        <w:t xml:space="preserve">økt med </w:t>
      </w:r>
      <w:r w:rsidR="00F66343">
        <w:t>40 prosent</w:t>
      </w:r>
      <w:r w:rsidR="003C59F4">
        <w:t xml:space="preserve"> og utgjør nå </w:t>
      </w:r>
      <w:r w:rsidR="005B4125">
        <w:t>om lag 550 studenter</w:t>
      </w:r>
      <w:r w:rsidR="00B654CB">
        <w:t xml:space="preserve"> i Norge</w:t>
      </w:r>
      <w:r w:rsidR="00F66343">
        <w:t xml:space="preserve">. </w:t>
      </w:r>
      <w:r w:rsidR="00367B4E">
        <w:t>Nest høyest vekst</w:t>
      </w:r>
      <w:r w:rsidR="00E17F4A">
        <w:t xml:space="preserve"> har student</w:t>
      </w:r>
      <w:r w:rsidR="002B0F31">
        <w:t>er fra</w:t>
      </w:r>
      <w:r w:rsidR="00367B4E">
        <w:t xml:space="preserve"> Pakistan, </w:t>
      </w:r>
      <w:r w:rsidR="004603C7">
        <w:t xml:space="preserve">med en </w:t>
      </w:r>
      <w:r w:rsidR="0031515B">
        <w:t>tredobling</w:t>
      </w:r>
      <w:r w:rsidR="00177D81">
        <w:t xml:space="preserve"> av internasjonale studenter</w:t>
      </w:r>
      <w:r w:rsidR="000E017F">
        <w:t xml:space="preserve"> siden 2013</w:t>
      </w:r>
      <w:r w:rsidR="00177D81">
        <w:t>.</w:t>
      </w:r>
      <w:r w:rsidR="00B16EBA">
        <w:t xml:space="preserve"> </w:t>
      </w:r>
      <w:r w:rsidR="0066099C">
        <w:t>Dette</w:t>
      </w:r>
      <w:r w:rsidR="00DC69B8">
        <w:t xml:space="preserve"> utgjør nå </w:t>
      </w:r>
      <w:r w:rsidR="0066099C">
        <w:t xml:space="preserve">knappe 800 studenter. </w:t>
      </w:r>
      <w:r w:rsidR="00F54B9B">
        <w:t>Deretter følger</w:t>
      </w:r>
      <w:r w:rsidR="00B16EBA">
        <w:t xml:space="preserve"> Iran og </w:t>
      </w:r>
      <w:r w:rsidR="00FB6D32">
        <w:t>India</w:t>
      </w:r>
      <w:r w:rsidR="00F54B9B">
        <w:t>, som begge</w:t>
      </w:r>
      <w:r w:rsidR="00FB6D32">
        <w:t xml:space="preserve"> har </w:t>
      </w:r>
      <w:r w:rsidR="00B130AF">
        <w:t>mer enn dob</w:t>
      </w:r>
      <w:r w:rsidR="006A5FAA">
        <w:t xml:space="preserve">belt så mange internasjonale studenter i Norge i 2022 som ti år tidligere. </w:t>
      </w:r>
      <w:r w:rsidR="003C2A0E" w:rsidRPr="003C2A0E">
        <w:t xml:space="preserve">Blant land med betydelig nedgang finner vi Sverige, med en </w:t>
      </w:r>
      <w:r w:rsidR="002424AE">
        <w:t xml:space="preserve">nær </w:t>
      </w:r>
      <w:r w:rsidR="003C2A0E" w:rsidRPr="003C2A0E">
        <w:t>halvering av internasjonale studenter til Norge de siste ti årene</w:t>
      </w:r>
      <w:r w:rsidR="002424AE">
        <w:t xml:space="preserve">, fra </w:t>
      </w:r>
      <w:r w:rsidR="003B5781">
        <w:t>nesten</w:t>
      </w:r>
      <w:r w:rsidR="00814C05">
        <w:t xml:space="preserve"> 1 300</w:t>
      </w:r>
      <w:r w:rsidR="00173D74">
        <w:t xml:space="preserve"> i 2013 til </w:t>
      </w:r>
      <w:r w:rsidR="00814C05">
        <w:t>noe under 700</w:t>
      </w:r>
      <w:r w:rsidR="00173D74">
        <w:t xml:space="preserve"> i 2022</w:t>
      </w:r>
      <w:r w:rsidR="003C2A0E" w:rsidRPr="003C2A0E">
        <w:t xml:space="preserve">. </w:t>
      </w:r>
      <w:r w:rsidR="00FC6D86">
        <w:t xml:space="preserve">Det siste året har særlig </w:t>
      </w:r>
      <w:r w:rsidR="003C2A0E" w:rsidRPr="003C2A0E">
        <w:t xml:space="preserve">Kina hatt nedgang </w:t>
      </w:r>
      <w:r w:rsidR="00FC6D86">
        <w:t>(</w:t>
      </w:r>
      <w:r w:rsidR="003C2A0E" w:rsidRPr="003C2A0E">
        <w:t>10 prosent</w:t>
      </w:r>
      <w:r w:rsidR="00FC6D86">
        <w:t>)</w:t>
      </w:r>
      <w:r w:rsidR="003C2A0E" w:rsidRPr="003C2A0E">
        <w:t>.</w:t>
      </w:r>
    </w:p>
    <w:p w14:paraId="6E9912ED" w14:textId="616A181F" w:rsidR="003C2A0E" w:rsidRDefault="005C6271" w:rsidP="007C3A4D">
      <w:r>
        <w:t xml:space="preserve">Det er </w:t>
      </w:r>
      <w:r w:rsidRPr="00E7073F">
        <w:t>liten grunn</w:t>
      </w:r>
      <w:r w:rsidRPr="009B0D23">
        <w:t xml:space="preserve"> til å forvente at den høye veksten blant land som Iran, Bangladesh, India og Pakistan vil fortsette </w:t>
      </w:r>
      <w:r w:rsidR="002D4886">
        <w:t>de neste årene</w:t>
      </w:r>
      <w:r w:rsidRPr="009B0D23">
        <w:t>.</w:t>
      </w:r>
      <w:r>
        <w:t xml:space="preserve"> </w:t>
      </w:r>
      <w:r w:rsidR="009B0D23" w:rsidRPr="009B0D23">
        <w:t xml:space="preserve">Fra høsten 2023 </w:t>
      </w:r>
      <w:r w:rsidR="00A35275">
        <w:t>vil</w:t>
      </w:r>
      <w:r w:rsidR="00A35275" w:rsidRPr="009B0D23">
        <w:t xml:space="preserve"> </w:t>
      </w:r>
      <w:r w:rsidR="009B0D23" w:rsidRPr="009B0D23">
        <w:t>regjeringen innføre studieavgift for studenter fra land utenfor EU/EØS</w:t>
      </w:r>
      <w:r w:rsidR="00146FEB">
        <w:t xml:space="preserve"> og Sveits</w:t>
      </w:r>
      <w:r w:rsidR="009B0D23" w:rsidRPr="009B0D23">
        <w:t>.</w:t>
      </w:r>
      <w:r w:rsidR="000860D1">
        <w:t xml:space="preserve"> Kunnskaps</w:t>
      </w:r>
      <w:r w:rsidR="00472C0E">
        <w:t>d</w:t>
      </w:r>
      <w:r w:rsidR="00C476A9">
        <w:t xml:space="preserve">epartementet </w:t>
      </w:r>
      <w:r w:rsidR="00415D8C">
        <w:t>forventer</w:t>
      </w:r>
      <w:r w:rsidR="008710FA">
        <w:t xml:space="preserve"> at antall nye</w:t>
      </w:r>
      <w:r w:rsidR="0084002C">
        <w:t xml:space="preserve"> internasjonale </w:t>
      </w:r>
      <w:r w:rsidR="008710FA">
        <w:t xml:space="preserve">studenter fra land utenfor </w:t>
      </w:r>
      <w:r w:rsidR="00416987">
        <w:t>Europa</w:t>
      </w:r>
      <w:r w:rsidR="008710FA">
        <w:t xml:space="preserve"> </w:t>
      </w:r>
      <w:r w:rsidR="0084002C">
        <w:t xml:space="preserve">dermed </w:t>
      </w:r>
      <w:r w:rsidR="008710FA">
        <w:t xml:space="preserve">vil gå </w:t>
      </w:r>
      <w:r w:rsidR="00A178CF">
        <w:t>tydelig</w:t>
      </w:r>
      <w:r w:rsidR="00EC38D2">
        <w:t xml:space="preserve"> </w:t>
      </w:r>
      <w:r w:rsidR="008710FA">
        <w:t>ned</w:t>
      </w:r>
      <w:r w:rsidR="00690A4A">
        <w:t xml:space="preserve"> </w:t>
      </w:r>
      <w:r w:rsidR="00C4306E">
        <w:fldChar w:fldCharType="begin"/>
      </w:r>
      <w:r w:rsidR="00C4306E">
        <w:instrText xml:space="preserve"> ADDIN EN.CITE &lt;EndNote&gt;&lt;Cite&gt;&lt;Author&gt;Kunnskapsdepartementet&lt;/Author&gt;&lt;Year&gt;2022&lt;/Year&gt;&lt;RecNum&gt;1860&lt;/RecNum&gt;&lt;DisplayText&gt;(Kunnskapsdepartementet, 2022)&lt;/DisplayText&gt;&lt;record&gt;&lt;rec-number&gt;1860&lt;/rec-number&gt;&lt;foreign-keys&gt;&lt;key app="EN" db-id="s09wp0wxtwz9aue509w52eagvset90vxefrw" timestamp="1683216882" guid="2da68066-9f98-49f4-865a-bee7de57d689"&gt;1860&lt;/key&gt;&lt;/foreign-keys&gt;&lt;ref-type name="Report"&gt;27&lt;/ref-type&gt;&lt;contributors&gt;&lt;authors&gt;&lt;author&gt;Kunnskapsdepartementet&lt;/author&gt;&lt;/authors&gt;&lt;tertiary-authors&gt;&lt;author&gt;Kunnskapsdepartementet&lt;/author&gt;&lt;/tertiary-authors&gt;&lt;/contributors&gt;&lt;titles&gt;&lt;title&gt;Høring Studieavgift for studenter fra land utenfor EØS-området eller Sveits mm. – endringer i universitets- og høyskoleloven&lt;/title&gt;&lt;/titles&gt;&lt;dates&gt;&lt;year&gt;2022&lt;/year&gt;&lt;/dates&gt;&lt;publisher&gt;Kunnskapsdepartementet&lt;/publisher&gt;&lt;urls&gt;&lt;related-urls&gt;&lt;url&gt;https://www.regjeringen.no/no/dokumenter/horing-studieavgift-for-studenter-fra-land-utenfor-eos-omradet-eller-sveits-mm.-endringer-i-universitets-og-hoyskoleloven/id2933263/&lt;/url&gt;&lt;/related-urls&gt;&lt;/urls&gt;&lt;/record&gt;&lt;/Cite&gt;&lt;/EndNote&gt;</w:instrText>
      </w:r>
      <w:r w:rsidR="00C4306E">
        <w:fldChar w:fldCharType="separate"/>
      </w:r>
      <w:r w:rsidR="00C4306E">
        <w:rPr>
          <w:noProof/>
        </w:rPr>
        <w:t>(Kunnskapsdepartementet, 2022)</w:t>
      </w:r>
      <w:r w:rsidR="00C4306E">
        <w:fldChar w:fldCharType="end"/>
      </w:r>
      <w:r w:rsidR="009B0D23" w:rsidRPr="009B0D23">
        <w:t>.</w:t>
      </w:r>
      <w:r w:rsidR="000860D1">
        <w:rPr>
          <w:rStyle w:val="Fotnotereferanse"/>
        </w:rPr>
        <w:footnoteReference w:id="7"/>
      </w:r>
      <w:r w:rsidR="000860D1">
        <w:t xml:space="preserve"> </w:t>
      </w:r>
      <w:r w:rsidR="00940ACE">
        <w:t>Der</w:t>
      </w:r>
      <w:r w:rsidR="008B3268">
        <w:t xml:space="preserve">med </w:t>
      </w:r>
      <w:r w:rsidR="00415D8C">
        <w:t>kan man</w:t>
      </w:r>
      <w:r w:rsidR="00B00126">
        <w:t xml:space="preserve"> forvente at </w:t>
      </w:r>
      <w:r w:rsidR="00C25479">
        <w:t>studenter fra</w:t>
      </w:r>
      <w:r w:rsidR="00B00126">
        <w:t xml:space="preserve"> europeiske land </w:t>
      </w:r>
      <w:r w:rsidR="00B57D7F">
        <w:t>framover</w:t>
      </w:r>
      <w:r w:rsidR="005A491E">
        <w:t xml:space="preserve"> </w:t>
      </w:r>
      <w:r w:rsidR="003A608B">
        <w:t xml:space="preserve">vil </w:t>
      </w:r>
      <w:r w:rsidR="00CC43F8">
        <w:t>utgjør</w:t>
      </w:r>
      <w:r w:rsidR="003A608B">
        <w:t>e</w:t>
      </w:r>
      <w:r w:rsidR="00CC43F8">
        <w:t xml:space="preserve"> en </w:t>
      </w:r>
      <w:r w:rsidR="003A608B">
        <w:t>større andel av de internasjonale studentene i Norge.</w:t>
      </w:r>
    </w:p>
    <w:p w14:paraId="6ABB155E" w14:textId="69ADD706" w:rsidR="004F2208" w:rsidRDefault="004F2208" w:rsidP="009469E8">
      <w:pPr>
        <w:pStyle w:val="Bildetekst"/>
        <w:keepNext/>
      </w:pPr>
      <w:bookmarkStart w:id="98" w:name="_Ref133243451"/>
      <w:bookmarkStart w:id="99" w:name="_Toc134792779"/>
      <w:r>
        <w:lastRenderedPageBreak/>
        <w:t xml:space="preserve">Figur </w:t>
      </w:r>
      <w:r>
        <w:fldChar w:fldCharType="begin"/>
      </w:r>
      <w:r>
        <w:instrText>STYLEREF 1 \s</w:instrText>
      </w:r>
      <w:r>
        <w:fldChar w:fldCharType="separate"/>
      </w:r>
      <w:r w:rsidR="00F262EF">
        <w:rPr>
          <w:noProof/>
        </w:rPr>
        <w:t>2</w:t>
      </w:r>
      <w:r>
        <w:fldChar w:fldCharType="end"/>
      </w:r>
      <w:r>
        <w:t>.</w:t>
      </w:r>
      <w:r>
        <w:fldChar w:fldCharType="begin"/>
      </w:r>
      <w:r>
        <w:instrText>SEQ Figur \* ARABIC \s 1</w:instrText>
      </w:r>
      <w:r>
        <w:fldChar w:fldCharType="separate"/>
      </w:r>
      <w:r w:rsidR="00F262EF">
        <w:rPr>
          <w:noProof/>
        </w:rPr>
        <w:t>18</w:t>
      </w:r>
      <w:r>
        <w:fldChar w:fldCharType="end"/>
      </w:r>
      <w:bookmarkEnd w:id="98"/>
      <w:r>
        <w:t xml:space="preserve"> </w:t>
      </w:r>
      <w:r w:rsidRPr="005C5A4C">
        <w:t>Internasjonale studenter i Norge 2013–22, land med flest studenter</w:t>
      </w:r>
      <w:bookmarkEnd w:id="99"/>
    </w:p>
    <w:p w14:paraId="06A77A8B" w14:textId="0C837948" w:rsidR="00ED0963" w:rsidRDefault="001C17DF" w:rsidP="00E86AD7">
      <w:pPr>
        <w:keepNext/>
        <w:keepLines/>
      </w:pPr>
      <w:r>
        <w:rPr>
          <w:noProof/>
        </w:rPr>
        <w:drawing>
          <wp:inline distT="0" distB="0" distL="0" distR="0" wp14:anchorId="2AD07089" wp14:editId="3BD81F46">
            <wp:extent cx="5171847" cy="2797175"/>
            <wp:effectExtent l="0" t="0" r="10160" b="3175"/>
            <wp:docPr id="47" name="Diagram 47">
              <a:extLst xmlns:a="http://schemas.openxmlformats.org/drawingml/2006/main">
                <a:ext uri="{FF2B5EF4-FFF2-40B4-BE49-F238E27FC236}">
                  <a16:creationId xmlns:a16="http://schemas.microsoft.com/office/drawing/2014/main" id="{1425DFE8-F7FF-DC9F-85D8-F2B9071FE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4E8354C" w14:textId="41B1A4D6" w:rsidR="00ED0963" w:rsidRDefault="00ED0963" w:rsidP="00E86AD7">
      <w:pPr>
        <w:keepNext/>
        <w:keepLines/>
        <w:rPr>
          <w:b/>
          <w:bCs/>
          <w:sz w:val="18"/>
          <w:szCs w:val="18"/>
        </w:rPr>
      </w:pPr>
      <w:r>
        <w:rPr>
          <w:b/>
          <w:bCs/>
          <w:sz w:val="18"/>
          <w:szCs w:val="18"/>
        </w:rPr>
        <w:t>Kilde: Statistisk sentralbyrå, utdanningsstatistikk</w:t>
      </w:r>
    </w:p>
    <w:p w14:paraId="4F8EC189" w14:textId="79E85405" w:rsidR="00626949" w:rsidRDefault="008C2A7E" w:rsidP="00BD728A">
      <w:r w:rsidRPr="00F27430">
        <w:t xml:space="preserve">Vedleggstabellene </w:t>
      </w:r>
      <w:hyperlink r:id="rId70" w:history="1">
        <w:r w:rsidRPr="00007A32">
          <w:rPr>
            <w:rStyle w:val="Hyperkobling"/>
          </w:rPr>
          <w:t>V2.5</w:t>
        </w:r>
        <w:r w:rsidR="00B90F9B" w:rsidRPr="00007A32">
          <w:rPr>
            <w:rStyle w:val="Hyperkobling"/>
          </w:rPr>
          <w:t>8</w:t>
        </w:r>
      </w:hyperlink>
      <w:r w:rsidRPr="00F47A24">
        <w:t xml:space="preserve">, </w:t>
      </w:r>
      <w:hyperlink r:id="rId71" w:history="1">
        <w:r w:rsidRPr="00007A32">
          <w:rPr>
            <w:rStyle w:val="Hyperkobling"/>
          </w:rPr>
          <w:t>V2.5</w:t>
        </w:r>
        <w:r w:rsidR="00B90F9B" w:rsidRPr="00007A32">
          <w:rPr>
            <w:rStyle w:val="Hyperkobling"/>
          </w:rPr>
          <w:t>9</w:t>
        </w:r>
      </w:hyperlink>
      <w:r w:rsidRPr="00F47A24">
        <w:t xml:space="preserve"> og </w:t>
      </w:r>
      <w:hyperlink r:id="rId72" w:history="1">
        <w:r w:rsidRPr="005B471F">
          <w:rPr>
            <w:rStyle w:val="Hyperkobling"/>
          </w:rPr>
          <w:t>V2.</w:t>
        </w:r>
        <w:r w:rsidR="00B90F9B" w:rsidRPr="005B471F">
          <w:rPr>
            <w:rStyle w:val="Hyperkobling"/>
          </w:rPr>
          <w:t>60</w:t>
        </w:r>
      </w:hyperlink>
      <w:r w:rsidRPr="00F27430">
        <w:t xml:space="preserve"> gir mer detaljert informasjon om hvordan de internasjonale gradsstudentene er fordelt på land, fagområder og norske universitet</w:t>
      </w:r>
      <w:r w:rsidR="00696D12">
        <w:t>er</w:t>
      </w:r>
      <w:r w:rsidRPr="00F27430">
        <w:t xml:space="preserve"> og høyskoler.</w:t>
      </w:r>
      <w:r w:rsidR="007C7A15" w:rsidRPr="007C7A15">
        <w:t xml:space="preserve"> Russland </w:t>
      </w:r>
      <w:r w:rsidR="000B71FB">
        <w:t xml:space="preserve">skiller seg ut </w:t>
      </w:r>
      <w:r w:rsidR="007C7A15">
        <w:t xml:space="preserve">med </w:t>
      </w:r>
      <w:r w:rsidR="007C7A15" w:rsidRPr="007C7A15">
        <w:t>et kraftig fall i</w:t>
      </w:r>
      <w:r w:rsidR="007C7A15">
        <w:t xml:space="preserve"> </w:t>
      </w:r>
      <w:r w:rsidR="00805B9B">
        <w:t xml:space="preserve">innkommende internasjonale studenter på 75 prosent over den siste tiårsperioden. </w:t>
      </w:r>
      <w:r w:rsidR="00A5444A">
        <w:t>F</w:t>
      </w:r>
      <w:r w:rsidR="00303B99">
        <w:t xml:space="preserve">ra </w:t>
      </w:r>
      <w:r w:rsidR="00A5444A">
        <w:t>å være d</w:t>
      </w:r>
      <w:r w:rsidR="000423E2">
        <w:t>e</w:t>
      </w:r>
      <w:r w:rsidR="008264E5">
        <w:t>t</w:t>
      </w:r>
      <w:r w:rsidR="000423E2">
        <w:t xml:space="preserve"> nest største </w:t>
      </w:r>
      <w:r w:rsidR="0014548C">
        <w:t>hjem</w:t>
      </w:r>
      <w:r w:rsidR="00E93DE3">
        <w:t xml:space="preserve">landet </w:t>
      </w:r>
      <w:r w:rsidR="0014548C">
        <w:t>blant internasjonale studenter i 201</w:t>
      </w:r>
      <w:r w:rsidR="005834BD">
        <w:t>3 med</w:t>
      </w:r>
      <w:r w:rsidR="0014548C">
        <w:t xml:space="preserve"> </w:t>
      </w:r>
      <w:r w:rsidR="00645126">
        <w:t>980</w:t>
      </w:r>
      <w:r w:rsidR="00FE42AC">
        <w:t xml:space="preserve"> studenter, </w:t>
      </w:r>
      <w:r w:rsidR="00BA17BF">
        <w:t xml:space="preserve">er landet nå på en 18. plass </w:t>
      </w:r>
      <w:r w:rsidR="00E8731E">
        <w:t>på</w:t>
      </w:r>
      <w:r w:rsidR="00BA17BF">
        <w:t xml:space="preserve"> </w:t>
      </w:r>
      <w:r w:rsidR="00547FE9">
        <w:t xml:space="preserve">listen over </w:t>
      </w:r>
      <w:r w:rsidR="00FD4911">
        <w:t>statsborgerskap</w:t>
      </w:r>
      <w:r w:rsidR="00A124D2">
        <w:t xml:space="preserve"> for</w:t>
      </w:r>
      <w:r w:rsidR="00FF52E6">
        <w:t xml:space="preserve"> internasjonale </w:t>
      </w:r>
      <w:r w:rsidR="00A124D2">
        <w:t>studenter i Norge</w:t>
      </w:r>
      <w:r w:rsidR="00FF52E6">
        <w:t xml:space="preserve">. </w:t>
      </w:r>
      <w:r w:rsidR="00750A55">
        <w:t>Ikke uventet er det Ukraina som har a</w:t>
      </w:r>
      <w:r w:rsidR="00886AEC">
        <w:t xml:space="preserve">ller </w:t>
      </w:r>
      <w:r w:rsidR="00F341F9">
        <w:t xml:space="preserve">den </w:t>
      </w:r>
      <w:r w:rsidR="00886AEC">
        <w:t>s</w:t>
      </w:r>
      <w:r w:rsidR="006E1806">
        <w:t>tørst</w:t>
      </w:r>
      <w:r w:rsidR="00F341F9">
        <w:t>e</w:t>
      </w:r>
      <w:r w:rsidR="006E1806">
        <w:t xml:space="preserve"> endring</w:t>
      </w:r>
      <w:r w:rsidR="00F341F9">
        <w:t>en</w:t>
      </w:r>
      <w:r w:rsidR="006E1806">
        <w:t xml:space="preserve"> </w:t>
      </w:r>
      <w:r w:rsidR="00AF7062">
        <w:t>siste år</w:t>
      </w:r>
      <w:r w:rsidR="00792107">
        <w:t xml:space="preserve">, med </w:t>
      </w:r>
      <w:r w:rsidR="00BF5E2B">
        <w:t xml:space="preserve">en økning </w:t>
      </w:r>
      <w:r w:rsidR="007A514A">
        <w:t>f</w:t>
      </w:r>
      <w:r w:rsidR="00832D60">
        <w:t xml:space="preserve">ra 114 </w:t>
      </w:r>
      <w:r w:rsidR="004C3352">
        <w:t xml:space="preserve">studenter </w:t>
      </w:r>
      <w:r w:rsidR="00832D60">
        <w:t xml:space="preserve">i 2021 til 412 i </w:t>
      </w:r>
      <w:r w:rsidR="001175BE">
        <w:t xml:space="preserve">2022. Dette tilsvarer en </w:t>
      </w:r>
      <w:r w:rsidR="004C3352">
        <w:t xml:space="preserve">vekst </w:t>
      </w:r>
      <w:r w:rsidR="00BF5E2B">
        <w:t>på over 250 prosent</w:t>
      </w:r>
      <w:r w:rsidR="00542873">
        <w:t xml:space="preserve"> </w:t>
      </w:r>
      <w:r w:rsidR="00A70F2E">
        <w:t>fra året før</w:t>
      </w:r>
      <w:r w:rsidR="007A3C09">
        <w:t xml:space="preserve">. </w:t>
      </w:r>
      <w:r w:rsidR="001579DA">
        <w:t xml:space="preserve">Økningen </w:t>
      </w:r>
      <w:r w:rsidR="0032621D">
        <w:t>kan tilskrives</w:t>
      </w:r>
      <w:r w:rsidR="001579DA">
        <w:t xml:space="preserve"> </w:t>
      </w:r>
      <w:r w:rsidR="008837DE">
        <w:t>de</w:t>
      </w:r>
      <w:r w:rsidR="00684F6F">
        <w:t xml:space="preserve"> nye </w:t>
      </w:r>
      <w:r w:rsidR="00684F6F" w:rsidRPr="00012AAC">
        <w:t>studieplass</w:t>
      </w:r>
      <w:r w:rsidR="00D82125">
        <w:t>e</w:t>
      </w:r>
      <w:r w:rsidR="008837DE">
        <w:t>ne som</w:t>
      </w:r>
      <w:r w:rsidR="00684F6F">
        <w:t xml:space="preserve"> ble opprettet </w:t>
      </w:r>
      <w:r w:rsidR="00684F6F" w:rsidRPr="00012AAC">
        <w:t xml:space="preserve">spesielt for ukrainske </w:t>
      </w:r>
      <w:r w:rsidR="008635E5">
        <w:t>flyktninger</w:t>
      </w:r>
      <w:r w:rsidR="00684F6F">
        <w:t xml:space="preserve"> høsten 2022, </w:t>
      </w:r>
      <w:r w:rsidR="00683C4F">
        <w:t xml:space="preserve">som </w:t>
      </w:r>
      <w:r w:rsidR="00FC5CC6">
        <w:t xml:space="preserve">omtalt i kapittel </w:t>
      </w:r>
      <w:r w:rsidR="00211DA4">
        <w:fldChar w:fldCharType="begin"/>
      </w:r>
      <w:r w:rsidR="00211DA4">
        <w:instrText xml:space="preserve"> REF _Ref127969318 \r \h </w:instrText>
      </w:r>
      <w:r w:rsidR="00211DA4">
        <w:fldChar w:fldCharType="separate"/>
      </w:r>
      <w:r w:rsidR="00F262EF">
        <w:t>2.2</w:t>
      </w:r>
      <w:r w:rsidR="00211DA4">
        <w:fldChar w:fldCharType="end"/>
      </w:r>
      <w:r w:rsidR="00FC5CC6">
        <w:t>.</w:t>
      </w:r>
      <w:r w:rsidR="00D64537" w:rsidRPr="00D64537">
        <w:t xml:space="preserve"> </w:t>
      </w:r>
      <w:r w:rsidR="002B15B9">
        <w:t>E</w:t>
      </w:r>
      <w:r w:rsidR="00252C31">
        <w:t xml:space="preserve">ksemplet </w:t>
      </w:r>
      <w:r w:rsidR="00FC4EFC">
        <w:t>gir en god illustrasjon av</w:t>
      </w:r>
      <w:r w:rsidR="00523948">
        <w:t xml:space="preserve"> </w:t>
      </w:r>
      <w:r w:rsidR="00252C31">
        <w:t xml:space="preserve">problemene </w:t>
      </w:r>
      <w:r w:rsidR="00E277FA">
        <w:t xml:space="preserve">nevnt </w:t>
      </w:r>
      <w:r w:rsidR="00252C31">
        <w:t xml:space="preserve">innledningsvis </w:t>
      </w:r>
      <w:r w:rsidR="00F12FBA">
        <w:t xml:space="preserve">i dette kapitlet om </w:t>
      </w:r>
      <w:r w:rsidR="000D52E9">
        <w:t xml:space="preserve">svak </w:t>
      </w:r>
      <w:r w:rsidR="00EB7832">
        <w:t>datakvalitet</w:t>
      </w:r>
      <w:r w:rsidR="00626949">
        <w:t xml:space="preserve"> og </w:t>
      </w:r>
      <w:r w:rsidR="000D52E9">
        <w:t xml:space="preserve">derav </w:t>
      </w:r>
      <w:r w:rsidR="00626949">
        <w:t>usik</w:t>
      </w:r>
      <w:r w:rsidR="003C78D6">
        <w:t>kert</w:t>
      </w:r>
      <w:r w:rsidR="00626949">
        <w:t xml:space="preserve"> tall</w:t>
      </w:r>
      <w:r w:rsidR="003C78D6">
        <w:t>gr</w:t>
      </w:r>
      <w:r w:rsidR="004D3B50">
        <w:t>unnlag</w:t>
      </w:r>
      <w:r w:rsidR="00F26157">
        <w:t xml:space="preserve"> knyttet til internasjonale studenter</w:t>
      </w:r>
      <w:r w:rsidR="00FC4EFC">
        <w:t>.</w:t>
      </w:r>
      <w:r w:rsidR="00CD0F87">
        <w:t xml:space="preserve"> </w:t>
      </w:r>
      <w:r w:rsidR="00867C5F">
        <w:t xml:space="preserve">De fleste av disse </w:t>
      </w:r>
      <w:r w:rsidR="00F26157">
        <w:t>u</w:t>
      </w:r>
      <w:r w:rsidR="0097297C">
        <w:t xml:space="preserve">krainske </w:t>
      </w:r>
      <w:r w:rsidR="00AC0AE1">
        <w:t xml:space="preserve">studentene </w:t>
      </w:r>
      <w:r w:rsidR="00D821AF">
        <w:t>er</w:t>
      </w:r>
      <w:r w:rsidR="0097297C">
        <w:t xml:space="preserve"> </w:t>
      </w:r>
      <w:r w:rsidR="00D9401E">
        <w:t>ikke internasjonale studenter i henhold til OECDs definisjo</w:t>
      </w:r>
      <w:r w:rsidR="007B3137">
        <w:t xml:space="preserve">n, men </w:t>
      </w:r>
      <w:r w:rsidR="0097297C">
        <w:t xml:space="preserve">flyktninger </w:t>
      </w:r>
      <w:r w:rsidR="00F26157">
        <w:t xml:space="preserve">som kom </w:t>
      </w:r>
      <w:r w:rsidR="0097297C">
        <w:t xml:space="preserve">til Norge </w:t>
      </w:r>
      <w:r w:rsidR="00796238">
        <w:t>i kjølvannet</w:t>
      </w:r>
      <w:r w:rsidR="0097297C">
        <w:t xml:space="preserve"> av den russiske invasjonen av Ukraina</w:t>
      </w:r>
      <w:r w:rsidR="007B3137">
        <w:t xml:space="preserve"> tidligere samme år</w:t>
      </w:r>
      <w:r w:rsidR="003C523D" w:rsidRPr="00B25AD6">
        <w:t>.</w:t>
      </w:r>
    </w:p>
    <w:p w14:paraId="2082B366" w14:textId="279B4780" w:rsidR="00EC7F70" w:rsidRDefault="00AB1D18" w:rsidP="00BD728A">
      <w:r>
        <w:t xml:space="preserve">Ifølge OECDs statistikk er Norge blant </w:t>
      </w:r>
      <w:r w:rsidR="00153F0B">
        <w:t>OECD-</w:t>
      </w:r>
      <w:r>
        <w:t>landene</w:t>
      </w:r>
      <w:r w:rsidR="00AB6EC3">
        <w:t xml:space="preserve"> </w:t>
      </w:r>
      <w:r w:rsidR="00153F0B">
        <w:t>med lavest andel internasjonale studenter</w:t>
      </w:r>
      <w:r w:rsidR="00DC343D">
        <w:t>.</w:t>
      </w:r>
      <w:r w:rsidR="00DB780D">
        <w:t xml:space="preserve"> </w:t>
      </w:r>
      <w:r w:rsidR="00D27865">
        <w:t xml:space="preserve">OECD oppgir at Norge i 2019 hadde </w:t>
      </w:r>
      <w:r w:rsidR="006A419D">
        <w:t>i overkant av 4 prosent internasjonale studenter.</w:t>
      </w:r>
      <w:r w:rsidR="003D461D">
        <w:t xml:space="preserve"> I samme statistikk ha</w:t>
      </w:r>
      <w:r w:rsidR="000D0254">
        <w:t>dde</w:t>
      </w:r>
      <w:r w:rsidR="003D461D">
        <w:t xml:space="preserve"> Sverige </w:t>
      </w:r>
      <w:r w:rsidR="000D0254">
        <w:t>7 prosent, Finland 8 prosent og Danmark 11 prosent</w:t>
      </w:r>
      <w:r w:rsidR="00BC666D">
        <w:t xml:space="preserve"> </w:t>
      </w:r>
      <w:r w:rsidR="00966A34">
        <w:t xml:space="preserve">internasjonale studenter </w:t>
      </w:r>
      <w:r w:rsidR="009340D3">
        <w:fldChar w:fldCharType="begin"/>
      </w:r>
      <w:r w:rsidR="00AD4459">
        <w:instrText xml:space="preserve"> ADDIN EN.CITE &lt;EndNote&gt;&lt;Cite&gt;&lt;Author&gt;OECD&lt;/Author&gt;&lt;Year&gt;2023&lt;/Year&gt;&lt;RecNum&gt;1874&lt;/RecNum&gt;&lt;DisplayText&gt;(OECD, 2023)&lt;/DisplayText&gt;&lt;record&gt;&lt;rec-number&gt;1874&lt;/rec-number&gt;&lt;foreign-keys&gt;&lt;key app="EN" db-id="s09wp0wxtwz9aue509w52eagvset90vxefrw" timestamp="1683562917" guid="2a4d7684-aa97-492f-baba-788646f7f90d"&gt;1874&lt;/key&gt;&lt;/foreign-keys&gt;&lt;ref-type name="Web Page"&gt;12&lt;/ref-type&gt;&lt;contributors&gt;&lt;authors&gt;&lt;author&gt;OECD&lt;/author&gt;&lt;/authors&gt;&lt;/contributors&gt;&lt;titles&gt;&lt;title&gt;International student mobility&lt;/title&gt;&lt;/titles&gt;&lt;volume&gt;2023&lt;/volume&gt;&lt;number&gt;08.05.23&lt;/number&gt;&lt;dates&gt;&lt;year&gt;2023&lt;/year&gt;&lt;/dates&gt;&lt;urls&gt;&lt;related-urls&gt;&lt;url&gt;https://data.oecd.org/students/international-student-mobility.htm&lt;/url&gt;&lt;/related-urls&gt;&lt;/urls&gt;&lt;/record&gt;&lt;/Cite&gt;&lt;/EndNote&gt;</w:instrText>
      </w:r>
      <w:r w:rsidR="009340D3">
        <w:fldChar w:fldCharType="separate"/>
      </w:r>
      <w:r w:rsidR="009340D3">
        <w:rPr>
          <w:noProof/>
        </w:rPr>
        <w:t>(OECD, 2023)</w:t>
      </w:r>
      <w:r w:rsidR="009340D3">
        <w:fldChar w:fldCharType="end"/>
      </w:r>
      <w:r w:rsidR="000D0254">
        <w:t xml:space="preserve">. </w:t>
      </w:r>
      <w:r w:rsidR="00AA6D52">
        <w:t>Det er likevel verd</w:t>
      </w:r>
      <w:r w:rsidR="005935D8">
        <w:t>t</w:t>
      </w:r>
      <w:r w:rsidR="00AA6D52">
        <w:t xml:space="preserve"> å merke seg at tallene ikke nødvendigvis er utregnet på samme måte i alle landene</w:t>
      </w:r>
      <w:r w:rsidR="002E4F65">
        <w:t>.</w:t>
      </w:r>
    </w:p>
    <w:p w14:paraId="42D300E9" w14:textId="77777777" w:rsidR="005B2B32" w:rsidRDefault="005B2B32">
      <w:pPr>
        <w:rPr>
          <w:rFonts w:asciiTheme="majorHAnsi" w:eastAsiaTheme="majorEastAsia" w:hAnsiTheme="majorHAnsi" w:cstheme="majorBidi"/>
          <w:b/>
          <w:color w:val="362683"/>
          <w:sz w:val="24"/>
          <w:szCs w:val="26"/>
        </w:rPr>
      </w:pPr>
      <w:r>
        <w:br w:type="page"/>
      </w:r>
    </w:p>
    <w:p w14:paraId="5589878D" w14:textId="3C2B05EE" w:rsidR="00C40545" w:rsidRDefault="00C40545" w:rsidP="00AE4B98">
      <w:pPr>
        <w:pStyle w:val="Overskrift3"/>
      </w:pPr>
      <w:bookmarkStart w:id="100" w:name="_Studentutveksling"/>
      <w:bookmarkStart w:id="101" w:name="_Ref134689498"/>
      <w:bookmarkStart w:id="102" w:name="_Toc134792734"/>
      <w:bookmarkEnd w:id="100"/>
      <w:r w:rsidRPr="00C40545">
        <w:lastRenderedPageBreak/>
        <w:t>Studentutveksling</w:t>
      </w:r>
      <w:bookmarkEnd w:id="101"/>
      <w:bookmarkEnd w:id="102"/>
    </w:p>
    <w:p w14:paraId="52F167CC" w14:textId="7823FB95" w:rsidR="00171341" w:rsidRDefault="008A4DAC" w:rsidP="00292F56">
      <w:r>
        <w:t>P</w:t>
      </w:r>
      <w:r w:rsidR="000012F7">
        <w:t>erioden</w:t>
      </w:r>
      <w:r w:rsidR="004E19D6">
        <w:t xml:space="preserve"> </w:t>
      </w:r>
      <w:r w:rsidR="00172D85">
        <w:t xml:space="preserve">med </w:t>
      </w:r>
      <w:r w:rsidR="005D12EB">
        <w:t xml:space="preserve">pandemi, </w:t>
      </w:r>
      <w:r w:rsidR="00172D85">
        <w:t xml:space="preserve">stengte landegrenser og </w:t>
      </w:r>
      <w:r w:rsidR="001E28C7">
        <w:t xml:space="preserve">strenge regler </w:t>
      </w:r>
      <w:r w:rsidR="00956DFA">
        <w:t xml:space="preserve">for </w:t>
      </w:r>
      <w:r w:rsidR="001E28C7">
        <w:t>internasjonale reiser</w:t>
      </w:r>
      <w:r w:rsidR="000012F7">
        <w:t xml:space="preserve"> </w:t>
      </w:r>
      <w:r w:rsidR="00717611">
        <w:t>har hatt</w:t>
      </w:r>
      <w:r w:rsidR="004E19D6">
        <w:t xml:space="preserve"> </w:t>
      </w:r>
      <w:r w:rsidR="00017915">
        <w:t>betydelig</w:t>
      </w:r>
      <w:r w:rsidR="004E19D6">
        <w:t xml:space="preserve"> </w:t>
      </w:r>
      <w:r w:rsidR="00017915">
        <w:t xml:space="preserve">negativ </w:t>
      </w:r>
      <w:r w:rsidR="004E19D6">
        <w:t xml:space="preserve">effekt på </w:t>
      </w:r>
      <w:r w:rsidR="00717611">
        <w:t>studentutvekslinge</w:t>
      </w:r>
      <w:r w:rsidR="005A73A4">
        <w:t>n</w:t>
      </w:r>
      <w:r w:rsidR="00717611">
        <w:t xml:space="preserve">. </w:t>
      </w:r>
      <w:r w:rsidR="005D3C0A">
        <w:t xml:space="preserve">Dette </w:t>
      </w:r>
      <w:r w:rsidR="00E06F99">
        <w:t>kommer</w:t>
      </w:r>
      <w:r w:rsidR="005D3C0A">
        <w:t xml:space="preserve"> tydelig </w:t>
      </w:r>
      <w:r w:rsidR="00E06F99">
        <w:t xml:space="preserve">fram </w:t>
      </w:r>
      <w:r w:rsidR="00BE541F">
        <w:t xml:space="preserve">av </w:t>
      </w:r>
      <w:r w:rsidR="00AA1829">
        <w:t xml:space="preserve">de to </w:t>
      </w:r>
      <w:r w:rsidR="00396230">
        <w:t>kurvene i</w:t>
      </w:r>
      <w:r w:rsidR="00F53285">
        <w:t xml:space="preserve"> </w:t>
      </w:r>
      <w:r w:rsidR="00E479FF">
        <w:fldChar w:fldCharType="begin"/>
      </w:r>
      <w:r w:rsidR="00E479FF">
        <w:instrText xml:space="preserve"> REF  _Ref133166800 \* Lower \h </w:instrText>
      </w:r>
      <w:r w:rsidR="00E479FF">
        <w:fldChar w:fldCharType="separate"/>
      </w:r>
      <w:r w:rsidR="00F262EF">
        <w:t xml:space="preserve">figur </w:t>
      </w:r>
      <w:r w:rsidR="00F262EF">
        <w:rPr>
          <w:noProof/>
        </w:rPr>
        <w:t>2</w:t>
      </w:r>
      <w:r w:rsidR="00F262EF">
        <w:t>.</w:t>
      </w:r>
      <w:r w:rsidR="00F262EF">
        <w:rPr>
          <w:noProof/>
        </w:rPr>
        <w:t>19</w:t>
      </w:r>
      <w:r w:rsidR="00E479FF">
        <w:fldChar w:fldCharType="end"/>
      </w:r>
      <w:r w:rsidR="00017B9F">
        <w:t xml:space="preserve">. </w:t>
      </w:r>
      <w:r w:rsidR="0080561C">
        <w:t xml:space="preserve">Både antall innreisende og utreisende </w:t>
      </w:r>
      <w:r w:rsidR="00A570D2">
        <w:t>utvekslings</w:t>
      </w:r>
      <w:r w:rsidR="0080561C">
        <w:t xml:space="preserve">studenter </w:t>
      </w:r>
      <w:r w:rsidR="00A570D2">
        <w:t xml:space="preserve">ble halvert </w:t>
      </w:r>
      <w:r w:rsidR="00ED3315">
        <w:t>det første året av pandemien (2020) i forhold til året før.</w:t>
      </w:r>
      <w:r w:rsidR="00471479">
        <w:t xml:space="preserve"> Året etter, </w:t>
      </w:r>
      <w:r w:rsidR="006C5D9B">
        <w:t xml:space="preserve">i </w:t>
      </w:r>
      <w:r w:rsidR="00471479">
        <w:t xml:space="preserve">2021, tok </w:t>
      </w:r>
      <w:r w:rsidR="00A15E34">
        <w:t xml:space="preserve">utvekslingen </w:t>
      </w:r>
      <w:r w:rsidR="00A15E34" w:rsidRPr="00AB151F">
        <w:rPr>
          <w:i/>
          <w:iCs/>
        </w:rPr>
        <w:t>til</w:t>
      </w:r>
      <w:r w:rsidR="00A15E34">
        <w:t xml:space="preserve"> Norge seg opp </w:t>
      </w:r>
      <w:r w:rsidR="00CB6352">
        <w:t xml:space="preserve">betraktelig igjen, </w:t>
      </w:r>
      <w:r w:rsidR="00A15E34">
        <w:t xml:space="preserve">til 80 prosent av </w:t>
      </w:r>
      <w:r w:rsidR="00D2460D">
        <w:t>nivået før pandemien</w:t>
      </w:r>
      <w:r w:rsidR="009E3806">
        <w:t xml:space="preserve"> i 2019</w:t>
      </w:r>
      <w:r w:rsidR="00D2460D">
        <w:t xml:space="preserve">. Utvekslingen </w:t>
      </w:r>
      <w:r w:rsidR="00D2460D" w:rsidRPr="00AB151F">
        <w:rPr>
          <w:i/>
          <w:iCs/>
        </w:rPr>
        <w:t>fra</w:t>
      </w:r>
      <w:r w:rsidR="00D2460D">
        <w:t xml:space="preserve"> </w:t>
      </w:r>
      <w:r w:rsidR="00B80BB2">
        <w:t xml:space="preserve">Norge, derimot, </w:t>
      </w:r>
      <w:r w:rsidR="00D07DB5">
        <w:t xml:space="preserve">gikk </w:t>
      </w:r>
      <w:r w:rsidR="006C7C0C">
        <w:t>ytterligere</w:t>
      </w:r>
      <w:r w:rsidR="00D07DB5">
        <w:t xml:space="preserve"> ned</w:t>
      </w:r>
      <w:r w:rsidR="00C85D3E">
        <w:t xml:space="preserve">. </w:t>
      </w:r>
    </w:p>
    <w:p w14:paraId="10068753" w14:textId="55564354" w:rsidR="0006133D" w:rsidRDefault="00D163EA" w:rsidP="003241C1">
      <w:r>
        <w:t xml:space="preserve">Nytt </w:t>
      </w:r>
      <w:r w:rsidR="00DC0DCD">
        <w:t>i</w:t>
      </w:r>
      <w:r w:rsidR="000B419E">
        <w:t xml:space="preserve"> 2022 er </w:t>
      </w:r>
      <w:r>
        <w:t xml:space="preserve">at </w:t>
      </w:r>
      <w:r w:rsidR="000B419E">
        <w:t>også den utgående studentutvekslingen</w:t>
      </w:r>
      <w:r>
        <w:t xml:space="preserve"> er</w:t>
      </w:r>
      <w:r w:rsidR="000B419E">
        <w:t xml:space="preserve"> </w:t>
      </w:r>
      <w:r w:rsidR="00964F83">
        <w:t>på rask vei</w:t>
      </w:r>
      <w:r w:rsidR="000B419E">
        <w:t xml:space="preserve"> tilb</w:t>
      </w:r>
      <w:r w:rsidR="00CD0A96">
        <w:t xml:space="preserve">ake </w:t>
      </w:r>
      <w:r w:rsidR="004951C5">
        <w:t>mot</w:t>
      </w:r>
      <w:r w:rsidR="00964F83">
        <w:t xml:space="preserve"> </w:t>
      </w:r>
      <w:r w:rsidR="00AA7E9A">
        <w:t>nivået før pandemien</w:t>
      </w:r>
      <w:r w:rsidR="00CD0A96">
        <w:t>.</w:t>
      </w:r>
      <w:r w:rsidR="005423B3">
        <w:t xml:space="preserve"> Utvekslingen fra Norge har </w:t>
      </w:r>
      <w:r w:rsidR="00592808">
        <w:t xml:space="preserve">økt </w:t>
      </w:r>
      <w:r w:rsidR="002E36D8">
        <w:t>kraftig</w:t>
      </w:r>
      <w:r w:rsidR="00E3283B">
        <w:t xml:space="preserve"> det siste året og er </w:t>
      </w:r>
      <w:r w:rsidR="009A004F">
        <w:t>bortimot</w:t>
      </w:r>
      <w:r w:rsidR="00BE4BCA">
        <w:t xml:space="preserve"> tilbake på 2019-nivå</w:t>
      </w:r>
      <w:r w:rsidR="00F5199E">
        <w:t>,</w:t>
      </w:r>
      <w:r w:rsidR="00BE4BCA">
        <w:t xml:space="preserve"> med </w:t>
      </w:r>
      <w:r w:rsidR="00232147">
        <w:t>over 7 000 studenter</w:t>
      </w:r>
      <w:r w:rsidR="008044A5">
        <w:t xml:space="preserve"> på utveksling</w:t>
      </w:r>
      <w:r w:rsidR="00232147">
        <w:t>.</w:t>
      </w:r>
      <w:r w:rsidR="008B5E4C">
        <w:t xml:space="preserve"> </w:t>
      </w:r>
      <w:r w:rsidR="00FC2A92">
        <w:t>Samtidig</w:t>
      </w:r>
      <w:r w:rsidR="008B5E4C">
        <w:t xml:space="preserve"> har veksten i </w:t>
      </w:r>
      <w:r w:rsidR="00D837FF">
        <w:t>innreisende utvekslingsstudenter fortsatt i 2022</w:t>
      </w:r>
      <w:r w:rsidR="00C536CF">
        <w:t xml:space="preserve">. Det er nå </w:t>
      </w:r>
      <w:r w:rsidR="003D71BD">
        <w:t xml:space="preserve">16 prosent </w:t>
      </w:r>
      <w:r w:rsidR="006535F7">
        <w:t xml:space="preserve">flere studenter på utveksling til Norge enn det var før pandemien </w:t>
      </w:r>
      <w:r w:rsidR="00BB1814">
        <w:t xml:space="preserve">i 2019. Norge har altså blitt en mer attraktiv studiedestinasjon </w:t>
      </w:r>
      <w:r w:rsidR="00B6140A">
        <w:t xml:space="preserve">for </w:t>
      </w:r>
      <w:r w:rsidR="009C4955">
        <w:t xml:space="preserve">innreisende </w:t>
      </w:r>
      <w:r w:rsidR="00B6140A">
        <w:t>utvekslingsstudente</w:t>
      </w:r>
      <w:r w:rsidR="009C4955">
        <w:t xml:space="preserve">r i løpet av </w:t>
      </w:r>
      <w:r w:rsidR="00F3565E">
        <w:t>disse årene</w:t>
      </w:r>
      <w:r w:rsidR="0076746F">
        <w:t>.</w:t>
      </w:r>
    </w:p>
    <w:p w14:paraId="3E9C4D39" w14:textId="745F44F0" w:rsidR="00F53285" w:rsidRDefault="00F53285" w:rsidP="009469E8">
      <w:pPr>
        <w:pStyle w:val="Bildetekst"/>
        <w:keepNext/>
        <w:keepLines/>
      </w:pPr>
      <w:bookmarkStart w:id="103" w:name="_Ref133166800"/>
      <w:bookmarkStart w:id="104" w:name="_Toc134792780"/>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19</w:t>
      </w:r>
      <w:r>
        <w:fldChar w:fldCharType="end"/>
      </w:r>
      <w:bookmarkEnd w:id="103"/>
      <w:r>
        <w:t xml:space="preserve"> </w:t>
      </w:r>
      <w:r w:rsidRPr="00FE0030">
        <w:t>Utvekslingsstudenter til og fra Norge 2013–22. Antall</w:t>
      </w:r>
      <w:bookmarkEnd w:id="104"/>
    </w:p>
    <w:p w14:paraId="7EC91D3A" w14:textId="2CF9CED8" w:rsidR="00715E9D" w:rsidRPr="00DD2F31" w:rsidRDefault="004F5FBF" w:rsidP="00DD3EF8">
      <w:r>
        <w:rPr>
          <w:noProof/>
        </w:rPr>
        <w:drawing>
          <wp:inline distT="0" distB="0" distL="0" distR="0" wp14:anchorId="43E48552" wp14:editId="4612FE69">
            <wp:extent cx="5193792" cy="2757805"/>
            <wp:effectExtent l="0" t="0" r="6985" b="4445"/>
            <wp:docPr id="27" name="Diagram 27">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92E6339" w14:textId="0D26C0C0" w:rsidR="00A301F0" w:rsidRDefault="00A301F0" w:rsidP="00A301F0">
      <w:pPr>
        <w:pStyle w:val="Merknad"/>
      </w:pPr>
      <w:r>
        <w:t>Figuren</w:t>
      </w:r>
      <w:r w:rsidR="00C00BF3" w:rsidRPr="00EB7D73">
        <w:t xml:space="preserve"> viser </w:t>
      </w:r>
      <w:r w:rsidR="00FF22AA">
        <w:t>utvekslingsopphold over tre måneder</w:t>
      </w:r>
    </w:p>
    <w:p w14:paraId="649F0A4A" w14:textId="049DEA33" w:rsidR="00F74B30" w:rsidRDefault="00A021EC" w:rsidP="00645231">
      <w:pPr>
        <w:pStyle w:val="Kilde"/>
        <w:keepNext/>
        <w:keepLines/>
      </w:pPr>
      <w:r>
        <w:t xml:space="preserve">Kilde: </w:t>
      </w:r>
      <w:proofErr w:type="spellStart"/>
      <w:r>
        <w:t>DBH</w:t>
      </w:r>
      <w:proofErr w:type="spellEnd"/>
    </w:p>
    <w:p w14:paraId="71EBA6F8" w14:textId="47AD05D2" w:rsidR="00FF1167" w:rsidRDefault="00CF646C" w:rsidP="00CF646C">
      <w:r>
        <w:t>Utveksling har høy politisk prioritet, og det er et langsiktig mål at 50 prosent av studentene i høyere utdanning skal ha et utenlandsopphold i løpet av sin studietid.</w:t>
      </w:r>
      <w:r w:rsidR="00F85D2F">
        <w:t xml:space="preserve"> Det kortsiktige målet er 20 prosent</w:t>
      </w:r>
      <w:r w:rsidR="00AF1FAB">
        <w:t xml:space="preserve"> </w:t>
      </w:r>
      <w:r w:rsidR="00AF1FAB">
        <w:fldChar w:fldCharType="begin"/>
      </w:r>
      <w:r w:rsidR="00AF1FAB">
        <w:instrText xml:space="preserve"> ADDIN EN.CITE &lt;EndNote&gt;&lt;Cite&gt;&lt;Author&gt;Meld. St. 16 (2016-2017)&lt;/Author&gt;&lt;RecNum&gt;1713&lt;/RecNum&gt;&lt;DisplayText&gt;(Meld. St. 16 (2016-2017))&lt;/DisplayText&gt;&lt;record&gt;&lt;rec-number&gt;1713&lt;/rec-number&gt;&lt;foreign-keys&gt;&lt;key app="EN" db-id="s09wp0wxtwz9aue509w52eagvset90vxefrw" timestamp="1683212907" guid="4157ace9-7c7c-4ef9-9410-011ea9693cd9"&gt;1713&lt;/key&gt;&lt;/foreign-keys&gt;&lt;ref-type name="Report"&gt;27&lt;/ref-type&gt;&lt;contributors&gt;&lt;authors&gt;&lt;author&gt;Meld. St. 16 (2016-2017),&lt;/author&gt;&lt;/authors&gt;&lt;secondary-authors&gt;&lt;author&gt;Kunnskapsdepartementet&lt;/author&gt;&lt;/secondary-authors&gt;&lt;/contributors&gt;&lt;titles&gt;&lt;title&gt;Kultur for kvalitet i høyere utdanning&lt;/title&gt;&lt;/titles&gt;&lt;dates&gt;&lt;/dates&gt;&lt;urls&gt;&lt;related-urls&gt;&lt;url&gt;https://www.regjeringen.no/contentassets/aee30e4b7d3241d5bd89db69fe38f7ba/no/pdfs/stm201620170016000dddpdfs.pdf&lt;/url&gt;&lt;/related-urls&gt;&lt;/urls&gt;&lt;/record&gt;&lt;/Cite&gt;&lt;/EndNote&gt;</w:instrText>
      </w:r>
      <w:r w:rsidR="00AF1FAB">
        <w:fldChar w:fldCharType="separate"/>
      </w:r>
      <w:r w:rsidR="00AF1FAB">
        <w:rPr>
          <w:noProof/>
        </w:rPr>
        <w:t>(Meld. St. 16 (2016-2017))</w:t>
      </w:r>
      <w:r w:rsidR="00AF1FAB">
        <w:fldChar w:fldCharType="end"/>
      </w:r>
      <w:r w:rsidR="00AF1FAB">
        <w:t>.</w:t>
      </w:r>
      <w:r>
        <w:t xml:space="preserve"> Fram til 2020 hadde om lag 16,5 prosent av de uteksaminerte </w:t>
      </w:r>
      <w:r w:rsidR="004951C5">
        <w:t xml:space="preserve">i høyere utdanning </w:t>
      </w:r>
      <w:r>
        <w:t xml:space="preserve">hatt et studieopphold </w:t>
      </w:r>
      <w:r w:rsidR="00395A90">
        <w:t xml:space="preserve">i utlandet </w:t>
      </w:r>
      <w:r>
        <w:t>over tre måneder</w:t>
      </w:r>
      <w:r w:rsidR="00395A90">
        <w:t xml:space="preserve">. </w:t>
      </w:r>
      <w:r>
        <w:t>Tilsvarende tall i 2022 er 10,8</w:t>
      </w:r>
      <w:r w:rsidR="0054582F">
        <w:t xml:space="preserve"> prosent</w:t>
      </w:r>
      <w:r>
        <w:t xml:space="preserve">. </w:t>
      </w:r>
      <w:r w:rsidR="0001435A">
        <w:t xml:space="preserve">Hvis man </w:t>
      </w:r>
      <w:r w:rsidR="003C516C">
        <w:t xml:space="preserve">også </w:t>
      </w:r>
      <w:r w:rsidR="0001435A">
        <w:t xml:space="preserve">inkluderer kandidater som har vært på </w:t>
      </w:r>
      <w:r w:rsidR="00681626">
        <w:t>kortere opphold</w:t>
      </w:r>
      <w:r w:rsidR="008E7C58">
        <w:t xml:space="preserve"> </w:t>
      </w:r>
      <w:r w:rsidR="001708FB">
        <w:t>mellom en og tre måneder</w:t>
      </w:r>
      <w:r w:rsidR="00681626">
        <w:t>,</w:t>
      </w:r>
      <w:r w:rsidR="001708FB">
        <w:t xml:space="preserve"> blir tallet noe høyere</w:t>
      </w:r>
      <w:r w:rsidR="00F0224C">
        <w:t>, om lag 14 prosent</w:t>
      </w:r>
      <w:r w:rsidR="001708FB">
        <w:t xml:space="preserve">. </w:t>
      </w:r>
      <w:r w:rsidR="00337418">
        <w:t xml:space="preserve">Ser vi på institusjonene, har </w:t>
      </w:r>
      <w:r w:rsidR="005D128D">
        <w:t xml:space="preserve">NHH </w:t>
      </w:r>
      <w:r w:rsidR="00B95D53">
        <w:t>i</w:t>
      </w:r>
      <w:r w:rsidR="005D128D">
        <w:t xml:space="preserve"> h</w:t>
      </w:r>
      <w:r w:rsidR="00A34549">
        <w:t xml:space="preserve">ele tiårsperioden </w:t>
      </w:r>
      <w:r w:rsidR="00B95D53">
        <w:t>ut</w:t>
      </w:r>
      <w:r w:rsidR="0001120D">
        <w:t xml:space="preserve">merket seg </w:t>
      </w:r>
      <w:r w:rsidR="00A3595E">
        <w:t xml:space="preserve">med høy andel utveksling. </w:t>
      </w:r>
      <w:r w:rsidR="003914A4">
        <w:t xml:space="preserve">Av </w:t>
      </w:r>
      <w:r w:rsidR="00983C84">
        <w:t xml:space="preserve">de som ble </w:t>
      </w:r>
      <w:r w:rsidR="00E54C7B">
        <w:t>uteksaminert ved NHH i 2022</w:t>
      </w:r>
      <w:r w:rsidR="00EF3E5C">
        <w:t>,</w:t>
      </w:r>
      <w:r w:rsidR="00E54C7B">
        <w:t xml:space="preserve"> hadde hele </w:t>
      </w:r>
      <w:r w:rsidR="00EF3E5C">
        <w:t xml:space="preserve">46 prosent vært på utveksling i løpet av studiene. </w:t>
      </w:r>
      <w:r w:rsidR="004C354F">
        <w:t xml:space="preserve">Vedleggstabellene </w:t>
      </w:r>
      <w:hyperlink r:id="rId74" w:history="1">
        <w:r w:rsidR="004C354F" w:rsidRPr="00E801BB">
          <w:rPr>
            <w:rStyle w:val="Hyperkobling"/>
          </w:rPr>
          <w:t>V2.56</w:t>
        </w:r>
      </w:hyperlink>
      <w:r w:rsidR="004C354F">
        <w:t xml:space="preserve"> og </w:t>
      </w:r>
      <w:hyperlink r:id="rId75" w:history="1">
        <w:r w:rsidR="004C354F" w:rsidRPr="00AF5621">
          <w:rPr>
            <w:rStyle w:val="Hyperkobling"/>
          </w:rPr>
          <w:t>V2.57</w:t>
        </w:r>
      </w:hyperlink>
      <w:r w:rsidR="004C354F">
        <w:t xml:space="preserve"> har tall for uteksaminerte studenter med utveksling per nivå og institusjon.</w:t>
      </w:r>
    </w:p>
    <w:p w14:paraId="00ABB7FE" w14:textId="1F7953F1" w:rsidR="00CF646C" w:rsidRDefault="008E7C58" w:rsidP="00CF646C">
      <w:r w:rsidRPr="003E4F1D">
        <w:t>A</w:t>
      </w:r>
      <w:r w:rsidR="008A1F4A" w:rsidRPr="003E4F1D">
        <w:t>ndelen</w:t>
      </w:r>
      <w:r w:rsidR="008A1F4A">
        <w:t xml:space="preserve"> </w:t>
      </w:r>
      <w:r w:rsidR="00687B37">
        <w:t>uteksaminerte</w:t>
      </w:r>
      <w:r w:rsidR="008A1F4A">
        <w:t xml:space="preserve"> </w:t>
      </w:r>
      <w:r w:rsidR="00687B37">
        <w:t xml:space="preserve">med </w:t>
      </w:r>
      <w:r w:rsidR="00E11071">
        <w:t>utvekslingserfaring</w:t>
      </w:r>
      <w:r w:rsidR="00183B69">
        <w:t xml:space="preserve"> </w:t>
      </w:r>
      <w:r w:rsidR="008A1F4A">
        <w:t xml:space="preserve">har </w:t>
      </w:r>
      <w:r>
        <w:t xml:space="preserve">altså </w:t>
      </w:r>
      <w:r w:rsidR="008A1F4A">
        <w:t>gått ned</w:t>
      </w:r>
      <w:r w:rsidR="00E92C81">
        <w:t xml:space="preserve"> siste år,</w:t>
      </w:r>
      <w:r w:rsidR="008A1F4A">
        <w:t xml:space="preserve"> </w:t>
      </w:r>
      <w:r w:rsidR="00BE18A1">
        <w:t xml:space="preserve">selv om </w:t>
      </w:r>
      <w:r w:rsidR="008A1F4A" w:rsidRPr="003E4F1D">
        <w:t>antallet</w:t>
      </w:r>
      <w:r w:rsidR="008A1F4A">
        <w:t xml:space="preserve"> </w:t>
      </w:r>
      <w:r w:rsidR="00C24A69">
        <w:t xml:space="preserve">med utveksling </w:t>
      </w:r>
      <w:r w:rsidR="00BE18A1">
        <w:t>har gått opp</w:t>
      </w:r>
      <w:r>
        <w:t xml:space="preserve">. </w:t>
      </w:r>
      <w:r w:rsidR="00F91364">
        <w:t>D</w:t>
      </w:r>
      <w:r>
        <w:t xml:space="preserve">ette </w:t>
      </w:r>
      <w:r w:rsidR="00FC4B73">
        <w:t>kan i stor grad tilskrives en</w:t>
      </w:r>
      <w:r w:rsidR="00F91364">
        <w:t xml:space="preserve"> </w:t>
      </w:r>
      <w:r w:rsidR="00FC4B73">
        <w:t>forsinket pandemieffekt, hvor</w:t>
      </w:r>
      <w:r w:rsidR="00F91364">
        <w:t xml:space="preserve"> </w:t>
      </w:r>
      <w:r w:rsidR="00CF646C">
        <w:t xml:space="preserve">mange av de som ble uteksaminert i 2022 har gått glipp av muligheten for utveksling </w:t>
      </w:r>
      <w:r w:rsidR="00DA27A2">
        <w:t xml:space="preserve">tidligere i studieløpet sitt. </w:t>
      </w:r>
      <w:r w:rsidR="00E15CC9">
        <w:t xml:space="preserve">Det er grunn til å tro at </w:t>
      </w:r>
      <w:r w:rsidR="004D3E6F">
        <w:t>an</w:t>
      </w:r>
      <w:r w:rsidR="003A03DE">
        <w:t xml:space="preserve">delen utvekslede vil holde seg lav i noen </w:t>
      </w:r>
      <w:r w:rsidR="003A03DE">
        <w:lastRenderedPageBreak/>
        <w:t>tid</w:t>
      </w:r>
      <w:r w:rsidR="00A50D2A">
        <w:t xml:space="preserve"> framover</w:t>
      </w:r>
      <w:r w:rsidR="006B7793">
        <w:t>,</w:t>
      </w:r>
      <w:r w:rsidR="00147616">
        <w:t xml:space="preserve"> </w:t>
      </w:r>
      <w:r w:rsidR="00A50D2A">
        <w:t>inn</w:t>
      </w:r>
      <w:r w:rsidR="006B7793" w:rsidRPr="006B7793">
        <w:t xml:space="preserve">til gruppen </w:t>
      </w:r>
      <w:r w:rsidR="00272B5F">
        <w:t xml:space="preserve">av </w:t>
      </w:r>
      <w:r w:rsidR="006B7793" w:rsidRPr="006B7793">
        <w:t>uteksaminerte hovedsak</w:t>
      </w:r>
      <w:r w:rsidR="00272B5F">
        <w:t>elig</w:t>
      </w:r>
      <w:r w:rsidR="006B7793" w:rsidRPr="006B7793">
        <w:t xml:space="preserve"> består av personer som begynte studieløpet etter pandemien</w:t>
      </w:r>
      <w:r w:rsidR="00EF2372">
        <w:t xml:space="preserve">. </w:t>
      </w:r>
    </w:p>
    <w:p w14:paraId="77F99A3C" w14:textId="56688DD2" w:rsidR="006E3463" w:rsidRDefault="000A5F5C" w:rsidP="004B2101">
      <w:r>
        <w:t xml:space="preserve">Også hvilke land studentene reiser på utveksling </w:t>
      </w:r>
      <w:r w:rsidR="00702029">
        <w:t xml:space="preserve">til har endret seg i løpet av pandemien. </w:t>
      </w:r>
      <w:r w:rsidR="00E479FF">
        <w:fldChar w:fldCharType="begin"/>
      </w:r>
      <w:r w:rsidR="00E479FF">
        <w:instrText xml:space="preserve"> REF _Ref133166849 \h </w:instrText>
      </w:r>
      <w:r w:rsidR="00E479FF">
        <w:fldChar w:fldCharType="separate"/>
      </w:r>
      <w:r w:rsidR="00F262EF">
        <w:t xml:space="preserve">Figur </w:t>
      </w:r>
      <w:r w:rsidR="00F262EF">
        <w:rPr>
          <w:noProof/>
        </w:rPr>
        <w:t>2</w:t>
      </w:r>
      <w:r w:rsidR="00F262EF">
        <w:t>.</w:t>
      </w:r>
      <w:r w:rsidR="00F262EF">
        <w:rPr>
          <w:noProof/>
        </w:rPr>
        <w:t>20</w:t>
      </w:r>
      <w:r w:rsidR="00E479FF">
        <w:fldChar w:fldCharType="end"/>
      </w:r>
      <w:r w:rsidR="004B2101">
        <w:t xml:space="preserve"> viser </w:t>
      </w:r>
      <w:r w:rsidR="00CE216F">
        <w:t xml:space="preserve">noen av </w:t>
      </w:r>
      <w:r w:rsidR="004B2101">
        <w:t xml:space="preserve">de mest populære </w:t>
      </w:r>
      <w:r w:rsidR="002D647F">
        <w:t>studie</w:t>
      </w:r>
      <w:r w:rsidR="003E0371">
        <w:t>destinasjonene</w:t>
      </w:r>
      <w:r w:rsidR="004B2101">
        <w:t xml:space="preserve"> for norske utvekslingsstudenter</w:t>
      </w:r>
      <w:r w:rsidR="002E27AC">
        <w:t xml:space="preserve"> de siste ti årene. </w:t>
      </w:r>
      <w:r w:rsidR="004C73D3">
        <w:t>Fram til</w:t>
      </w:r>
      <w:r w:rsidR="001E53DD">
        <w:t xml:space="preserve"> 2020</w:t>
      </w:r>
      <w:r w:rsidR="004411B5">
        <w:t xml:space="preserve"> var USA og Australia </w:t>
      </w:r>
      <w:r w:rsidR="00E56CD4">
        <w:t>hyppigst</w:t>
      </w:r>
      <w:r w:rsidR="004411B5">
        <w:t xml:space="preserve"> </w:t>
      </w:r>
      <w:r w:rsidR="002B16FA">
        <w:t>besøkt</w:t>
      </w:r>
      <w:r w:rsidR="00C72CE4">
        <w:t xml:space="preserve">, </w:t>
      </w:r>
      <w:r w:rsidR="0099660C">
        <w:t xml:space="preserve">men </w:t>
      </w:r>
      <w:r w:rsidR="001E53DD">
        <w:t>fra 2021</w:t>
      </w:r>
      <w:r w:rsidR="0099660C">
        <w:t xml:space="preserve"> </w:t>
      </w:r>
      <w:r w:rsidR="00CA7223">
        <w:t xml:space="preserve">gikk de fleste utvekslingsoppholdene til europeiske </w:t>
      </w:r>
      <w:r w:rsidR="0020521A">
        <w:t>land</w:t>
      </w:r>
      <w:r w:rsidR="006F2139">
        <w:t xml:space="preserve">; Italia, </w:t>
      </w:r>
      <w:r w:rsidR="009416C8">
        <w:t xml:space="preserve">Frankrike, </w:t>
      </w:r>
      <w:r w:rsidR="00730D99">
        <w:t xml:space="preserve">Storbritannia, </w:t>
      </w:r>
      <w:r w:rsidR="009416C8">
        <w:t>Spania</w:t>
      </w:r>
      <w:r w:rsidR="00730D99">
        <w:t xml:space="preserve"> og Danmark. </w:t>
      </w:r>
      <w:r w:rsidR="000D65ED">
        <w:t xml:space="preserve">Endringen </w:t>
      </w:r>
      <w:r w:rsidR="005B3EC9">
        <w:t>må ses i forbindelse</w:t>
      </w:r>
      <w:r w:rsidR="000D65ED">
        <w:t xml:space="preserve"> med </w:t>
      </w:r>
      <w:r w:rsidR="004E6429">
        <w:t>stengte grenser</w:t>
      </w:r>
      <w:r w:rsidR="00B726BE">
        <w:t xml:space="preserve"> og</w:t>
      </w:r>
      <w:r w:rsidR="004E6429">
        <w:t xml:space="preserve"> strenge innreisekrav</w:t>
      </w:r>
      <w:r w:rsidR="00B726BE">
        <w:t xml:space="preserve"> </w:t>
      </w:r>
      <w:r w:rsidR="00097D91">
        <w:t>til</w:t>
      </w:r>
      <w:r w:rsidR="00EE1A0B">
        <w:t xml:space="preserve"> </w:t>
      </w:r>
      <w:r w:rsidR="005B3EC9">
        <w:t>de mest populære oversjøiske studiedestinasjonene</w:t>
      </w:r>
      <w:r w:rsidR="00E013E6">
        <w:t xml:space="preserve">. I tillegg </w:t>
      </w:r>
      <w:r w:rsidR="002A7843">
        <w:t>er det grunn til å tro</w:t>
      </w:r>
      <w:r w:rsidR="005A02A6">
        <w:t xml:space="preserve"> at </w:t>
      </w:r>
      <w:r w:rsidR="0035063E">
        <w:t>vedvarende</w:t>
      </w:r>
      <w:r w:rsidR="00DA7C60">
        <w:t xml:space="preserve"> </w:t>
      </w:r>
      <w:r w:rsidR="00962916">
        <w:t xml:space="preserve">usikkerhet </w:t>
      </w:r>
      <w:r w:rsidR="0034490D">
        <w:t>rundt</w:t>
      </w:r>
      <w:r w:rsidR="00986EB7">
        <w:t xml:space="preserve"> </w:t>
      </w:r>
      <w:r w:rsidR="00872CBD">
        <w:t xml:space="preserve">pandemisituasjonen </w:t>
      </w:r>
      <w:r w:rsidR="000F7142">
        <w:t>ha</w:t>
      </w:r>
      <w:r w:rsidR="005A02A6">
        <w:t>r</w:t>
      </w:r>
      <w:r w:rsidR="000F7142">
        <w:t xml:space="preserve"> </w:t>
      </w:r>
      <w:r w:rsidR="00A25117">
        <w:t>gjort studie</w:t>
      </w:r>
      <w:r w:rsidR="00947A8C">
        <w:t>opphold langt hjemmefra</w:t>
      </w:r>
      <w:r w:rsidR="00A25117">
        <w:t xml:space="preserve"> </w:t>
      </w:r>
      <w:r w:rsidR="0035063E">
        <w:t>langt mindre attraktivt</w:t>
      </w:r>
      <w:r w:rsidR="004077F6">
        <w:t>.</w:t>
      </w:r>
    </w:p>
    <w:p w14:paraId="4416FBE1" w14:textId="1A6BC757" w:rsidR="006809C6" w:rsidRDefault="00F56EF1" w:rsidP="004B2101">
      <w:r>
        <w:t>I 2022 er</w:t>
      </w:r>
      <w:r w:rsidR="00C948F3">
        <w:t xml:space="preserve"> </w:t>
      </w:r>
      <w:r w:rsidR="00D80516">
        <w:t xml:space="preserve">USA og Australia </w:t>
      </w:r>
      <w:r w:rsidR="00D94291">
        <w:t>igjen</w:t>
      </w:r>
      <w:r w:rsidR="00D80516">
        <w:t xml:space="preserve"> </w:t>
      </w:r>
      <w:r w:rsidR="00EA14AD">
        <w:t xml:space="preserve">blant de </w:t>
      </w:r>
      <w:r w:rsidR="00EA3F7D">
        <w:t xml:space="preserve">fem mest populære </w:t>
      </w:r>
      <w:r w:rsidR="00D94291">
        <w:t xml:space="preserve">utvekslingslandene, </w:t>
      </w:r>
      <w:r w:rsidR="00452F5E">
        <w:t xml:space="preserve">etter at </w:t>
      </w:r>
      <w:r w:rsidR="002B3F97">
        <w:t>internasjonale reisebegrensninger er opphevet</w:t>
      </w:r>
      <w:r w:rsidR="007E55CF">
        <w:t xml:space="preserve"> og pandemien </w:t>
      </w:r>
      <w:r w:rsidR="00421896">
        <w:t>under kontroll</w:t>
      </w:r>
      <w:r w:rsidR="005B6005">
        <w:t>.</w:t>
      </w:r>
      <w:r w:rsidR="000A0A9B">
        <w:t xml:space="preserve"> Bildet er </w:t>
      </w:r>
      <w:r w:rsidR="004E1ADA">
        <w:t>allikevel ikke helt</w:t>
      </w:r>
      <w:r w:rsidR="000A0A9B">
        <w:t xml:space="preserve"> tilbake slik det var i 2019. </w:t>
      </w:r>
      <w:r w:rsidR="0028057B">
        <w:t xml:space="preserve">Australia har </w:t>
      </w:r>
      <w:r w:rsidR="00527F8A">
        <w:t xml:space="preserve">nå </w:t>
      </w:r>
      <w:r w:rsidR="0028057B">
        <w:t xml:space="preserve">halvparten så mange </w:t>
      </w:r>
      <w:r w:rsidR="00DD5CAB">
        <w:t xml:space="preserve">studenter på utveksling fra Norge som </w:t>
      </w:r>
      <w:r w:rsidR="00695476">
        <w:t>før pandemien</w:t>
      </w:r>
      <w:r w:rsidR="00806DA4">
        <w:t xml:space="preserve">, mens </w:t>
      </w:r>
      <w:r w:rsidR="00304A44">
        <w:t xml:space="preserve">søreuropeiske land </w:t>
      </w:r>
      <w:r w:rsidR="00DF4E89">
        <w:t xml:space="preserve">som </w:t>
      </w:r>
      <w:r w:rsidR="00D834BA">
        <w:t>Frankrike, Spania</w:t>
      </w:r>
      <w:r w:rsidR="000B51AA">
        <w:t xml:space="preserve">, Portugal og Italia </w:t>
      </w:r>
      <w:r w:rsidR="00304A44">
        <w:t xml:space="preserve">har </w:t>
      </w:r>
      <w:r w:rsidR="0096720C">
        <w:t xml:space="preserve">styrket seg i </w:t>
      </w:r>
      <w:r w:rsidR="00483155">
        <w:t>popularitet</w:t>
      </w:r>
      <w:r w:rsidR="0096720C">
        <w:t>.</w:t>
      </w:r>
      <w:r w:rsidR="00800CC1">
        <w:t xml:space="preserve"> </w:t>
      </w:r>
      <w:r w:rsidR="004E1ADA">
        <w:t>Særlig</w:t>
      </w:r>
      <w:r w:rsidR="001C51A3" w:rsidDel="004E1ADA">
        <w:t xml:space="preserve"> </w:t>
      </w:r>
      <w:r w:rsidR="00C0379E">
        <w:t>gjelder dette</w:t>
      </w:r>
      <w:r w:rsidR="001C51A3" w:rsidDel="004E1ADA">
        <w:t xml:space="preserve"> </w:t>
      </w:r>
      <w:r w:rsidR="001C51A3">
        <w:t>Italia</w:t>
      </w:r>
      <w:r w:rsidR="00C0379E">
        <w:t xml:space="preserve">, som </w:t>
      </w:r>
      <w:r w:rsidR="0019537F">
        <w:t>har hatt</w:t>
      </w:r>
      <w:r w:rsidR="004E1ADA">
        <w:t xml:space="preserve"> </w:t>
      </w:r>
      <w:r w:rsidR="00FD0288">
        <w:t xml:space="preserve">en dobling i </w:t>
      </w:r>
      <w:r w:rsidR="0019537F">
        <w:t>tilstrømmingen av</w:t>
      </w:r>
      <w:r w:rsidR="00FD0288">
        <w:t xml:space="preserve"> </w:t>
      </w:r>
      <w:r w:rsidR="00A10DDD">
        <w:t>norske utvekslingsstudenter</w:t>
      </w:r>
      <w:r w:rsidR="004D7B7B">
        <w:t xml:space="preserve"> </w:t>
      </w:r>
      <w:r w:rsidR="0019537F">
        <w:t>siden</w:t>
      </w:r>
      <w:r w:rsidR="00B56A82">
        <w:t xml:space="preserve"> 2019</w:t>
      </w:r>
      <w:r w:rsidR="002A661E">
        <w:t>.</w:t>
      </w:r>
    </w:p>
    <w:p w14:paraId="1F821A89" w14:textId="58380847" w:rsidR="00E479FF" w:rsidRDefault="00D47DD6" w:rsidP="004B2101">
      <w:pPr>
        <w:rPr>
          <w:lang w:eastAsia="nb-NO"/>
        </w:rPr>
      </w:pPr>
      <w:proofErr w:type="spellStart"/>
      <w:r>
        <w:t>Vedleggstabell</w:t>
      </w:r>
      <w:proofErr w:type="spellEnd"/>
      <w:r>
        <w:t xml:space="preserve"> </w:t>
      </w:r>
      <w:hyperlink r:id="rId76" w:history="1">
        <w:r w:rsidRPr="00AF5621">
          <w:rPr>
            <w:rStyle w:val="Hyperkobling"/>
          </w:rPr>
          <w:t>V</w:t>
        </w:r>
        <w:r w:rsidR="00F11EB9" w:rsidRPr="00AF5621">
          <w:rPr>
            <w:rStyle w:val="Hyperkobling"/>
          </w:rPr>
          <w:t>2.51</w:t>
        </w:r>
      </w:hyperlink>
      <w:r w:rsidR="00F11EB9">
        <w:t xml:space="preserve"> </w:t>
      </w:r>
      <w:r w:rsidR="00D45550">
        <w:rPr>
          <w:lang w:eastAsia="nb-NO"/>
        </w:rPr>
        <w:t xml:space="preserve">gir </w:t>
      </w:r>
      <w:r w:rsidR="006F5CC3">
        <w:rPr>
          <w:lang w:eastAsia="nb-NO"/>
        </w:rPr>
        <w:t>en</w:t>
      </w:r>
      <w:r w:rsidR="00D45550">
        <w:rPr>
          <w:lang w:eastAsia="nb-NO"/>
        </w:rPr>
        <w:t xml:space="preserve"> detaljer</w:t>
      </w:r>
      <w:r w:rsidR="006F5CC3">
        <w:rPr>
          <w:lang w:eastAsia="nb-NO"/>
        </w:rPr>
        <w:t>t framstilling</w:t>
      </w:r>
      <w:r w:rsidR="00D45550">
        <w:rPr>
          <w:lang w:eastAsia="nb-NO"/>
        </w:rPr>
        <w:t xml:space="preserve"> </w:t>
      </w:r>
      <w:r w:rsidR="006F5CC3">
        <w:rPr>
          <w:lang w:eastAsia="nb-NO"/>
        </w:rPr>
        <w:t>av</w:t>
      </w:r>
      <w:r w:rsidR="00D45550">
        <w:rPr>
          <w:lang w:eastAsia="nb-NO"/>
        </w:rPr>
        <w:t xml:space="preserve"> u</w:t>
      </w:r>
      <w:r w:rsidR="00F11EB9" w:rsidRPr="003B6E60">
        <w:rPr>
          <w:lang w:eastAsia="nb-NO"/>
        </w:rPr>
        <w:t xml:space="preserve">treisende utvekslingsstudenter per land </w:t>
      </w:r>
      <w:r w:rsidR="006F5CC3">
        <w:rPr>
          <w:lang w:eastAsia="nb-NO"/>
        </w:rPr>
        <w:t xml:space="preserve">i perioden </w:t>
      </w:r>
      <w:r w:rsidR="00F11EB9" w:rsidRPr="003B6E60">
        <w:rPr>
          <w:lang w:eastAsia="nb-NO"/>
        </w:rPr>
        <w:t xml:space="preserve">2013–22. </w:t>
      </w:r>
      <w:r w:rsidR="006F0E48" w:rsidRPr="006F0E48">
        <w:rPr>
          <w:lang w:eastAsia="nb-NO"/>
        </w:rPr>
        <w:t>Totalt for den siste tiårsperioden har</w:t>
      </w:r>
      <w:r w:rsidR="006F0E48">
        <w:rPr>
          <w:lang w:eastAsia="nb-NO"/>
        </w:rPr>
        <w:t xml:space="preserve"> utvekslingen til Europa </w:t>
      </w:r>
      <w:r w:rsidR="00792C41">
        <w:rPr>
          <w:lang w:eastAsia="nb-NO"/>
        </w:rPr>
        <w:t xml:space="preserve">mer enn doblet seg, mens utvekslingen til land utenfor EU </w:t>
      </w:r>
      <w:r w:rsidR="00B016FB">
        <w:rPr>
          <w:lang w:eastAsia="nb-NO"/>
        </w:rPr>
        <w:t>har gått ned i samme periode.</w:t>
      </w:r>
      <w:r w:rsidR="007169DF" w:rsidRPr="007169DF">
        <w:t xml:space="preserve"> </w:t>
      </w:r>
      <w:r w:rsidR="00366AFA">
        <w:t xml:space="preserve">Dette gjelder også de </w:t>
      </w:r>
      <w:r w:rsidR="00A150FD">
        <w:t xml:space="preserve">prioriterte landene </w:t>
      </w:r>
      <w:r w:rsidR="00D05691">
        <w:t>for norsk utdanningssamarbeid utenfor EU</w:t>
      </w:r>
      <w:r w:rsidR="00040E61">
        <w:rPr>
          <w:rStyle w:val="Fotnotereferanse"/>
        </w:rPr>
        <w:footnoteReference w:id="8"/>
      </w:r>
      <w:r w:rsidR="001C5CBA">
        <w:t>, som har</w:t>
      </w:r>
      <w:r w:rsidR="00040E61">
        <w:t xml:space="preserve"> </w:t>
      </w:r>
      <w:r w:rsidR="00F80130">
        <w:t>hatt e</w:t>
      </w:r>
      <w:r w:rsidR="003567D4">
        <w:t xml:space="preserve">n nokså jevn nedgang </w:t>
      </w:r>
      <w:r w:rsidR="006B44B9">
        <w:t xml:space="preserve">de siste </w:t>
      </w:r>
      <w:r w:rsidR="00265007">
        <w:t>ti årene</w:t>
      </w:r>
      <w:r w:rsidR="00B41969">
        <w:t xml:space="preserve">, </w:t>
      </w:r>
      <w:r w:rsidR="00087AB7">
        <w:t>og</w:t>
      </w:r>
      <w:r w:rsidR="00B41969">
        <w:t xml:space="preserve"> en </w:t>
      </w:r>
      <w:r w:rsidR="0028650C">
        <w:t xml:space="preserve">særlig </w:t>
      </w:r>
      <w:r w:rsidR="00B72BC6">
        <w:t xml:space="preserve">markant </w:t>
      </w:r>
      <w:r w:rsidR="0028650C">
        <w:t>nedgang under pandemien</w:t>
      </w:r>
      <w:r w:rsidR="00265007">
        <w:t xml:space="preserve">. </w:t>
      </w:r>
      <w:r w:rsidR="00EE00C4">
        <w:t xml:space="preserve">Mens </w:t>
      </w:r>
      <w:r w:rsidR="00845BF3">
        <w:t xml:space="preserve">det totale antallet studenter på utveksling </w:t>
      </w:r>
      <w:r w:rsidR="009F3AA6">
        <w:t xml:space="preserve">har økt med </w:t>
      </w:r>
      <w:r w:rsidR="0087700D">
        <w:t>26 prosent</w:t>
      </w:r>
      <w:r w:rsidR="00FB529C" w:rsidRPr="00FB529C">
        <w:t xml:space="preserve"> </w:t>
      </w:r>
      <w:r w:rsidR="00FB529C">
        <w:t>de siste ti årene</w:t>
      </w:r>
      <w:r w:rsidR="0087700D">
        <w:t xml:space="preserve">, har utvekslingen til </w:t>
      </w:r>
      <w:r w:rsidR="00F9201A">
        <w:t>disse</w:t>
      </w:r>
      <w:r w:rsidR="00757EA4">
        <w:t xml:space="preserve"> landene </w:t>
      </w:r>
      <w:r w:rsidR="00D967E1">
        <w:t xml:space="preserve">gått ned med om lag 38 prosent i </w:t>
      </w:r>
      <w:r w:rsidR="00DB7D3F">
        <w:t>periode</w:t>
      </w:r>
      <w:r w:rsidR="00EF5757">
        <w:t>n</w:t>
      </w:r>
      <w:r w:rsidR="00424411">
        <w:t xml:space="preserve"> sett under ett</w:t>
      </w:r>
      <w:r w:rsidR="00DB7D3F">
        <w:t>.</w:t>
      </w:r>
      <w:r w:rsidR="00EF5757">
        <w:t xml:space="preserve"> </w:t>
      </w:r>
      <w:r w:rsidR="00EF5757">
        <w:rPr>
          <w:lang w:eastAsia="nb-NO"/>
        </w:rPr>
        <w:t>Den samtidige v</w:t>
      </w:r>
      <w:r w:rsidR="007169DF" w:rsidRPr="007169DF">
        <w:rPr>
          <w:lang w:eastAsia="nb-NO"/>
        </w:rPr>
        <w:t xml:space="preserve">eksten i utvekslingen </w:t>
      </w:r>
      <w:r w:rsidR="001549C8">
        <w:rPr>
          <w:lang w:eastAsia="nb-NO"/>
        </w:rPr>
        <w:t xml:space="preserve">til Europa </w:t>
      </w:r>
      <w:r w:rsidR="007169DF" w:rsidRPr="007169DF">
        <w:rPr>
          <w:lang w:eastAsia="nb-NO"/>
        </w:rPr>
        <w:t xml:space="preserve">er godt hjulpet fram av innreise- og </w:t>
      </w:r>
      <w:proofErr w:type="spellStart"/>
      <w:r w:rsidR="007169DF" w:rsidRPr="007169DF">
        <w:rPr>
          <w:lang w:eastAsia="nb-NO"/>
        </w:rPr>
        <w:t>oppholdsregler</w:t>
      </w:r>
      <w:proofErr w:type="spellEnd"/>
      <w:r w:rsidR="007169DF" w:rsidRPr="007169DF">
        <w:rPr>
          <w:lang w:eastAsia="nb-NO"/>
        </w:rPr>
        <w:t xml:space="preserve"> innenfor Schengen-samarbeidet</w:t>
      </w:r>
      <w:r w:rsidR="00CB2B35">
        <w:rPr>
          <w:lang w:eastAsia="nb-NO"/>
        </w:rPr>
        <w:t>, så vel som</w:t>
      </w:r>
      <w:r w:rsidR="0052499B">
        <w:rPr>
          <w:lang w:eastAsia="nb-NO"/>
        </w:rPr>
        <w:t xml:space="preserve"> </w:t>
      </w:r>
      <w:r w:rsidR="00C714AD">
        <w:rPr>
          <w:lang w:eastAsia="nb-NO"/>
        </w:rPr>
        <w:t>praktis</w:t>
      </w:r>
      <w:r w:rsidR="008F19AC">
        <w:rPr>
          <w:lang w:eastAsia="nb-NO"/>
        </w:rPr>
        <w:t xml:space="preserve">k </w:t>
      </w:r>
      <w:r w:rsidR="00435F8C">
        <w:rPr>
          <w:lang w:eastAsia="nb-NO"/>
        </w:rPr>
        <w:t>tilrettelegging</w:t>
      </w:r>
      <w:r w:rsidR="00327FB7">
        <w:rPr>
          <w:lang w:eastAsia="nb-NO"/>
        </w:rPr>
        <w:t xml:space="preserve"> </w:t>
      </w:r>
      <w:r w:rsidR="00CA23F2">
        <w:rPr>
          <w:lang w:eastAsia="nb-NO"/>
        </w:rPr>
        <w:t>og</w:t>
      </w:r>
      <w:r w:rsidR="005D1BAC">
        <w:rPr>
          <w:lang w:eastAsia="nb-NO"/>
        </w:rPr>
        <w:t xml:space="preserve"> </w:t>
      </w:r>
      <w:r w:rsidR="007169DF" w:rsidRPr="007169DF">
        <w:rPr>
          <w:lang w:eastAsia="nb-NO"/>
        </w:rPr>
        <w:t xml:space="preserve">økonomisk støtte gjennom </w:t>
      </w:r>
      <w:r w:rsidR="004371F3">
        <w:rPr>
          <w:lang w:eastAsia="nb-NO"/>
        </w:rPr>
        <w:t xml:space="preserve">lærestedenes deltakelse i </w:t>
      </w:r>
      <w:r w:rsidR="007169DF" w:rsidRPr="007169DF">
        <w:rPr>
          <w:lang w:eastAsia="nb-NO"/>
        </w:rPr>
        <w:t xml:space="preserve">det europeiske utdanningsprogrammet Erasmus+. </w:t>
      </w:r>
      <w:r w:rsidR="009D0C63">
        <w:rPr>
          <w:lang w:eastAsia="nb-NO"/>
        </w:rPr>
        <w:t>Programmet</w:t>
      </w:r>
      <w:r w:rsidR="007169DF" w:rsidRPr="007169DF">
        <w:rPr>
          <w:lang w:eastAsia="nb-NO"/>
        </w:rPr>
        <w:t xml:space="preserve"> omtales nærmere i kapittel</w:t>
      </w:r>
      <w:r w:rsidR="00AC4D7B">
        <w:rPr>
          <w:lang w:eastAsia="nb-NO"/>
        </w:rPr>
        <w:t xml:space="preserve"> </w:t>
      </w:r>
      <w:r w:rsidR="00EB134D">
        <w:rPr>
          <w:lang w:eastAsia="nb-NO"/>
        </w:rPr>
        <w:fldChar w:fldCharType="begin"/>
      </w:r>
      <w:r w:rsidR="00EB134D">
        <w:rPr>
          <w:lang w:eastAsia="nb-NO"/>
        </w:rPr>
        <w:instrText xml:space="preserve"> REF _Ref134373101 \r \h </w:instrText>
      </w:r>
      <w:r w:rsidR="00EB134D">
        <w:rPr>
          <w:lang w:eastAsia="nb-NO"/>
        </w:rPr>
      </w:r>
      <w:r w:rsidR="00EB134D">
        <w:rPr>
          <w:lang w:eastAsia="nb-NO"/>
        </w:rPr>
        <w:fldChar w:fldCharType="separate"/>
      </w:r>
      <w:r w:rsidR="00F262EF">
        <w:rPr>
          <w:lang w:eastAsia="nb-NO"/>
        </w:rPr>
        <w:t>2.19</w:t>
      </w:r>
      <w:r w:rsidR="00EB134D">
        <w:rPr>
          <w:lang w:eastAsia="nb-NO"/>
        </w:rPr>
        <w:fldChar w:fldCharType="end"/>
      </w:r>
      <w:r w:rsidR="007C05F6">
        <w:rPr>
          <w:lang w:eastAsia="nb-NO"/>
        </w:rPr>
        <w:t>.</w:t>
      </w:r>
    </w:p>
    <w:p w14:paraId="2DC02BF4" w14:textId="3C963CD6" w:rsidR="00E479FF" w:rsidRDefault="00E479FF" w:rsidP="00E479FF">
      <w:pPr>
        <w:pStyle w:val="Bildetekst"/>
        <w:keepNext/>
      </w:pPr>
      <w:bookmarkStart w:id="105" w:name="_Ref133166849"/>
      <w:bookmarkStart w:id="106" w:name="_Toc134792781"/>
      <w:r>
        <w:lastRenderedPageBreak/>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20</w:t>
      </w:r>
      <w:r>
        <w:fldChar w:fldCharType="end"/>
      </w:r>
      <w:bookmarkEnd w:id="105"/>
      <w:r>
        <w:t xml:space="preserve"> </w:t>
      </w:r>
      <w:r w:rsidRPr="0034453F">
        <w:t>Utreisende utvekslingsstudenter 2013–22, fem land med flest studenter. Antall</w:t>
      </w:r>
      <w:bookmarkEnd w:id="106"/>
    </w:p>
    <w:p w14:paraId="4BD2B80E" w14:textId="6172FB63" w:rsidR="00F74B30" w:rsidRDefault="00751406" w:rsidP="00EB540A">
      <w:pPr>
        <w:pStyle w:val="Kilde"/>
        <w:keepNext/>
        <w:keepLines/>
      </w:pPr>
      <w:r>
        <w:rPr>
          <w:noProof/>
        </w:rPr>
        <w:drawing>
          <wp:inline distT="0" distB="0" distL="0" distR="0" wp14:anchorId="37E68F62" wp14:editId="7D6A95D8">
            <wp:extent cx="5184140" cy="2877157"/>
            <wp:effectExtent l="0" t="0" r="16510" b="0"/>
            <wp:docPr id="29" name="Diagram 2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5F06E54" w14:textId="77777777" w:rsidR="0011059A" w:rsidRPr="0011059A" w:rsidRDefault="0011059A" w:rsidP="0011059A">
      <w:pPr>
        <w:spacing w:after="120" w:line="200" w:lineRule="atLeast"/>
        <w:rPr>
          <w:sz w:val="16"/>
        </w:rPr>
      </w:pPr>
      <w:r w:rsidRPr="0011059A">
        <w:rPr>
          <w:sz w:val="16"/>
        </w:rPr>
        <w:t>Figuren viser utvekslingsopphold over tre måneder</w:t>
      </w:r>
    </w:p>
    <w:p w14:paraId="722314CE" w14:textId="2A889770" w:rsidR="00E119F8" w:rsidRDefault="001E092D" w:rsidP="00645231">
      <w:pPr>
        <w:pStyle w:val="Kilde"/>
      </w:pPr>
      <w:r>
        <w:t xml:space="preserve">Kilde: </w:t>
      </w:r>
      <w:proofErr w:type="spellStart"/>
      <w:r>
        <w:t>DBH</w:t>
      </w:r>
      <w:proofErr w:type="spellEnd"/>
    </w:p>
    <w:p w14:paraId="548C55CB" w14:textId="5025972A" w:rsidR="00715E9D" w:rsidRPr="0002192E" w:rsidRDefault="00FB7886" w:rsidP="00CD1DE9">
      <w:pPr>
        <w:rPr>
          <w:lang w:eastAsia="nb-NO"/>
        </w:rPr>
      </w:pPr>
      <w:proofErr w:type="spellStart"/>
      <w:r>
        <w:rPr>
          <w:lang w:eastAsia="nb-NO"/>
        </w:rPr>
        <w:t>Vedleg</w:t>
      </w:r>
      <w:r w:rsidR="00EF0D9F">
        <w:rPr>
          <w:lang w:eastAsia="nb-NO"/>
        </w:rPr>
        <w:t>g</w:t>
      </w:r>
      <w:r>
        <w:rPr>
          <w:lang w:eastAsia="nb-NO"/>
        </w:rPr>
        <w:t>stabell</w:t>
      </w:r>
      <w:proofErr w:type="spellEnd"/>
      <w:r>
        <w:rPr>
          <w:lang w:eastAsia="nb-NO"/>
        </w:rPr>
        <w:t xml:space="preserve"> </w:t>
      </w:r>
      <w:hyperlink r:id="rId78" w:history="1">
        <w:r w:rsidR="00BD7404" w:rsidRPr="00AF5621">
          <w:rPr>
            <w:rStyle w:val="Hyperkobling"/>
            <w:lang w:eastAsia="nb-NO"/>
          </w:rPr>
          <w:t>V2.53</w:t>
        </w:r>
      </w:hyperlink>
      <w:r w:rsidR="00B365F2" w:rsidRPr="00B365F2">
        <w:rPr>
          <w:lang w:eastAsia="nb-NO"/>
        </w:rPr>
        <w:t xml:space="preserve"> </w:t>
      </w:r>
      <w:r w:rsidR="00B365F2">
        <w:rPr>
          <w:lang w:eastAsia="nb-NO"/>
        </w:rPr>
        <w:t>viser hvor de innreisende utvekslingsstudentene kommer fr</w:t>
      </w:r>
      <w:r w:rsidR="00ED69F5">
        <w:rPr>
          <w:lang w:eastAsia="nb-NO"/>
        </w:rPr>
        <w:t xml:space="preserve">a. </w:t>
      </w:r>
      <w:r w:rsidR="00E4707F">
        <w:rPr>
          <w:lang w:eastAsia="nb-NO"/>
        </w:rPr>
        <w:t>De siste ti årene</w:t>
      </w:r>
      <w:r w:rsidR="00B56CE6" w:rsidRPr="00B56CE6">
        <w:rPr>
          <w:lang w:eastAsia="nb-NO"/>
        </w:rPr>
        <w:t xml:space="preserve"> har stadig flere av de tilreisende utvekslingsstudentene kommet fra EU, mens</w:t>
      </w:r>
      <w:r w:rsidR="007B6ACF">
        <w:rPr>
          <w:lang w:eastAsia="nb-NO"/>
        </w:rPr>
        <w:t xml:space="preserve"> mange </w:t>
      </w:r>
      <w:r w:rsidR="00441A17">
        <w:rPr>
          <w:lang w:eastAsia="nb-NO"/>
        </w:rPr>
        <w:t xml:space="preserve">av </w:t>
      </w:r>
      <w:r w:rsidR="001A7A21">
        <w:rPr>
          <w:lang w:eastAsia="nb-NO"/>
        </w:rPr>
        <w:t xml:space="preserve">de store </w:t>
      </w:r>
      <w:r w:rsidR="007B6ACF">
        <w:rPr>
          <w:lang w:eastAsia="nb-NO"/>
        </w:rPr>
        <w:t>land</w:t>
      </w:r>
      <w:r w:rsidR="00441A17">
        <w:rPr>
          <w:lang w:eastAsia="nb-NO"/>
        </w:rPr>
        <w:t>ene</w:t>
      </w:r>
      <w:r w:rsidR="007B6ACF">
        <w:rPr>
          <w:lang w:eastAsia="nb-NO"/>
        </w:rPr>
        <w:t xml:space="preserve"> utenfor, </w:t>
      </w:r>
      <w:r w:rsidR="00B56CE6" w:rsidRPr="00B56CE6">
        <w:rPr>
          <w:lang w:eastAsia="nb-NO"/>
        </w:rPr>
        <w:t>særlig Russland og til dels Kina</w:t>
      </w:r>
      <w:r w:rsidR="007B6ACF">
        <w:rPr>
          <w:lang w:eastAsia="nb-NO"/>
        </w:rPr>
        <w:t>,</w:t>
      </w:r>
      <w:r w:rsidR="00B56CE6" w:rsidRPr="00B56CE6">
        <w:rPr>
          <w:lang w:eastAsia="nb-NO"/>
        </w:rPr>
        <w:t xml:space="preserve"> har hatt en betydelig nedgang.</w:t>
      </w:r>
      <w:r w:rsidR="001B10FB">
        <w:rPr>
          <w:lang w:eastAsia="nb-NO"/>
        </w:rPr>
        <w:t xml:space="preserve"> </w:t>
      </w:r>
      <w:r w:rsidR="001B561E">
        <w:rPr>
          <w:lang w:eastAsia="nb-NO"/>
        </w:rPr>
        <w:t xml:space="preserve">Til en viss grad </w:t>
      </w:r>
      <w:r w:rsidR="007718D1">
        <w:rPr>
          <w:lang w:eastAsia="nb-NO"/>
        </w:rPr>
        <w:t xml:space="preserve">speiler </w:t>
      </w:r>
      <w:r w:rsidR="005E0ED8">
        <w:rPr>
          <w:lang w:eastAsia="nb-NO"/>
        </w:rPr>
        <w:t xml:space="preserve">den geografiske </w:t>
      </w:r>
      <w:r w:rsidR="009040FA">
        <w:rPr>
          <w:lang w:eastAsia="nb-NO"/>
        </w:rPr>
        <w:t>utviklingen i</w:t>
      </w:r>
      <w:r w:rsidR="005A5AEA">
        <w:rPr>
          <w:lang w:eastAsia="nb-NO"/>
        </w:rPr>
        <w:t xml:space="preserve"> inn</w:t>
      </w:r>
      <w:r w:rsidR="00383AFD">
        <w:rPr>
          <w:lang w:eastAsia="nb-NO"/>
        </w:rPr>
        <w:t>- og utveksling</w:t>
      </w:r>
      <w:r w:rsidR="009040FA">
        <w:rPr>
          <w:lang w:eastAsia="nb-NO"/>
        </w:rPr>
        <w:t xml:space="preserve"> </w:t>
      </w:r>
      <w:r w:rsidR="001B561E">
        <w:rPr>
          <w:lang w:eastAsia="nb-NO"/>
        </w:rPr>
        <w:t xml:space="preserve">dermed </w:t>
      </w:r>
      <w:r w:rsidR="009040FA">
        <w:rPr>
          <w:lang w:eastAsia="nb-NO"/>
        </w:rPr>
        <w:t>hverandre</w:t>
      </w:r>
      <w:r w:rsidR="001B561E">
        <w:rPr>
          <w:lang w:eastAsia="nb-NO"/>
        </w:rPr>
        <w:t xml:space="preserve">, </w:t>
      </w:r>
      <w:r w:rsidR="00AD65BF">
        <w:rPr>
          <w:lang w:eastAsia="nb-NO"/>
        </w:rPr>
        <w:t xml:space="preserve">men uten </w:t>
      </w:r>
      <w:r w:rsidR="00224BF4">
        <w:rPr>
          <w:lang w:eastAsia="nb-NO"/>
        </w:rPr>
        <w:t xml:space="preserve">at det er </w:t>
      </w:r>
      <w:r w:rsidR="00383AFD">
        <w:rPr>
          <w:lang w:eastAsia="nb-NO"/>
        </w:rPr>
        <w:t xml:space="preserve">balanse </w:t>
      </w:r>
      <w:r w:rsidR="0066147E">
        <w:rPr>
          <w:lang w:eastAsia="nb-NO"/>
        </w:rPr>
        <w:t>og gjen</w:t>
      </w:r>
      <w:r w:rsidR="00CA159A">
        <w:rPr>
          <w:lang w:eastAsia="nb-NO"/>
        </w:rPr>
        <w:t>sidighet</w:t>
      </w:r>
      <w:r w:rsidR="00D8006E">
        <w:rPr>
          <w:lang w:eastAsia="nb-NO"/>
        </w:rPr>
        <w:t xml:space="preserve"> per land</w:t>
      </w:r>
      <w:r w:rsidR="00CA159A">
        <w:rPr>
          <w:lang w:eastAsia="nb-NO"/>
        </w:rPr>
        <w:t xml:space="preserve"> i mobiliteten. </w:t>
      </w:r>
      <w:r w:rsidR="00F867EB">
        <w:rPr>
          <w:lang w:eastAsia="nb-NO"/>
        </w:rPr>
        <w:t xml:space="preserve">Den største gruppen </w:t>
      </w:r>
      <w:r w:rsidR="00FA1D7D">
        <w:rPr>
          <w:lang w:eastAsia="nb-NO"/>
        </w:rPr>
        <w:t>studenter</w:t>
      </w:r>
      <w:r w:rsidR="00221595">
        <w:rPr>
          <w:lang w:eastAsia="nb-NO"/>
        </w:rPr>
        <w:t xml:space="preserve"> </w:t>
      </w:r>
      <w:r w:rsidR="00FA1D7D">
        <w:rPr>
          <w:lang w:eastAsia="nb-NO"/>
        </w:rPr>
        <w:t xml:space="preserve">på utveksling </w:t>
      </w:r>
      <w:r w:rsidR="006005E3">
        <w:rPr>
          <w:lang w:eastAsia="nb-NO"/>
        </w:rPr>
        <w:t xml:space="preserve">til Norge </w:t>
      </w:r>
      <w:r w:rsidR="00B32B53">
        <w:rPr>
          <w:lang w:eastAsia="nb-NO"/>
        </w:rPr>
        <w:t>kommer fra Tyskland</w:t>
      </w:r>
      <w:r w:rsidR="00FA1D7D" w:rsidRPr="00FA1D7D">
        <w:rPr>
          <w:lang w:eastAsia="nb-NO"/>
        </w:rPr>
        <w:t xml:space="preserve">, </w:t>
      </w:r>
      <w:r w:rsidR="003807B7">
        <w:rPr>
          <w:lang w:eastAsia="nb-NO"/>
        </w:rPr>
        <w:t>i underkant av</w:t>
      </w:r>
      <w:r w:rsidR="00244F35">
        <w:rPr>
          <w:lang w:eastAsia="nb-NO"/>
        </w:rPr>
        <w:t xml:space="preserve"> 2 300 studenter. Dette tilsvarer </w:t>
      </w:r>
      <w:r w:rsidR="00FA1D7D" w:rsidRPr="00FA1D7D">
        <w:rPr>
          <w:lang w:eastAsia="nb-NO"/>
        </w:rPr>
        <w:t>22 prosent</w:t>
      </w:r>
      <w:r w:rsidR="00DA3D07">
        <w:rPr>
          <w:lang w:eastAsia="nb-NO"/>
        </w:rPr>
        <w:t xml:space="preserve"> av </w:t>
      </w:r>
      <w:r w:rsidR="00244F35">
        <w:rPr>
          <w:lang w:eastAsia="nb-NO"/>
        </w:rPr>
        <w:t>alle utvekslings</w:t>
      </w:r>
      <w:r w:rsidR="00DA3D07">
        <w:rPr>
          <w:lang w:eastAsia="nb-NO"/>
        </w:rPr>
        <w:t>studentene</w:t>
      </w:r>
      <w:r w:rsidR="00BD4CDC">
        <w:rPr>
          <w:lang w:eastAsia="nb-NO"/>
        </w:rPr>
        <w:t xml:space="preserve"> i Norge</w:t>
      </w:r>
      <w:r w:rsidR="004B7341">
        <w:rPr>
          <w:lang w:eastAsia="nb-NO"/>
        </w:rPr>
        <w:t>, og l</w:t>
      </w:r>
      <w:r w:rsidR="006C1F0C">
        <w:rPr>
          <w:lang w:eastAsia="nb-NO"/>
        </w:rPr>
        <w:t xml:space="preserve">andet har hatt </w:t>
      </w:r>
      <w:r w:rsidR="00A35D1C">
        <w:rPr>
          <w:lang w:eastAsia="nb-NO"/>
        </w:rPr>
        <w:t xml:space="preserve">en </w:t>
      </w:r>
      <w:r w:rsidR="006C48B7">
        <w:rPr>
          <w:lang w:eastAsia="nb-NO"/>
        </w:rPr>
        <w:t>n</w:t>
      </w:r>
      <w:r w:rsidR="008A0F8A">
        <w:rPr>
          <w:lang w:eastAsia="nb-NO"/>
        </w:rPr>
        <w:t>ær dob</w:t>
      </w:r>
      <w:r w:rsidR="00A35D1C">
        <w:rPr>
          <w:lang w:eastAsia="nb-NO"/>
        </w:rPr>
        <w:t>ling</w:t>
      </w:r>
      <w:r w:rsidR="007168F2">
        <w:rPr>
          <w:lang w:eastAsia="nb-NO"/>
        </w:rPr>
        <w:t xml:space="preserve"> av</w:t>
      </w:r>
      <w:r w:rsidR="00A35D1C">
        <w:rPr>
          <w:lang w:eastAsia="nb-NO"/>
        </w:rPr>
        <w:t xml:space="preserve"> </w:t>
      </w:r>
      <w:r w:rsidR="007A645F">
        <w:rPr>
          <w:lang w:eastAsia="nb-NO"/>
        </w:rPr>
        <w:t>utveksl</w:t>
      </w:r>
      <w:r w:rsidR="00DA56F2">
        <w:rPr>
          <w:lang w:eastAsia="nb-NO"/>
        </w:rPr>
        <w:t>ings</w:t>
      </w:r>
      <w:r w:rsidR="007A645F">
        <w:rPr>
          <w:lang w:eastAsia="nb-NO"/>
        </w:rPr>
        <w:t xml:space="preserve">studenter til </w:t>
      </w:r>
      <w:r w:rsidR="003807B7">
        <w:rPr>
          <w:lang w:eastAsia="nb-NO"/>
        </w:rPr>
        <w:t>norske læresteder</w:t>
      </w:r>
      <w:r w:rsidR="007A645F">
        <w:rPr>
          <w:lang w:eastAsia="nb-NO"/>
        </w:rPr>
        <w:t xml:space="preserve"> </w:t>
      </w:r>
      <w:r w:rsidR="00F05E06">
        <w:rPr>
          <w:lang w:eastAsia="nb-NO"/>
        </w:rPr>
        <w:t xml:space="preserve">de siste </w:t>
      </w:r>
      <w:r w:rsidR="009328C6">
        <w:rPr>
          <w:lang w:eastAsia="nb-NO"/>
        </w:rPr>
        <w:t>ti år</w:t>
      </w:r>
      <w:r w:rsidR="00F05E06">
        <w:rPr>
          <w:lang w:eastAsia="nb-NO"/>
        </w:rPr>
        <w:t>ene</w:t>
      </w:r>
      <w:r w:rsidR="009328C6">
        <w:rPr>
          <w:lang w:eastAsia="nb-NO"/>
        </w:rPr>
        <w:t xml:space="preserve">. </w:t>
      </w:r>
      <w:r w:rsidR="006C1F0C">
        <w:rPr>
          <w:lang w:eastAsia="nb-NO"/>
        </w:rPr>
        <w:t>Den nest største gruppen</w:t>
      </w:r>
      <w:r w:rsidR="008476CE">
        <w:rPr>
          <w:lang w:eastAsia="nb-NO"/>
        </w:rPr>
        <w:t xml:space="preserve"> </w:t>
      </w:r>
      <w:r w:rsidR="007D2C33">
        <w:rPr>
          <w:lang w:eastAsia="nb-NO"/>
        </w:rPr>
        <w:t xml:space="preserve">kommer fra </w:t>
      </w:r>
      <w:r w:rsidR="00BA6796">
        <w:rPr>
          <w:lang w:eastAsia="nb-NO"/>
        </w:rPr>
        <w:t>Frankrike</w:t>
      </w:r>
      <w:r w:rsidR="008476CE">
        <w:rPr>
          <w:lang w:eastAsia="nb-NO"/>
        </w:rPr>
        <w:t>, med</w:t>
      </w:r>
      <w:r w:rsidR="008476CE" w:rsidDel="004B7341">
        <w:rPr>
          <w:lang w:eastAsia="nb-NO"/>
        </w:rPr>
        <w:t xml:space="preserve"> </w:t>
      </w:r>
      <w:r w:rsidR="003807B7">
        <w:rPr>
          <w:lang w:eastAsia="nb-NO"/>
        </w:rPr>
        <w:t>knappe</w:t>
      </w:r>
      <w:r w:rsidR="004B7341">
        <w:rPr>
          <w:lang w:eastAsia="nb-NO"/>
        </w:rPr>
        <w:t xml:space="preserve"> 1 500 studenter</w:t>
      </w:r>
      <w:r w:rsidR="009E740F">
        <w:rPr>
          <w:lang w:eastAsia="nb-NO"/>
        </w:rPr>
        <w:t xml:space="preserve">. Også her </w:t>
      </w:r>
      <w:r w:rsidR="00C5164D">
        <w:rPr>
          <w:lang w:eastAsia="nb-NO"/>
        </w:rPr>
        <w:t xml:space="preserve">har det vært en </w:t>
      </w:r>
      <w:r w:rsidR="00E937EB">
        <w:rPr>
          <w:lang w:eastAsia="nb-NO"/>
        </w:rPr>
        <w:t xml:space="preserve">nær </w:t>
      </w:r>
      <w:r w:rsidR="00D429E4">
        <w:rPr>
          <w:lang w:eastAsia="nb-NO"/>
        </w:rPr>
        <w:t>dobling på ti å</w:t>
      </w:r>
      <w:r w:rsidR="00514F8E">
        <w:rPr>
          <w:lang w:eastAsia="nb-NO"/>
        </w:rPr>
        <w:t xml:space="preserve">r. </w:t>
      </w:r>
      <w:r w:rsidR="00C262FE">
        <w:rPr>
          <w:lang w:eastAsia="nb-NO"/>
        </w:rPr>
        <w:t xml:space="preserve">Institusjonenes </w:t>
      </w:r>
      <w:r w:rsidR="002E54E0">
        <w:rPr>
          <w:lang w:eastAsia="nb-NO"/>
        </w:rPr>
        <w:t>tall for</w:t>
      </w:r>
      <w:r w:rsidR="00384848">
        <w:rPr>
          <w:lang w:eastAsia="nb-NO"/>
        </w:rPr>
        <w:t xml:space="preserve"> </w:t>
      </w:r>
      <w:r w:rsidR="0082184A">
        <w:rPr>
          <w:lang w:eastAsia="nb-NO"/>
        </w:rPr>
        <w:t xml:space="preserve">henholdsvis </w:t>
      </w:r>
      <w:r w:rsidR="00384848">
        <w:rPr>
          <w:lang w:eastAsia="nb-NO"/>
        </w:rPr>
        <w:t>utreisende</w:t>
      </w:r>
      <w:r w:rsidR="008652F1" w:rsidRPr="008652F1">
        <w:rPr>
          <w:lang w:eastAsia="nb-NO"/>
        </w:rPr>
        <w:t xml:space="preserve"> </w:t>
      </w:r>
      <w:r w:rsidR="00E5229C">
        <w:rPr>
          <w:lang w:eastAsia="nb-NO"/>
        </w:rPr>
        <w:t xml:space="preserve">og </w:t>
      </w:r>
      <w:r w:rsidR="00E5229C" w:rsidRPr="00E5229C">
        <w:rPr>
          <w:lang w:eastAsia="nb-NO"/>
        </w:rPr>
        <w:t xml:space="preserve">innreisende </w:t>
      </w:r>
      <w:r w:rsidR="008652F1" w:rsidRPr="008F1C4A">
        <w:rPr>
          <w:lang w:eastAsia="nb-NO"/>
        </w:rPr>
        <w:t xml:space="preserve">utvekslingsstudenter </w:t>
      </w:r>
      <w:r w:rsidR="008652F1">
        <w:rPr>
          <w:lang w:eastAsia="nb-NO"/>
        </w:rPr>
        <w:t xml:space="preserve">siste ti år framgår av vedleggstabellene </w:t>
      </w:r>
      <w:hyperlink r:id="rId79" w:history="1">
        <w:r w:rsidR="00B91F49" w:rsidRPr="00F61455">
          <w:rPr>
            <w:rStyle w:val="Hyperkobling"/>
            <w:lang w:eastAsia="nb-NO"/>
          </w:rPr>
          <w:t>V</w:t>
        </w:r>
        <w:r w:rsidR="008652F1" w:rsidRPr="00F61455">
          <w:rPr>
            <w:rStyle w:val="Hyperkobling"/>
            <w:lang w:eastAsia="nb-NO"/>
          </w:rPr>
          <w:t>2</w:t>
        </w:r>
        <w:r w:rsidR="00E5229C" w:rsidRPr="00F61455">
          <w:rPr>
            <w:rStyle w:val="Hyperkobling"/>
            <w:lang w:eastAsia="nb-NO"/>
          </w:rPr>
          <w:t>.</w:t>
        </w:r>
        <w:r w:rsidR="006F3EC8" w:rsidRPr="00F61455">
          <w:rPr>
            <w:rStyle w:val="Hyperkobling"/>
            <w:lang w:eastAsia="nb-NO"/>
          </w:rPr>
          <w:t>52</w:t>
        </w:r>
      </w:hyperlink>
      <w:r w:rsidR="006F3EC8">
        <w:rPr>
          <w:lang w:eastAsia="nb-NO"/>
        </w:rPr>
        <w:t xml:space="preserve"> og </w:t>
      </w:r>
      <w:hyperlink r:id="rId80" w:history="1">
        <w:r w:rsidR="00B91F49" w:rsidRPr="00F61455">
          <w:rPr>
            <w:rStyle w:val="Hyperkobling"/>
            <w:lang w:eastAsia="nb-NO"/>
          </w:rPr>
          <w:t>V</w:t>
        </w:r>
        <w:r w:rsidR="006F3EC8" w:rsidRPr="00F61455">
          <w:rPr>
            <w:rStyle w:val="Hyperkobling"/>
            <w:lang w:eastAsia="nb-NO"/>
          </w:rPr>
          <w:t>2.5</w:t>
        </w:r>
        <w:r w:rsidR="00277C6E" w:rsidRPr="00F61455">
          <w:rPr>
            <w:rStyle w:val="Hyperkobling"/>
            <w:lang w:eastAsia="nb-NO"/>
          </w:rPr>
          <w:t>4</w:t>
        </w:r>
      </w:hyperlink>
      <w:r w:rsidR="00B91F49">
        <w:rPr>
          <w:lang w:eastAsia="nb-NO"/>
        </w:rPr>
        <w:t xml:space="preserve">. </w:t>
      </w:r>
      <w:r w:rsidR="00715E9D">
        <w:br w:type="page"/>
      </w:r>
    </w:p>
    <w:p w14:paraId="4BF01A35" w14:textId="40DFC939" w:rsidR="00C40545" w:rsidRDefault="00C40545" w:rsidP="00AE4B98">
      <w:pPr>
        <w:pStyle w:val="Overskrift3"/>
      </w:pPr>
      <w:bookmarkStart w:id="107" w:name="_Ref134373101"/>
      <w:bookmarkStart w:id="108" w:name="_Toc134792735"/>
      <w:r w:rsidRPr="00C40545">
        <w:lastRenderedPageBreak/>
        <w:t xml:space="preserve">Erasmus+ </w:t>
      </w:r>
      <w:r w:rsidR="00AF1B35" w:rsidRPr="00C004A6">
        <w:t>–</w:t>
      </w:r>
      <w:r>
        <w:t xml:space="preserve"> </w:t>
      </w:r>
      <w:r w:rsidRPr="00C40545">
        <w:t>nasjonal styringsparameter</w:t>
      </w:r>
      <w:bookmarkEnd w:id="107"/>
      <w:bookmarkEnd w:id="108"/>
    </w:p>
    <w:p w14:paraId="16A29E64" w14:textId="18FEB453" w:rsidR="00123607" w:rsidRDefault="00111253" w:rsidP="003873E7">
      <w:r>
        <w:t xml:space="preserve">Europa er </w:t>
      </w:r>
      <w:r w:rsidR="00D1729F">
        <w:t xml:space="preserve">et </w:t>
      </w:r>
      <w:r>
        <w:t xml:space="preserve">høyt prioritert </w:t>
      </w:r>
      <w:r w:rsidR="00F226CA">
        <w:t>område for</w:t>
      </w:r>
      <w:r w:rsidR="00B869C0">
        <w:t xml:space="preserve"> norsk</w:t>
      </w:r>
      <w:r w:rsidR="00F226CA">
        <w:t xml:space="preserve"> utdanningssamarbeid</w:t>
      </w:r>
      <w:r w:rsidR="00B869C0">
        <w:t xml:space="preserve">, og </w:t>
      </w:r>
      <w:r w:rsidR="00C45DF4">
        <w:t xml:space="preserve">norsk deltakelse i </w:t>
      </w:r>
      <w:r w:rsidR="00B869C0">
        <w:t>Erasmus</w:t>
      </w:r>
      <w:r w:rsidR="005B58CD">
        <w:t xml:space="preserve">+ er </w:t>
      </w:r>
      <w:r w:rsidR="001817BA">
        <w:t xml:space="preserve">viktig i </w:t>
      </w:r>
      <w:r w:rsidR="00C45DF4">
        <w:t>denne sammenhengen.</w:t>
      </w:r>
      <w:r>
        <w:t xml:space="preserve"> </w:t>
      </w:r>
      <w:r w:rsidR="0076458F">
        <w:fldChar w:fldCharType="begin"/>
      </w:r>
      <w:r w:rsidR="0076458F">
        <w:instrText xml:space="preserve"> REF _Ref133166897 \h </w:instrText>
      </w:r>
      <w:r w:rsidR="0076458F">
        <w:fldChar w:fldCharType="separate"/>
      </w:r>
      <w:r w:rsidR="00F262EF">
        <w:t xml:space="preserve">Figur </w:t>
      </w:r>
      <w:r w:rsidR="00F262EF">
        <w:rPr>
          <w:noProof/>
        </w:rPr>
        <w:t>2</w:t>
      </w:r>
      <w:r w:rsidR="00F262EF">
        <w:t>.</w:t>
      </w:r>
      <w:r w:rsidR="00F262EF">
        <w:rPr>
          <w:noProof/>
        </w:rPr>
        <w:t>21</w:t>
      </w:r>
      <w:r w:rsidR="0076458F">
        <w:fldChar w:fldCharType="end"/>
      </w:r>
      <w:r w:rsidR="0004640A">
        <w:t xml:space="preserve"> viser utreisende utvekslingsstudenter fra Norge </w:t>
      </w:r>
      <w:r w:rsidR="000835D8">
        <w:t xml:space="preserve">på Erasmus+ </w:t>
      </w:r>
      <w:r w:rsidR="0004640A">
        <w:t xml:space="preserve">som andel av alle studenter. Etter en kraftig nedgang </w:t>
      </w:r>
      <w:r w:rsidR="003A5A18">
        <w:t xml:space="preserve">under pandemien </w:t>
      </w:r>
      <w:r w:rsidR="0004640A">
        <w:t>i 2020</w:t>
      </w:r>
      <w:r w:rsidR="003A5A18">
        <w:t xml:space="preserve"> og en svak oppgang</w:t>
      </w:r>
      <w:r w:rsidR="0004640A">
        <w:t xml:space="preserve"> i 2021,</w:t>
      </w:r>
      <w:r w:rsidR="00286F53">
        <w:t xml:space="preserve"> </w:t>
      </w:r>
      <w:r w:rsidR="00872994">
        <w:t xml:space="preserve">er </w:t>
      </w:r>
      <w:r w:rsidR="00B26E3F">
        <w:t xml:space="preserve">det i 2022 en </w:t>
      </w:r>
      <w:r w:rsidR="00AC04CA">
        <w:t>be</w:t>
      </w:r>
      <w:r w:rsidR="00E6453B">
        <w:t>tydelig</w:t>
      </w:r>
      <w:r w:rsidR="00123607">
        <w:t xml:space="preserve"> </w:t>
      </w:r>
      <w:r w:rsidR="00621A2C">
        <w:t>vekst</w:t>
      </w:r>
      <w:r w:rsidR="00235D3C">
        <w:t>. I</w:t>
      </w:r>
      <w:r w:rsidR="00DD773D">
        <w:t xml:space="preserve"> </w:t>
      </w:r>
      <w:r w:rsidR="00F22D2B">
        <w:t xml:space="preserve">løpet av 2022 var </w:t>
      </w:r>
      <w:r w:rsidR="0006487C">
        <w:t xml:space="preserve">1,48 prosent av </w:t>
      </w:r>
      <w:r w:rsidR="005F7C72">
        <w:t>alle</w:t>
      </w:r>
      <w:r w:rsidR="00DD773D">
        <w:t xml:space="preserve"> </w:t>
      </w:r>
      <w:r w:rsidR="00FE6FB1">
        <w:t>studenter ved norske utdanningsinstitusjoner på utveksling gjennom programmet</w:t>
      </w:r>
      <w:r w:rsidR="006E7111">
        <w:t xml:space="preserve">. </w:t>
      </w:r>
      <w:r w:rsidR="00FE2E9C">
        <w:t xml:space="preserve">Dette er et historisk </w:t>
      </w:r>
      <w:r w:rsidR="000166DD">
        <w:t xml:space="preserve">sterkt </w:t>
      </w:r>
      <w:r w:rsidR="00FE2E9C">
        <w:t>resultat for Erasmus</w:t>
      </w:r>
      <w:r w:rsidR="007C12CD">
        <w:t xml:space="preserve"> i Norge</w:t>
      </w:r>
      <w:r w:rsidR="004E486A">
        <w:t xml:space="preserve">, og programmet </w:t>
      </w:r>
      <w:r w:rsidR="002F0F8D">
        <w:t>fram</w:t>
      </w:r>
      <w:r w:rsidR="004E486A">
        <w:t xml:space="preserve">står som </w:t>
      </w:r>
      <w:r w:rsidR="0010579C">
        <w:t>en</w:t>
      </w:r>
      <w:r w:rsidR="008F607E" w:rsidRPr="008F607E">
        <w:t xml:space="preserve"> sterk </w:t>
      </w:r>
      <w:r w:rsidR="0010579C">
        <w:t>katalysator</w:t>
      </w:r>
      <w:r w:rsidR="008F607E" w:rsidRPr="008F607E">
        <w:t xml:space="preserve"> </w:t>
      </w:r>
      <w:r w:rsidR="009F5877">
        <w:t>for</w:t>
      </w:r>
      <w:r w:rsidR="008F607E" w:rsidRPr="008F607E">
        <w:t xml:space="preserve"> å få studentmobilitet</w:t>
      </w:r>
      <w:r w:rsidR="00A44725">
        <w:t>en i gang</w:t>
      </w:r>
      <w:r w:rsidR="008F607E" w:rsidRPr="008F607E">
        <w:t xml:space="preserve"> etter pandemien</w:t>
      </w:r>
      <w:r w:rsidR="0091276A">
        <w:t>.</w:t>
      </w:r>
      <w:r w:rsidR="00A46F14">
        <w:t xml:space="preserve"> </w:t>
      </w:r>
    </w:p>
    <w:p w14:paraId="6C244940" w14:textId="089687B7" w:rsidR="007750C1" w:rsidRPr="003873E7" w:rsidRDefault="0076458F" w:rsidP="0076458F">
      <w:pPr>
        <w:pStyle w:val="Bildetekst"/>
        <w:rPr>
          <w:lang w:eastAsia="nb-NO"/>
        </w:rPr>
      </w:pPr>
      <w:bookmarkStart w:id="109" w:name="_Ref133166897"/>
      <w:bookmarkStart w:id="110" w:name="_Toc134792782"/>
      <w:r>
        <w:t xml:space="preserve">Figur </w:t>
      </w:r>
      <w:r>
        <w:fldChar w:fldCharType="begin"/>
      </w:r>
      <w:r>
        <w:instrText>STYLEREF 1 \s</w:instrText>
      </w:r>
      <w:r>
        <w:fldChar w:fldCharType="separate"/>
      </w:r>
      <w:r w:rsidR="00F262EF">
        <w:rPr>
          <w:noProof/>
        </w:rPr>
        <w:t>2</w:t>
      </w:r>
      <w:r>
        <w:fldChar w:fldCharType="end"/>
      </w:r>
      <w:r w:rsidR="004F2208">
        <w:t>.</w:t>
      </w:r>
      <w:r>
        <w:fldChar w:fldCharType="begin"/>
      </w:r>
      <w:r>
        <w:instrText>SEQ Figur \* ARABIC \s 1</w:instrText>
      </w:r>
      <w:r>
        <w:fldChar w:fldCharType="separate"/>
      </w:r>
      <w:r w:rsidR="00F262EF">
        <w:rPr>
          <w:noProof/>
        </w:rPr>
        <w:t>21</w:t>
      </w:r>
      <w:r>
        <w:fldChar w:fldCharType="end"/>
      </w:r>
      <w:bookmarkEnd w:id="109"/>
      <w:r>
        <w:t xml:space="preserve"> </w:t>
      </w:r>
      <w:r w:rsidRPr="00E76506">
        <w:t>Utreisende utvekslingsstudenter på Erasmus+ 2014–21 av totalt antall studenter. Prosent</w:t>
      </w:r>
      <w:bookmarkEnd w:id="110"/>
      <w:r w:rsidR="003873E7" w:rsidRPr="003873E7">
        <w:rPr>
          <w:lang w:eastAsia="nb-NO"/>
        </w:rPr>
        <w:t xml:space="preserve"> </w:t>
      </w:r>
    </w:p>
    <w:p w14:paraId="70FDBB10" w14:textId="5049C1D0" w:rsidR="007750C1" w:rsidRDefault="007750C1" w:rsidP="007750C1">
      <w:r>
        <w:rPr>
          <w:noProof/>
        </w:rPr>
        <w:drawing>
          <wp:inline distT="0" distB="0" distL="0" distR="0" wp14:anchorId="389D32BD" wp14:editId="1C74C421">
            <wp:extent cx="5184140" cy="2267712"/>
            <wp:effectExtent l="0" t="0" r="16510" b="18415"/>
            <wp:docPr id="22" name="Diagram 22">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F1B23FF" w14:textId="77777777" w:rsidR="00CC6E3E" w:rsidRPr="00CC6E3E" w:rsidRDefault="00CC6E3E" w:rsidP="00CC6E3E">
      <w:pPr>
        <w:pStyle w:val="Kilde"/>
        <w:rPr>
          <w:lang w:eastAsia="nb-NO"/>
        </w:rPr>
      </w:pPr>
      <w:r w:rsidRPr="00CC6E3E">
        <w:rPr>
          <w:lang w:eastAsia="nb-NO"/>
        </w:rPr>
        <w:t xml:space="preserve">Kilde: </w:t>
      </w:r>
      <w:proofErr w:type="spellStart"/>
      <w:r w:rsidRPr="00CC6E3E">
        <w:rPr>
          <w:lang w:eastAsia="nb-NO"/>
        </w:rPr>
        <w:t>DBH</w:t>
      </w:r>
      <w:proofErr w:type="spellEnd"/>
    </w:p>
    <w:p w14:paraId="22BCA00D" w14:textId="29239173" w:rsidR="00C0668D" w:rsidRDefault="00DA2C7C" w:rsidP="00C0668D">
      <w:r>
        <w:t xml:space="preserve">Det er </w:t>
      </w:r>
      <w:r w:rsidR="007F647A">
        <w:t xml:space="preserve">nå </w:t>
      </w:r>
      <w:r>
        <w:t xml:space="preserve">42 prosent flere studenter på utveksling fra Norge </w:t>
      </w:r>
      <w:r w:rsidR="00FB5B98">
        <w:t>gjennom Erasmus+ enn før pandemien (2019)</w:t>
      </w:r>
      <w:r w:rsidR="00214590">
        <w:t xml:space="preserve">, og denne økningen har </w:t>
      </w:r>
      <w:r w:rsidR="00EA6D44">
        <w:t>funnet sted</w:t>
      </w:r>
      <w:r w:rsidR="00214590">
        <w:t xml:space="preserve"> </w:t>
      </w:r>
      <w:r w:rsidR="003E48BC">
        <w:t>siste år</w:t>
      </w:r>
      <w:r w:rsidR="003C71A9">
        <w:t xml:space="preserve">. </w:t>
      </w:r>
      <w:r w:rsidR="00550834">
        <w:t xml:space="preserve">Det reiste </w:t>
      </w:r>
      <w:r w:rsidR="004A2D0A">
        <w:t xml:space="preserve">nesten </w:t>
      </w:r>
      <w:r w:rsidR="00550834">
        <w:t xml:space="preserve">dobbelt så mange studenter på utveksling </w:t>
      </w:r>
      <w:r w:rsidR="004A2D0A">
        <w:t xml:space="preserve">fra Norge </w:t>
      </w:r>
      <w:r w:rsidR="00550834">
        <w:t xml:space="preserve">gjennom programmet </w:t>
      </w:r>
      <w:r w:rsidR="004A2D0A">
        <w:t xml:space="preserve">i 2022 </w:t>
      </w:r>
      <w:r w:rsidR="00AB05FA">
        <w:t>(4 1</w:t>
      </w:r>
      <w:r w:rsidR="00F1149A">
        <w:t>00</w:t>
      </w:r>
      <w:r w:rsidR="00AB05FA">
        <w:t xml:space="preserve"> studenter) </w:t>
      </w:r>
      <w:r w:rsidR="004A2D0A">
        <w:t>som i 2021</w:t>
      </w:r>
      <w:r w:rsidR="00AB05FA">
        <w:t xml:space="preserve"> (2</w:t>
      </w:r>
      <w:r w:rsidR="003D6FB0">
        <w:t> 1</w:t>
      </w:r>
      <w:r w:rsidR="00F1149A">
        <w:t>00</w:t>
      </w:r>
      <w:r w:rsidR="003D6FB0">
        <w:t xml:space="preserve"> studenter)</w:t>
      </w:r>
      <w:r w:rsidR="00AB05FA">
        <w:t xml:space="preserve">. </w:t>
      </w:r>
      <w:r w:rsidR="007722B7">
        <w:t xml:space="preserve">Dette går fram av </w:t>
      </w:r>
      <w:proofErr w:type="spellStart"/>
      <w:r w:rsidR="007722B7">
        <w:t>vedleggstabell</w:t>
      </w:r>
      <w:proofErr w:type="spellEnd"/>
      <w:r w:rsidR="007722B7">
        <w:t xml:space="preserve"> </w:t>
      </w:r>
      <w:hyperlink r:id="rId82" w:history="1">
        <w:r w:rsidR="007722B7" w:rsidRPr="00F61455">
          <w:rPr>
            <w:rStyle w:val="Hyperkobling"/>
          </w:rPr>
          <w:t>V2.49</w:t>
        </w:r>
      </w:hyperlink>
      <w:r w:rsidR="007722B7">
        <w:t>, som viser institusjonenes antall og andel utvekslingsstudenter i Erasmus-programmet i årene 2014</w:t>
      </w:r>
      <w:r w:rsidR="00827118">
        <w:t>–</w:t>
      </w:r>
      <w:r w:rsidR="007722B7">
        <w:t>22.</w:t>
      </w:r>
    </w:p>
    <w:p w14:paraId="19332ABE" w14:textId="5D66709E" w:rsidR="0029346A" w:rsidRDefault="00104FF2" w:rsidP="00C0668D">
      <w:r>
        <w:t>D</w:t>
      </w:r>
      <w:r w:rsidR="00834C27">
        <w:t>e største institusjonene sender flest studenter</w:t>
      </w:r>
      <w:r>
        <w:t xml:space="preserve"> målt i antall</w:t>
      </w:r>
      <w:r w:rsidR="002F4DEB">
        <w:t>.</w:t>
      </w:r>
      <w:r w:rsidR="00834C27">
        <w:t xml:space="preserve"> NTNU </w:t>
      </w:r>
      <w:r w:rsidR="002F4DEB">
        <w:t>sender</w:t>
      </w:r>
      <w:r w:rsidR="00834C27">
        <w:t xml:space="preserve"> 960</w:t>
      </w:r>
      <w:r w:rsidR="0093680E">
        <w:t xml:space="preserve">, UiB 575 og UiO </w:t>
      </w:r>
      <w:r w:rsidR="003F2F34">
        <w:t>506 Erasmus-studenter.</w:t>
      </w:r>
      <w:r w:rsidR="007333A1">
        <w:t xml:space="preserve"> </w:t>
      </w:r>
      <w:r w:rsidR="002B73C0">
        <w:t>D</w:t>
      </w:r>
      <w:r w:rsidR="001A4414">
        <w:t xml:space="preserve">et store omfanget av utveksling ved NHH </w:t>
      </w:r>
      <w:r w:rsidR="00452524">
        <w:t>(se kapit</w:t>
      </w:r>
      <w:r w:rsidR="002B73C0">
        <w:t>tel</w:t>
      </w:r>
      <w:r w:rsidR="00452524">
        <w:t xml:space="preserve"> </w:t>
      </w:r>
      <w:r w:rsidR="00452524">
        <w:fldChar w:fldCharType="begin"/>
      </w:r>
      <w:r w:rsidR="00452524">
        <w:instrText xml:space="preserve"> REF _Ref134689498 \r \h </w:instrText>
      </w:r>
      <w:r w:rsidR="00452524">
        <w:fldChar w:fldCharType="separate"/>
      </w:r>
      <w:r w:rsidR="00F262EF">
        <w:t>2.18</w:t>
      </w:r>
      <w:r w:rsidR="00452524">
        <w:fldChar w:fldCharType="end"/>
      </w:r>
      <w:r w:rsidR="002B73C0">
        <w:t>)</w:t>
      </w:r>
      <w:r w:rsidR="00452524">
        <w:t xml:space="preserve"> </w:t>
      </w:r>
      <w:r w:rsidR="0022005F">
        <w:t xml:space="preserve">kommer til syne også her. </w:t>
      </w:r>
      <w:r w:rsidR="009B3B22">
        <w:t xml:space="preserve">Ved </w:t>
      </w:r>
      <w:r w:rsidR="007333A1">
        <w:t xml:space="preserve">NHH </w:t>
      </w:r>
      <w:r w:rsidR="009B3B22">
        <w:t xml:space="preserve">reiste </w:t>
      </w:r>
      <w:r w:rsidR="006C2694">
        <w:t>8</w:t>
      </w:r>
      <w:r w:rsidR="000560B3">
        <w:t>,</w:t>
      </w:r>
      <w:r w:rsidR="006C2694">
        <w:t>8 prosent</w:t>
      </w:r>
      <w:r w:rsidR="00711D88">
        <w:t xml:space="preserve"> på utvek</w:t>
      </w:r>
      <w:r w:rsidR="009B3B22">
        <w:t xml:space="preserve">sling gjennom </w:t>
      </w:r>
      <w:proofErr w:type="spellStart"/>
      <w:r w:rsidR="009B3B22">
        <w:t>Eramsus</w:t>
      </w:r>
      <w:proofErr w:type="spellEnd"/>
      <w:r w:rsidR="009B3B22">
        <w:t>+ i 2022</w:t>
      </w:r>
      <w:r w:rsidR="00B84C36">
        <w:t xml:space="preserve">, </w:t>
      </w:r>
      <w:r w:rsidR="00310CE2">
        <w:t>noe som er</w:t>
      </w:r>
      <w:r w:rsidR="00E56B54">
        <w:t xml:space="preserve"> </w:t>
      </w:r>
      <w:r w:rsidR="00E4696C">
        <w:t xml:space="preserve">langt over </w:t>
      </w:r>
      <w:r w:rsidR="009C4995">
        <w:t>den nasjonale prosentandelen</w:t>
      </w:r>
      <w:r w:rsidR="007C45B7">
        <w:t xml:space="preserve"> vist i </w:t>
      </w:r>
      <w:r w:rsidR="00E032CA">
        <w:fldChar w:fldCharType="begin"/>
      </w:r>
      <w:r w:rsidR="00E032CA">
        <w:instrText xml:space="preserve"> REF  _Ref133166897 \* Lower \h </w:instrText>
      </w:r>
      <w:r w:rsidR="00E032CA">
        <w:fldChar w:fldCharType="separate"/>
      </w:r>
      <w:r w:rsidR="00F262EF">
        <w:t xml:space="preserve">figur </w:t>
      </w:r>
      <w:r w:rsidR="00F262EF">
        <w:rPr>
          <w:noProof/>
        </w:rPr>
        <w:t>2</w:t>
      </w:r>
      <w:r w:rsidR="00F262EF">
        <w:t>.</w:t>
      </w:r>
      <w:r w:rsidR="00F262EF">
        <w:rPr>
          <w:noProof/>
        </w:rPr>
        <w:t>21</w:t>
      </w:r>
      <w:r w:rsidR="00E032CA">
        <w:fldChar w:fldCharType="end"/>
      </w:r>
      <w:r w:rsidR="007C45B7">
        <w:t xml:space="preserve">. </w:t>
      </w:r>
      <w:r w:rsidR="00286606">
        <w:t xml:space="preserve">Blant de private </w:t>
      </w:r>
      <w:r w:rsidR="004D08E7">
        <w:t>høyskolene ligger BA</w:t>
      </w:r>
      <w:r w:rsidR="00AE7AE1">
        <w:t xml:space="preserve">S </w:t>
      </w:r>
      <w:r w:rsidR="00AE412D">
        <w:t>høyest med 5</w:t>
      </w:r>
      <w:r w:rsidR="00954E07">
        <w:t>,</w:t>
      </w:r>
      <w:r w:rsidR="00AE412D">
        <w:t xml:space="preserve">6 prosent. </w:t>
      </w:r>
      <w:r w:rsidR="004B3095">
        <w:t>Samlet</w:t>
      </w:r>
      <w:r w:rsidR="008B369B">
        <w:t xml:space="preserve"> har d</w:t>
      </w:r>
      <w:r w:rsidR="00494F46">
        <w:t>e</w:t>
      </w:r>
      <w:r w:rsidR="000D4635">
        <w:t xml:space="preserve"> </w:t>
      </w:r>
      <w:r w:rsidR="00754552">
        <w:t xml:space="preserve">offentlige institusjonene en høyere andel </w:t>
      </w:r>
      <w:r w:rsidR="00AE6DD4">
        <w:t>studenter på utveksling i Erasmus+</w:t>
      </w:r>
      <w:r w:rsidR="00631889">
        <w:t xml:space="preserve"> (</w:t>
      </w:r>
      <w:r w:rsidR="00AE6DD4">
        <w:t>1</w:t>
      </w:r>
      <w:r w:rsidR="00C10EE3">
        <w:t>,</w:t>
      </w:r>
      <w:r w:rsidR="00AE6DD4">
        <w:t>6 prosent</w:t>
      </w:r>
      <w:r w:rsidR="00631889">
        <w:t>)</w:t>
      </w:r>
      <w:r w:rsidR="00AE6DD4">
        <w:t xml:space="preserve"> </w:t>
      </w:r>
      <w:r w:rsidR="008E2C03">
        <w:t xml:space="preserve">enn </w:t>
      </w:r>
      <w:r w:rsidR="00733FF3">
        <w:t>de private</w:t>
      </w:r>
      <w:r w:rsidR="008E2C03" w:rsidRPr="008E2C03">
        <w:t xml:space="preserve"> </w:t>
      </w:r>
      <w:r w:rsidR="00631889">
        <w:t>(</w:t>
      </w:r>
      <w:r w:rsidR="008E2C03">
        <w:t>0</w:t>
      </w:r>
      <w:r w:rsidR="00C10EE3">
        <w:t>,</w:t>
      </w:r>
      <w:r w:rsidR="008E2C03">
        <w:t>9 prosent</w:t>
      </w:r>
      <w:r w:rsidR="00631889">
        <w:t>)</w:t>
      </w:r>
      <w:r w:rsidR="00733FF3">
        <w:t xml:space="preserve">. </w:t>
      </w:r>
    </w:p>
    <w:p w14:paraId="5119C1A0" w14:textId="6CB06C3B" w:rsidR="00A32DD5" w:rsidRDefault="00743631" w:rsidP="00C0668D">
      <w:r>
        <w:t xml:space="preserve">Det er allikevel </w:t>
      </w:r>
      <w:r w:rsidR="00AA5532">
        <w:t xml:space="preserve">over </w:t>
      </w:r>
      <w:r>
        <w:t xml:space="preserve">dobbelt så mange </w:t>
      </w:r>
      <w:r w:rsidR="0049668C">
        <w:t xml:space="preserve">Erasmus-studenter </w:t>
      </w:r>
      <w:r w:rsidR="00284636">
        <w:t xml:space="preserve">på utveksling </w:t>
      </w:r>
      <w:r w:rsidR="0049668C">
        <w:t xml:space="preserve">til Norge </w:t>
      </w:r>
      <w:r w:rsidR="00284636">
        <w:t>(</w:t>
      </w:r>
      <w:r w:rsidR="00AA5532">
        <w:t xml:space="preserve">8 400) </w:t>
      </w:r>
      <w:r w:rsidR="0049668C">
        <w:t xml:space="preserve">som </w:t>
      </w:r>
      <w:r w:rsidR="00284636">
        <w:t>fra Norge</w:t>
      </w:r>
      <w:r w:rsidR="00AA5532">
        <w:t xml:space="preserve"> (4 1</w:t>
      </w:r>
      <w:r w:rsidR="00F21493">
        <w:t>00</w:t>
      </w:r>
      <w:r w:rsidR="00AA5532">
        <w:t xml:space="preserve">). Dette kommer fram av </w:t>
      </w:r>
      <w:proofErr w:type="spellStart"/>
      <w:r w:rsidR="00AA5532">
        <w:t>vedleggstabell</w:t>
      </w:r>
      <w:proofErr w:type="spellEnd"/>
      <w:r w:rsidR="00AA5532">
        <w:t xml:space="preserve"> </w:t>
      </w:r>
      <w:hyperlink r:id="rId83" w:history="1">
        <w:r w:rsidR="00951283" w:rsidRPr="00F61455">
          <w:rPr>
            <w:rStyle w:val="Hyperkobling"/>
          </w:rPr>
          <w:t>V2.55</w:t>
        </w:r>
      </w:hyperlink>
      <w:r w:rsidR="00951283">
        <w:t xml:space="preserve">, som viser utreisende og innreisende Erasmus-studenter per institusjon i 2022. </w:t>
      </w:r>
      <w:r w:rsidR="005B1A28">
        <w:t xml:space="preserve">Med unntak av et par mindre </w:t>
      </w:r>
      <w:r w:rsidR="003433D7">
        <w:t xml:space="preserve">private institusjoner med svært lave Erasmus-tall, </w:t>
      </w:r>
      <w:r w:rsidR="005946ED">
        <w:t>mottar</w:t>
      </w:r>
      <w:r w:rsidR="003433D7">
        <w:t xml:space="preserve"> samtlige institusjoner </w:t>
      </w:r>
      <w:r w:rsidR="005946ED">
        <w:t xml:space="preserve">flere tilreisende studenter </w:t>
      </w:r>
      <w:r w:rsidR="008C6AB4">
        <w:t xml:space="preserve">i programmet enn de sender ut. </w:t>
      </w:r>
      <w:r w:rsidR="005B0783" w:rsidRPr="005B0783">
        <w:t>Samlet har de private institusjonene langt bedre balanse i Erasmus-mobiliteten enn de offentlige</w:t>
      </w:r>
      <w:r w:rsidR="00773424">
        <w:t>, men d</w:t>
      </w:r>
      <w:r w:rsidR="00E60CC2">
        <w:t xml:space="preserve">e </w:t>
      </w:r>
      <w:r w:rsidR="005C2344">
        <w:t xml:space="preserve">private </w:t>
      </w:r>
      <w:r w:rsidR="00773424">
        <w:t>høyskolene</w:t>
      </w:r>
      <w:r w:rsidR="005C2344">
        <w:t xml:space="preserve"> </w:t>
      </w:r>
      <w:r w:rsidR="00360D38">
        <w:t xml:space="preserve">deltar </w:t>
      </w:r>
      <w:r w:rsidR="00A25499">
        <w:t>altså</w:t>
      </w:r>
      <w:r w:rsidR="00620637">
        <w:t xml:space="preserve"> </w:t>
      </w:r>
      <w:r w:rsidR="00F23F2B">
        <w:t>i mindre grad</w:t>
      </w:r>
      <w:r w:rsidR="00EB106F">
        <w:t xml:space="preserve"> </w:t>
      </w:r>
      <w:r w:rsidR="00451EDF">
        <w:t xml:space="preserve">i programmet </w:t>
      </w:r>
      <w:r w:rsidR="00EB106F">
        <w:t xml:space="preserve">enn de offentlige. </w:t>
      </w:r>
    </w:p>
    <w:p w14:paraId="19B98327" w14:textId="7C54E68C" w:rsidR="008A5E21" w:rsidRDefault="002C0CF9" w:rsidP="00C0668D">
      <w:r>
        <w:t>Med innføringen av studieavgift for internasjonale studenter fra land utenfor EU/EØS</w:t>
      </w:r>
      <w:r w:rsidR="00ED4C0A">
        <w:t xml:space="preserve"> fra studieåret 2023/24</w:t>
      </w:r>
      <w:r w:rsidR="00753118">
        <w:t>,</w:t>
      </w:r>
      <w:r w:rsidR="00ED4C0A">
        <w:t xml:space="preserve"> forvente</w:t>
      </w:r>
      <w:r w:rsidR="00603C70">
        <w:t>s de</w:t>
      </w:r>
      <w:r w:rsidR="00BE414A">
        <w:t>t</w:t>
      </w:r>
      <w:r w:rsidR="005B0783">
        <w:t xml:space="preserve"> nedgang i </w:t>
      </w:r>
      <w:r w:rsidR="00536C4A">
        <w:t xml:space="preserve">antall studenter </w:t>
      </w:r>
      <w:r w:rsidR="00402B32">
        <w:t>fra disse landene</w:t>
      </w:r>
      <w:r w:rsidR="00BE414A">
        <w:t xml:space="preserve">. </w:t>
      </w:r>
      <w:r w:rsidR="00F566FE">
        <w:t>Dermed</w:t>
      </w:r>
      <w:r w:rsidR="00402B32">
        <w:t xml:space="preserve"> kan </w:t>
      </w:r>
      <w:r w:rsidR="00402B32">
        <w:lastRenderedPageBreak/>
        <w:t xml:space="preserve">Erasmus+ komme til å spille en </w:t>
      </w:r>
      <w:r w:rsidR="00B94709">
        <w:t>enda viktigere</w:t>
      </w:r>
      <w:r w:rsidR="00402B32">
        <w:t xml:space="preserve"> rolle </w:t>
      </w:r>
      <w:r w:rsidR="009B3329">
        <w:t xml:space="preserve">for </w:t>
      </w:r>
      <w:r w:rsidR="00402B32">
        <w:t>å</w:t>
      </w:r>
      <w:r w:rsidR="0054667A">
        <w:t xml:space="preserve"> </w:t>
      </w:r>
      <w:r w:rsidR="00892FFA">
        <w:t>få</w:t>
      </w:r>
      <w:r w:rsidR="0054667A">
        <w:t xml:space="preserve"> </w:t>
      </w:r>
      <w:r w:rsidR="00A9576E">
        <w:t>internasjonale studenter til Norge</w:t>
      </w:r>
      <w:r w:rsidR="00DF19AC">
        <w:t xml:space="preserve"> og</w:t>
      </w:r>
      <w:r w:rsidR="00CB3313">
        <w:t xml:space="preserve"> </w:t>
      </w:r>
      <w:r w:rsidR="00BE289D">
        <w:t xml:space="preserve">bidra til </w:t>
      </w:r>
      <w:r w:rsidR="007A5172">
        <w:t>et internasjonalt læringsmiljø</w:t>
      </w:r>
      <w:r w:rsidR="002056E3">
        <w:t xml:space="preserve"> ved </w:t>
      </w:r>
      <w:r w:rsidR="00624E3B">
        <w:t>i</w:t>
      </w:r>
      <w:r w:rsidR="002056E3">
        <w:t>nstitusjone</w:t>
      </w:r>
      <w:r w:rsidR="00373D14">
        <w:t>ne</w:t>
      </w:r>
      <w:r w:rsidR="007A5172">
        <w:t xml:space="preserve">. </w:t>
      </w:r>
      <w:r w:rsidR="009D5F78">
        <w:t>Rekordhøye s</w:t>
      </w:r>
      <w:r w:rsidR="00284431">
        <w:t>øknadstall</w:t>
      </w:r>
      <w:r w:rsidR="00BD0196">
        <w:t xml:space="preserve"> </w:t>
      </w:r>
      <w:r w:rsidR="002F040C">
        <w:t>til</w:t>
      </w:r>
      <w:r w:rsidR="00BD0196">
        <w:t xml:space="preserve"> </w:t>
      </w:r>
      <w:r w:rsidR="002E775B" w:rsidRPr="00CB517A">
        <w:t>E</w:t>
      </w:r>
      <w:r w:rsidR="002E775B">
        <w:t>rasmus</w:t>
      </w:r>
      <w:r w:rsidR="002E775B" w:rsidRPr="00CB517A">
        <w:t>+ global mobilitet</w:t>
      </w:r>
      <w:r w:rsidR="00DE3E20">
        <w:t xml:space="preserve"> </w:t>
      </w:r>
      <w:r w:rsidR="00284431">
        <w:t xml:space="preserve">i 2023 </w:t>
      </w:r>
      <w:r w:rsidR="00093725">
        <w:t>antyder</w:t>
      </w:r>
      <w:r w:rsidR="009D5F78">
        <w:t xml:space="preserve"> at </w:t>
      </w:r>
      <w:r w:rsidR="00DE3E20">
        <w:t xml:space="preserve">norske </w:t>
      </w:r>
      <w:r w:rsidR="00FF4C11">
        <w:t>læresteder</w:t>
      </w:r>
      <w:r w:rsidR="00DE3E20">
        <w:t xml:space="preserve"> </w:t>
      </w:r>
      <w:r w:rsidR="001C6C40">
        <w:t xml:space="preserve">også </w:t>
      </w:r>
      <w:r w:rsidR="00237DCF">
        <w:t xml:space="preserve">ønsker å </w:t>
      </w:r>
      <w:r w:rsidR="00C61CD9">
        <w:t xml:space="preserve">bruke programmet til å </w:t>
      </w:r>
      <w:r w:rsidR="00E509BC">
        <w:t>sikre</w:t>
      </w:r>
      <w:r w:rsidR="00D0674C">
        <w:t xml:space="preserve"> seg</w:t>
      </w:r>
      <w:r w:rsidR="00E509BC">
        <w:t xml:space="preserve"> tilgang på</w:t>
      </w:r>
      <w:r w:rsidR="00504EA1">
        <w:t xml:space="preserve"> innreisende</w:t>
      </w:r>
      <w:r w:rsidR="002E775B" w:rsidRPr="00CB517A">
        <w:t xml:space="preserve"> studenter fra tredjeland</w:t>
      </w:r>
      <w:r w:rsidR="00504EA1">
        <w:t xml:space="preserve">, </w:t>
      </w:r>
      <w:r w:rsidR="00646D0C">
        <w:t>i en tid hvor</w:t>
      </w:r>
      <w:r w:rsidR="002E775B" w:rsidRPr="00CB517A">
        <w:t xml:space="preserve"> konsekvensene av </w:t>
      </w:r>
      <w:r w:rsidR="00116157">
        <w:t xml:space="preserve">innføringen av </w:t>
      </w:r>
      <w:r w:rsidR="002E775B" w:rsidRPr="00CB517A">
        <w:t xml:space="preserve">studieavgift for </w:t>
      </w:r>
      <w:r w:rsidR="002309CA">
        <w:t>disse studentene</w:t>
      </w:r>
      <w:r w:rsidR="00646D0C">
        <w:t xml:space="preserve"> er usik</w:t>
      </w:r>
      <w:r w:rsidR="00CB517A">
        <w:t>re</w:t>
      </w:r>
      <w:r w:rsidR="002E775B" w:rsidRPr="00CB517A">
        <w:t>.</w:t>
      </w:r>
    </w:p>
    <w:p w14:paraId="7649CA09" w14:textId="57E0A12C" w:rsidR="006735BA" w:rsidRDefault="00816F41" w:rsidP="00C0668D">
      <w:r>
        <w:t>Den nasjonale strategien for Erasmus+</w:t>
      </w:r>
      <w:r w:rsidR="00855823">
        <w:t xml:space="preserve"> </w:t>
      </w:r>
      <w:r w:rsidR="008331B0">
        <w:t xml:space="preserve">har </w:t>
      </w:r>
      <w:r w:rsidR="000D7779">
        <w:t>som</w:t>
      </w:r>
      <w:r w:rsidR="008A1703">
        <w:t xml:space="preserve"> mål</w:t>
      </w:r>
      <w:r w:rsidR="008331B0">
        <w:t xml:space="preserve"> </w:t>
      </w:r>
      <w:r w:rsidR="000D7779">
        <w:t>at</w:t>
      </w:r>
      <w:r w:rsidR="008331B0">
        <w:t xml:space="preserve"> </w:t>
      </w:r>
      <w:r w:rsidR="006735BA" w:rsidRPr="008A1703">
        <w:t>30</w:t>
      </w:r>
      <w:r w:rsidR="008A1703">
        <w:t> </w:t>
      </w:r>
      <w:r w:rsidR="006735BA" w:rsidRPr="008A1703">
        <w:t>000</w:t>
      </w:r>
      <w:r w:rsidR="006735BA">
        <w:t xml:space="preserve"> studenter </w:t>
      </w:r>
      <w:r w:rsidR="000D7779">
        <w:t xml:space="preserve">reiser </w:t>
      </w:r>
      <w:r w:rsidR="006735BA">
        <w:t>på utveksling</w:t>
      </w:r>
      <w:r w:rsidR="000D7779">
        <w:t>sopphold</w:t>
      </w:r>
      <w:r w:rsidR="006735BA">
        <w:t xml:space="preserve"> </w:t>
      </w:r>
      <w:r w:rsidR="008331B0">
        <w:t>i løpet av</w:t>
      </w:r>
      <w:r w:rsidR="006735BA">
        <w:t xml:space="preserve"> </w:t>
      </w:r>
      <w:r w:rsidR="00E10F2C">
        <w:t>inneværende</w:t>
      </w:r>
      <w:r w:rsidR="006735BA">
        <w:t xml:space="preserve"> programperiode</w:t>
      </w:r>
      <w:r w:rsidR="00F3353F">
        <w:t xml:space="preserve">, </w:t>
      </w:r>
      <w:r w:rsidR="00E10F2C">
        <w:t>2021</w:t>
      </w:r>
      <w:r w:rsidR="00827118">
        <w:t>–</w:t>
      </w:r>
      <w:r w:rsidR="00E10F2C">
        <w:t>27</w:t>
      </w:r>
      <w:r w:rsidR="00F3353F">
        <w:t xml:space="preserve"> </w:t>
      </w:r>
      <w:r w:rsidR="00F3353F">
        <w:fldChar w:fldCharType="begin"/>
      </w:r>
      <w:r w:rsidR="00791B70">
        <w:instrText xml:space="preserve"> ADDIN EN.CITE &lt;EndNote&gt;&lt;Cite&gt;&lt;Author&gt;Kunnskapsdepartementet&lt;/Author&gt;&lt;Year&gt;2021&lt;/Year&gt;&lt;RecNum&gt;1877&lt;/RecNum&gt;&lt;DisplayText&gt;(Kunnskapsdepartementet, 2021)&lt;/DisplayText&gt;&lt;record&gt;&lt;rec-number&gt;1877&lt;/rec-number&gt;&lt;foreign-keys&gt;&lt;key app="EN" db-id="s09wp0wxtwz9aue509w52eagvset90vxefrw" timestamp="1683637522" guid="64bab91b-8638-4e18-8288-9f6eb1ff7e1e"&gt;1877&lt;/key&gt;&lt;/foreign-keys&gt;&lt;ref-type name="Report"&gt;27&lt;/ref-type&gt;&lt;contributors&gt;&lt;authors&gt;&lt;author&gt;Kunnskapsdepartementet&lt;/author&gt;&lt;/authors&gt;&lt;/contributors&gt;&lt;titles&gt;&lt;title&gt;Strategi for norsk deltakelse i Erasmus+ og Det europeiske utdanningsområdet&lt;/title&gt;&lt;/titles&gt;&lt;dates&gt;&lt;year&gt;2021&lt;/year&gt;&lt;/dates&gt;&lt;urls&gt;&lt;related-urls&gt;&lt;url&gt;https://www.regjeringen.no/contentassets/b5b57900ef6b4542b8b2d70b2c46b658/212540-kd-strategi-erasmus-web.pdf&lt;/url&gt;&lt;/related-urls&gt;&lt;/urls&gt;&lt;/record&gt;&lt;/Cite&gt;&lt;/EndNote&gt;</w:instrText>
      </w:r>
      <w:r w:rsidR="00F3353F">
        <w:fldChar w:fldCharType="separate"/>
      </w:r>
      <w:r w:rsidR="00F3353F">
        <w:rPr>
          <w:noProof/>
        </w:rPr>
        <w:t>(Kunnskapsdepartementet, 2021)</w:t>
      </w:r>
      <w:r w:rsidR="00F3353F">
        <w:fldChar w:fldCharType="end"/>
      </w:r>
      <w:r>
        <w:t xml:space="preserve">. </w:t>
      </w:r>
      <w:r w:rsidR="006735BA">
        <w:t>For å nå det</w:t>
      </w:r>
      <w:r w:rsidR="00BA1093">
        <w:t>te målet</w:t>
      </w:r>
      <w:r w:rsidR="006735BA">
        <w:t xml:space="preserve">, må </w:t>
      </w:r>
      <w:r w:rsidR="00BA1093">
        <w:t>an</w:t>
      </w:r>
      <w:r w:rsidR="006735BA">
        <w:t xml:space="preserve">tallet </w:t>
      </w:r>
      <w:r w:rsidR="00BA1093">
        <w:t xml:space="preserve">utvekslede i programmet </w:t>
      </w:r>
      <w:r w:rsidR="006735BA">
        <w:t xml:space="preserve">fortsatt øke </w:t>
      </w:r>
      <w:r w:rsidR="00BA1093">
        <w:t xml:space="preserve">med om lag 25 prosent </w:t>
      </w:r>
      <w:r w:rsidR="006735BA">
        <w:t>fra nivået i 2022.</w:t>
      </w:r>
      <w:r w:rsidR="00863A77">
        <w:t xml:space="preserve"> </w:t>
      </w:r>
      <w:r w:rsidR="00E4108F">
        <w:t xml:space="preserve">Kapittel </w:t>
      </w:r>
      <w:hyperlink w:anchor="_Studentutveksling" w:history="1">
        <w:r w:rsidR="00F1466B" w:rsidRPr="00F1466B">
          <w:rPr>
            <w:rStyle w:val="Hyperkobling"/>
          </w:rPr>
          <w:t>2.18</w:t>
        </w:r>
      </w:hyperlink>
      <w:r w:rsidR="00E4108F">
        <w:t xml:space="preserve"> vis</w:t>
      </w:r>
      <w:r w:rsidR="006C3005">
        <w:t>te</w:t>
      </w:r>
      <w:r w:rsidR="00E4108F">
        <w:t xml:space="preserve"> at p</w:t>
      </w:r>
      <w:r w:rsidR="000E5285">
        <w:t>andemien har</w:t>
      </w:r>
      <w:r w:rsidR="005B2D92">
        <w:t xml:space="preserve"> </w:t>
      </w:r>
      <w:r w:rsidR="00E4108F">
        <w:t xml:space="preserve">ført </w:t>
      </w:r>
      <w:r w:rsidR="005B2D92">
        <w:t xml:space="preserve">til </w:t>
      </w:r>
      <w:r w:rsidR="001E19AB">
        <w:t xml:space="preserve">store </w:t>
      </w:r>
      <w:r w:rsidR="009A511C">
        <w:t>fluktuasjone</w:t>
      </w:r>
      <w:r w:rsidR="00E4108F">
        <w:t>r</w:t>
      </w:r>
      <w:r w:rsidR="009A511C">
        <w:t xml:space="preserve"> </w:t>
      </w:r>
      <w:r w:rsidR="00E4108F">
        <w:t xml:space="preserve">i hvilke land utvekslingsstudentene reiser til og </w:t>
      </w:r>
      <w:r w:rsidR="00BE2664">
        <w:t xml:space="preserve">at </w:t>
      </w:r>
      <w:r w:rsidR="00305EEC">
        <w:t>bildet fortsatt</w:t>
      </w:r>
      <w:r w:rsidR="00BE2664">
        <w:t xml:space="preserve"> er</w:t>
      </w:r>
      <w:r w:rsidR="00305EEC">
        <w:t xml:space="preserve"> </w:t>
      </w:r>
      <w:r w:rsidR="005F0BA3">
        <w:t>i endring</w:t>
      </w:r>
      <w:r w:rsidR="00E4108F">
        <w:t xml:space="preserve">. </w:t>
      </w:r>
      <w:r w:rsidR="001C737F">
        <w:t xml:space="preserve">Det er derfor et åpent spørsmål om </w:t>
      </w:r>
      <w:r w:rsidR="00C54C88">
        <w:t>de europeiske landene</w:t>
      </w:r>
      <w:r w:rsidR="00726EF9">
        <w:t xml:space="preserve"> </w:t>
      </w:r>
      <w:r w:rsidR="001E6E9F">
        <w:t>vil hold</w:t>
      </w:r>
      <w:r w:rsidR="005963DD">
        <w:t xml:space="preserve">e </w:t>
      </w:r>
      <w:r w:rsidR="005929A7">
        <w:t xml:space="preserve">på populariteten </w:t>
      </w:r>
      <w:r w:rsidR="00392A13">
        <w:t>framover</w:t>
      </w:r>
      <w:r w:rsidR="00F374A8">
        <w:t xml:space="preserve"> og</w:t>
      </w:r>
      <w:r w:rsidR="0083115A">
        <w:t xml:space="preserve"> </w:t>
      </w:r>
      <w:r w:rsidR="00BD1A61">
        <w:t xml:space="preserve">om </w:t>
      </w:r>
      <w:r w:rsidR="00E711C5">
        <w:t xml:space="preserve">oppslutningen rundt </w:t>
      </w:r>
      <w:r w:rsidR="00F374A8">
        <w:t xml:space="preserve">Erasmus+ </w:t>
      </w:r>
      <w:r w:rsidR="00BD1A61">
        <w:t xml:space="preserve">vil fortsette å øke. </w:t>
      </w:r>
    </w:p>
    <w:p w14:paraId="00108F80" w14:textId="77777777" w:rsidR="00795789" w:rsidRDefault="00795789" w:rsidP="00C0668D"/>
    <w:p w14:paraId="05611AD0" w14:textId="42DBE420" w:rsidR="003C4331" w:rsidRDefault="003C4331" w:rsidP="00AE4B98">
      <w:pPr>
        <w:pStyle w:val="Overskrift2"/>
      </w:pPr>
      <w:bookmarkStart w:id="111" w:name="_Toc134792736"/>
      <w:r>
        <w:t>Doktorgradsutdanning og forskning</w:t>
      </w:r>
      <w:bookmarkEnd w:id="111"/>
    </w:p>
    <w:p w14:paraId="791315D6" w14:textId="1AA6AFD0" w:rsidR="00A51692" w:rsidRDefault="00D55B27" w:rsidP="00232437">
      <w:r>
        <w:t>K</w:t>
      </w:r>
      <w:r w:rsidR="00592BAE">
        <w:t>apit</w:t>
      </w:r>
      <w:r w:rsidR="00095D7A">
        <w:t>t</w:t>
      </w:r>
      <w:r w:rsidR="00DD7A14">
        <w:t>el</w:t>
      </w:r>
      <w:r w:rsidR="00843DD7">
        <w:t>et</w:t>
      </w:r>
      <w:r w:rsidR="00592BAE">
        <w:t xml:space="preserve"> </w:t>
      </w:r>
      <w:r>
        <w:t xml:space="preserve">inneholder </w:t>
      </w:r>
      <w:r w:rsidR="0049071B">
        <w:t xml:space="preserve">tall </w:t>
      </w:r>
      <w:r w:rsidR="00970836">
        <w:t xml:space="preserve">om </w:t>
      </w:r>
      <w:r w:rsidR="00592BAE">
        <w:t>avlagte doktorgrader</w:t>
      </w:r>
      <w:r w:rsidR="00B35CA5">
        <w:t>,</w:t>
      </w:r>
      <w:r w:rsidR="002E16F0">
        <w:t xml:space="preserve"> </w:t>
      </w:r>
      <w:r w:rsidR="00196BE9">
        <w:t>om</w:t>
      </w:r>
      <w:r w:rsidR="00A12371">
        <w:t xml:space="preserve"> gjennomføring i doktorgradsutdanningen</w:t>
      </w:r>
      <w:r w:rsidR="009E2137">
        <w:t xml:space="preserve"> samt </w:t>
      </w:r>
      <w:r w:rsidR="002828BD">
        <w:t xml:space="preserve">tall om sysselsetting </w:t>
      </w:r>
      <w:r w:rsidR="009E2137">
        <w:t xml:space="preserve">for </w:t>
      </w:r>
      <w:r w:rsidR="00FD2990">
        <w:t xml:space="preserve">personer med avlagt doktorgrad. </w:t>
      </w:r>
      <w:r w:rsidR="0042631C">
        <w:t>På feltet</w:t>
      </w:r>
      <w:r w:rsidR="0048108F">
        <w:t xml:space="preserve"> vitenskapelig publisering presenterer kapit</w:t>
      </w:r>
      <w:r w:rsidR="008A009C">
        <w:t>t</w:t>
      </w:r>
      <w:r w:rsidR="0048108F">
        <w:t xml:space="preserve">elet </w:t>
      </w:r>
      <w:r w:rsidR="00883FF3">
        <w:t>statistikk om publiseringspoen</w:t>
      </w:r>
      <w:r w:rsidR="008A4A2E">
        <w:t xml:space="preserve">g, </w:t>
      </w:r>
      <w:r w:rsidR="00B3277E">
        <w:t xml:space="preserve">om publisering </w:t>
      </w:r>
      <w:r w:rsidR="005F25F1">
        <w:t>på de ulike kvalitetsnivåene og</w:t>
      </w:r>
      <w:r w:rsidR="00D743DF">
        <w:t xml:space="preserve"> om resultatene fra arbeidet med åpen publisering. </w:t>
      </w:r>
      <w:r w:rsidR="00A51692">
        <w:t xml:space="preserve">Ett av </w:t>
      </w:r>
      <w:r w:rsidR="00591380">
        <w:t>opps</w:t>
      </w:r>
      <w:r w:rsidR="00186ACC">
        <w:t>lag</w:t>
      </w:r>
      <w:r w:rsidR="00591380">
        <w:t xml:space="preserve">ene handler om </w:t>
      </w:r>
      <w:r w:rsidR="00937822">
        <w:t xml:space="preserve">forskningsinnsats innenfor </w:t>
      </w:r>
      <w:proofErr w:type="spellStart"/>
      <w:r w:rsidR="00937822">
        <w:t>MNT</w:t>
      </w:r>
      <w:proofErr w:type="spellEnd"/>
      <w:r w:rsidR="00937822">
        <w:t>-fagene</w:t>
      </w:r>
      <w:r w:rsidR="00890947">
        <w:t>,</w:t>
      </w:r>
      <w:r w:rsidR="000C4A1E">
        <w:t xml:space="preserve"> mens andre oppslag tar for seg </w:t>
      </w:r>
      <w:r w:rsidR="00F31F86">
        <w:t>tildelinger fra Norges forskningsråd</w:t>
      </w:r>
      <w:r w:rsidR="001374E7">
        <w:t xml:space="preserve"> og EU samt </w:t>
      </w:r>
      <w:r w:rsidR="00A72613">
        <w:t>institusjon</w:t>
      </w:r>
      <w:r w:rsidR="007216AB">
        <w:t>enes andre bidrag</w:t>
      </w:r>
      <w:r w:rsidR="003017F7">
        <w:t xml:space="preserve">s- og oppdragsinntekter. </w:t>
      </w:r>
      <w:r w:rsidR="00DC6884">
        <w:t xml:space="preserve">Til sist omtales </w:t>
      </w:r>
      <w:r w:rsidR="004E092A">
        <w:t xml:space="preserve">status for sikring og bevaring ved universitetsmuseene. </w:t>
      </w:r>
    </w:p>
    <w:p w14:paraId="174C9977" w14:textId="007ACBE0" w:rsidR="009F717C" w:rsidRDefault="009F717C">
      <w:pPr>
        <w:rPr>
          <w:rFonts w:asciiTheme="majorHAnsi" w:eastAsiaTheme="majorEastAsia" w:hAnsiTheme="majorHAnsi" w:cstheme="majorBidi"/>
          <w:b/>
          <w:color w:val="362683"/>
          <w:sz w:val="24"/>
          <w:szCs w:val="26"/>
        </w:rPr>
      </w:pPr>
      <w:r>
        <w:rPr>
          <w:rFonts w:asciiTheme="majorHAnsi" w:eastAsiaTheme="majorEastAsia" w:hAnsiTheme="majorHAnsi" w:cstheme="majorBidi"/>
          <w:b/>
          <w:color w:val="362683"/>
          <w:sz w:val="24"/>
          <w:szCs w:val="26"/>
        </w:rPr>
        <w:br w:type="page"/>
      </w:r>
    </w:p>
    <w:p w14:paraId="3D01E5CE" w14:textId="12EFDF0C" w:rsidR="003C4331" w:rsidRDefault="00010277" w:rsidP="00AE4B98">
      <w:pPr>
        <w:pStyle w:val="Overskrift3"/>
      </w:pPr>
      <w:bookmarkStart w:id="112" w:name="_Toc134792737"/>
      <w:r w:rsidRPr="00010277">
        <w:lastRenderedPageBreak/>
        <w:t>Avlagte doktorgrader i Norge</w:t>
      </w:r>
      <w:bookmarkEnd w:id="112"/>
    </w:p>
    <w:p w14:paraId="1720A74E" w14:textId="256B198A" w:rsidR="003870EB" w:rsidRDefault="00663B24" w:rsidP="003870EB">
      <w:r w:rsidRPr="004360CF">
        <w:rPr>
          <w:rFonts w:cstheme="minorHAnsi"/>
        </w:rPr>
        <w:t xml:space="preserve">Det var </w:t>
      </w:r>
      <w:r w:rsidR="00F612D2">
        <w:rPr>
          <w:rFonts w:cstheme="minorHAnsi"/>
        </w:rPr>
        <w:t>en viss</w:t>
      </w:r>
      <w:r w:rsidR="00917F44">
        <w:rPr>
          <w:rFonts w:cstheme="minorHAnsi"/>
        </w:rPr>
        <w:t xml:space="preserve"> </w:t>
      </w:r>
      <w:r w:rsidRPr="004360CF">
        <w:rPr>
          <w:rFonts w:cstheme="minorHAnsi"/>
        </w:rPr>
        <w:t>nedgang i antallet avlagte doktorgrader ved norske universiteter og høyskoler i 2022 sammenlignet med</w:t>
      </w:r>
      <w:r w:rsidR="005E5CA2">
        <w:rPr>
          <w:rFonts w:cstheme="minorHAnsi"/>
        </w:rPr>
        <w:t xml:space="preserve"> 2021</w:t>
      </w:r>
      <w:r w:rsidRPr="004360CF">
        <w:rPr>
          <w:rFonts w:cstheme="minorHAnsi"/>
        </w:rPr>
        <w:t xml:space="preserve">. </w:t>
      </w:r>
      <w:r w:rsidR="00F33218">
        <w:rPr>
          <w:rFonts w:cstheme="minorHAnsi"/>
        </w:rPr>
        <w:t>Det ble</w:t>
      </w:r>
      <w:r w:rsidRPr="004360CF" w:rsidDel="00F33218">
        <w:rPr>
          <w:rFonts w:cstheme="minorHAnsi"/>
        </w:rPr>
        <w:t xml:space="preserve"> </w:t>
      </w:r>
      <w:r w:rsidRPr="00BB486A">
        <w:rPr>
          <w:rFonts w:cstheme="minorHAnsi"/>
        </w:rPr>
        <w:t>avlagt 1562 doktorgrader</w:t>
      </w:r>
      <w:r w:rsidRPr="004360CF">
        <w:rPr>
          <w:rFonts w:cstheme="minorHAnsi"/>
        </w:rPr>
        <w:t xml:space="preserve">, mot over 1600 doktorgrader i 2021 og 2020. </w:t>
      </w:r>
      <w:r w:rsidR="003870EB" w:rsidRPr="00076FA3">
        <w:t xml:space="preserve">Som i 2021 ble litt over halvparten av doktorgradene i 2022 avlagt av kvinner, og andelen er svakt økende. Nedgangen i antall doktorgrader </w:t>
      </w:r>
      <w:r w:rsidR="000F7DED">
        <w:t xml:space="preserve">i 2022 </w:t>
      </w:r>
      <w:r w:rsidR="003870EB" w:rsidRPr="00076FA3">
        <w:t xml:space="preserve">er noe </w:t>
      </w:r>
      <w:r w:rsidR="003870EB">
        <w:t>større blant</w:t>
      </w:r>
      <w:r w:rsidR="003870EB" w:rsidRPr="00076FA3">
        <w:t xml:space="preserve"> menn </w:t>
      </w:r>
      <w:r w:rsidR="003870EB">
        <w:t>enn blant k</w:t>
      </w:r>
      <w:r w:rsidR="003870EB" w:rsidRPr="00076FA3">
        <w:t>vinner</w:t>
      </w:r>
      <w:r w:rsidR="004C2DE1">
        <w:t>, se</w:t>
      </w:r>
      <w:r w:rsidR="0076458F">
        <w:t xml:space="preserve"> </w:t>
      </w:r>
      <w:r w:rsidR="0076458F">
        <w:fldChar w:fldCharType="begin"/>
      </w:r>
      <w:r w:rsidR="0076458F">
        <w:instrText xml:space="preserve"> REF  _Ref133166970 \* Lower \h </w:instrText>
      </w:r>
      <w:r w:rsidR="0076458F">
        <w:fldChar w:fldCharType="separate"/>
      </w:r>
      <w:r w:rsidR="00F262EF">
        <w:t xml:space="preserve">figur </w:t>
      </w:r>
      <w:r w:rsidR="00F262EF">
        <w:rPr>
          <w:noProof/>
        </w:rPr>
        <w:t>3</w:t>
      </w:r>
      <w:r w:rsidR="00F262EF">
        <w:t>.</w:t>
      </w:r>
      <w:r w:rsidR="00F262EF">
        <w:rPr>
          <w:noProof/>
        </w:rPr>
        <w:t>1</w:t>
      </w:r>
      <w:r w:rsidR="0076458F">
        <w:fldChar w:fldCharType="end"/>
      </w:r>
      <w:r w:rsidR="004C2DE1">
        <w:t>.</w:t>
      </w:r>
    </w:p>
    <w:p w14:paraId="4322E45F" w14:textId="068355D6" w:rsidR="00663B24" w:rsidRPr="00121684" w:rsidRDefault="00573AE3" w:rsidP="00663B24">
      <w:pPr>
        <w:rPr>
          <w:rFonts w:cstheme="minorHAnsi"/>
        </w:rPr>
      </w:pPr>
      <w:r>
        <w:rPr>
          <w:rFonts w:cstheme="minorHAnsi"/>
        </w:rPr>
        <w:t>De statlige institusjonene</w:t>
      </w:r>
      <w:r w:rsidR="00301E85">
        <w:rPr>
          <w:rFonts w:cstheme="minorHAnsi"/>
        </w:rPr>
        <w:t xml:space="preserve"> står for 98 </w:t>
      </w:r>
      <w:r w:rsidR="00A308AB">
        <w:rPr>
          <w:rFonts w:cstheme="minorHAnsi"/>
        </w:rPr>
        <w:t>prosent</w:t>
      </w:r>
      <w:r>
        <w:rPr>
          <w:rFonts w:cstheme="minorHAnsi"/>
        </w:rPr>
        <w:t xml:space="preserve"> </w:t>
      </w:r>
      <w:r w:rsidR="00301E85">
        <w:rPr>
          <w:rFonts w:cstheme="minorHAnsi"/>
        </w:rPr>
        <w:t xml:space="preserve">av de avlagte doktorgradene i 2022, og </w:t>
      </w:r>
      <w:r>
        <w:rPr>
          <w:rFonts w:cstheme="minorHAnsi"/>
        </w:rPr>
        <w:t>har totalt hatt en nedgang på 40</w:t>
      </w:r>
      <w:r w:rsidR="00D35773">
        <w:rPr>
          <w:rFonts w:cstheme="minorHAnsi"/>
        </w:rPr>
        <w:t xml:space="preserve"> avlagte doktorgrader fra 2021 til 2022</w:t>
      </w:r>
      <w:r w:rsidR="005E5CA2">
        <w:rPr>
          <w:rFonts w:cstheme="minorHAnsi"/>
        </w:rPr>
        <w:t>.</w:t>
      </w:r>
      <w:r>
        <w:rPr>
          <w:rFonts w:cstheme="minorHAnsi"/>
        </w:rPr>
        <w:t xml:space="preserve"> </w:t>
      </w:r>
      <w:r w:rsidR="00E84721">
        <w:rPr>
          <w:rFonts w:cstheme="minorHAnsi"/>
        </w:rPr>
        <w:t>Sammenlignet med 2021 har h</w:t>
      </w:r>
      <w:r w:rsidR="00663B24">
        <w:rPr>
          <w:rFonts w:cstheme="minorHAnsi"/>
        </w:rPr>
        <w:t xml:space="preserve">alvparten av institusjonene hatt en nedgang i antall avlagte doktorgrader. Nedgangen er størst ved </w:t>
      </w:r>
      <w:proofErr w:type="spellStart"/>
      <w:r w:rsidR="00663B24">
        <w:rPr>
          <w:rFonts w:cstheme="minorHAnsi"/>
        </w:rPr>
        <w:t>NMBU</w:t>
      </w:r>
      <w:proofErr w:type="spellEnd"/>
      <w:r w:rsidR="00663B24">
        <w:rPr>
          <w:rFonts w:cstheme="minorHAnsi"/>
        </w:rPr>
        <w:t xml:space="preserve"> som har </w:t>
      </w:r>
      <w:r w:rsidR="004F6D75">
        <w:rPr>
          <w:rFonts w:cstheme="minorHAnsi"/>
        </w:rPr>
        <w:t xml:space="preserve">gått fra </w:t>
      </w:r>
      <w:r w:rsidR="00463410">
        <w:rPr>
          <w:rFonts w:cstheme="minorHAnsi"/>
        </w:rPr>
        <w:t>86</w:t>
      </w:r>
      <w:r w:rsidR="00E56546">
        <w:rPr>
          <w:rFonts w:cstheme="minorHAnsi"/>
        </w:rPr>
        <w:t xml:space="preserve"> avlagte doktorgrad</w:t>
      </w:r>
      <w:r w:rsidR="005D4066">
        <w:rPr>
          <w:rFonts w:cstheme="minorHAnsi"/>
        </w:rPr>
        <w:t>er i 2021</w:t>
      </w:r>
      <w:r w:rsidR="00463410">
        <w:rPr>
          <w:rFonts w:cstheme="minorHAnsi"/>
        </w:rPr>
        <w:t xml:space="preserve"> til 68</w:t>
      </w:r>
      <w:r w:rsidR="0000097D">
        <w:rPr>
          <w:rFonts w:cstheme="minorHAnsi"/>
        </w:rPr>
        <w:t xml:space="preserve"> avlagte doktorgrader i 2022</w:t>
      </w:r>
      <w:r w:rsidR="00C64A51">
        <w:rPr>
          <w:rFonts w:cstheme="minorHAnsi"/>
        </w:rPr>
        <w:t>,</w:t>
      </w:r>
      <w:r w:rsidR="004119A3">
        <w:rPr>
          <w:rFonts w:cstheme="minorHAnsi"/>
        </w:rPr>
        <w:t xml:space="preserve"> en nedg</w:t>
      </w:r>
      <w:r w:rsidR="00BF55C0">
        <w:rPr>
          <w:rFonts w:cstheme="minorHAnsi"/>
        </w:rPr>
        <w:t>a</w:t>
      </w:r>
      <w:r w:rsidR="004119A3">
        <w:rPr>
          <w:rFonts w:cstheme="minorHAnsi"/>
        </w:rPr>
        <w:t xml:space="preserve">ng på </w:t>
      </w:r>
      <w:r w:rsidR="00663B24">
        <w:rPr>
          <w:rFonts w:cstheme="minorHAnsi"/>
        </w:rPr>
        <w:t>21 prosent</w:t>
      </w:r>
      <w:r w:rsidR="00E847D8">
        <w:rPr>
          <w:rFonts w:cstheme="minorHAnsi"/>
        </w:rPr>
        <w:t>.</w:t>
      </w:r>
      <w:r w:rsidR="00663B24">
        <w:rPr>
          <w:rFonts w:cstheme="minorHAnsi"/>
        </w:rPr>
        <w:t xml:space="preserve"> </w:t>
      </w:r>
      <w:r w:rsidR="009D02A1">
        <w:rPr>
          <w:rFonts w:cstheme="minorHAnsi"/>
        </w:rPr>
        <w:t>Blant de</w:t>
      </w:r>
      <w:r w:rsidR="00EA5E5C">
        <w:rPr>
          <w:rFonts w:cstheme="minorHAnsi"/>
        </w:rPr>
        <w:t>m</w:t>
      </w:r>
      <w:r w:rsidR="009D02A1">
        <w:rPr>
          <w:rFonts w:cstheme="minorHAnsi"/>
        </w:rPr>
        <w:t xml:space="preserve"> som har hatt </w:t>
      </w:r>
      <w:r w:rsidR="00C15A85">
        <w:rPr>
          <w:rFonts w:cstheme="minorHAnsi"/>
        </w:rPr>
        <w:t xml:space="preserve">en </w:t>
      </w:r>
      <w:r w:rsidR="009D02A1">
        <w:rPr>
          <w:rFonts w:cstheme="minorHAnsi"/>
        </w:rPr>
        <w:t>økning i antall avlagte doktorgrader</w:t>
      </w:r>
      <w:r w:rsidR="00C64A51">
        <w:rPr>
          <w:rFonts w:cstheme="minorHAnsi"/>
        </w:rPr>
        <w:t>,</w:t>
      </w:r>
      <w:r w:rsidR="009D02A1">
        <w:rPr>
          <w:rFonts w:cstheme="minorHAnsi"/>
        </w:rPr>
        <w:t xml:space="preserve"> skiller </w:t>
      </w:r>
      <w:proofErr w:type="spellStart"/>
      <w:r w:rsidR="009D02A1">
        <w:rPr>
          <w:rFonts w:cstheme="minorHAnsi"/>
        </w:rPr>
        <w:t>USN</w:t>
      </w:r>
      <w:proofErr w:type="spellEnd"/>
      <w:r w:rsidR="009D02A1">
        <w:rPr>
          <w:rFonts w:cstheme="minorHAnsi"/>
        </w:rPr>
        <w:t xml:space="preserve"> og NU seg ut </w:t>
      </w:r>
      <w:r w:rsidR="009F3E4A">
        <w:rPr>
          <w:rFonts w:cstheme="minorHAnsi"/>
        </w:rPr>
        <w:t>med en</w:t>
      </w:r>
      <w:r w:rsidR="009D02A1">
        <w:rPr>
          <w:rFonts w:cstheme="minorHAnsi"/>
        </w:rPr>
        <w:t xml:space="preserve"> </w:t>
      </w:r>
      <w:r w:rsidR="00104F4B">
        <w:rPr>
          <w:rFonts w:cstheme="minorHAnsi"/>
        </w:rPr>
        <w:t>økning på henholdsvis</w:t>
      </w:r>
      <w:r w:rsidR="009D02A1">
        <w:rPr>
          <w:rFonts w:cstheme="minorHAnsi"/>
        </w:rPr>
        <w:t xml:space="preserve"> </w:t>
      </w:r>
      <w:r w:rsidR="00C103B7">
        <w:rPr>
          <w:rFonts w:cstheme="minorHAnsi"/>
        </w:rPr>
        <w:t>33 og 21 prosent</w:t>
      </w:r>
      <w:r w:rsidR="009D02A1">
        <w:rPr>
          <w:rFonts w:cstheme="minorHAnsi"/>
        </w:rPr>
        <w:t xml:space="preserve"> </w:t>
      </w:r>
      <w:r w:rsidR="00751AC2">
        <w:rPr>
          <w:rFonts w:cstheme="minorHAnsi"/>
        </w:rPr>
        <w:t>fra 2021 til 2022</w:t>
      </w:r>
      <w:r w:rsidR="0052221B">
        <w:rPr>
          <w:rFonts w:cstheme="minorHAnsi"/>
        </w:rPr>
        <w:t>. Begge institusjonene</w:t>
      </w:r>
      <w:r w:rsidR="00751AC2">
        <w:rPr>
          <w:rFonts w:cstheme="minorHAnsi"/>
        </w:rPr>
        <w:t xml:space="preserve"> </w:t>
      </w:r>
      <w:r w:rsidR="0052221B">
        <w:rPr>
          <w:rFonts w:cstheme="minorHAnsi"/>
        </w:rPr>
        <w:t>hadde</w:t>
      </w:r>
      <w:r w:rsidR="00751AC2">
        <w:rPr>
          <w:rFonts w:cstheme="minorHAnsi"/>
        </w:rPr>
        <w:t xml:space="preserve"> </w:t>
      </w:r>
      <w:r w:rsidR="003313A0">
        <w:rPr>
          <w:rFonts w:cstheme="minorHAnsi"/>
        </w:rPr>
        <w:t xml:space="preserve">i 2022 </w:t>
      </w:r>
      <w:r w:rsidR="00751AC2">
        <w:rPr>
          <w:rFonts w:cstheme="minorHAnsi"/>
        </w:rPr>
        <w:t xml:space="preserve">det høyeste antallet </w:t>
      </w:r>
      <w:r w:rsidR="00E97C95">
        <w:rPr>
          <w:rFonts w:cstheme="minorHAnsi"/>
        </w:rPr>
        <w:t>avlagte doktorgrader</w:t>
      </w:r>
      <w:r w:rsidR="009D02A1">
        <w:rPr>
          <w:rFonts w:cstheme="minorHAnsi"/>
        </w:rPr>
        <w:t xml:space="preserve"> </w:t>
      </w:r>
      <w:r w:rsidR="003313A0">
        <w:rPr>
          <w:rFonts w:cstheme="minorHAnsi"/>
        </w:rPr>
        <w:t>noensinne</w:t>
      </w:r>
      <w:r w:rsidR="00EC6869">
        <w:rPr>
          <w:rFonts w:cstheme="minorHAnsi"/>
        </w:rPr>
        <w:t>,</w:t>
      </w:r>
      <w:r w:rsidR="008861DC">
        <w:rPr>
          <w:rFonts w:cstheme="minorHAnsi"/>
        </w:rPr>
        <w:t xml:space="preserve"> </w:t>
      </w:r>
      <w:r w:rsidR="00F55AB1">
        <w:rPr>
          <w:rFonts w:cstheme="minorHAnsi"/>
        </w:rPr>
        <w:t xml:space="preserve">henholdsvis </w:t>
      </w:r>
      <w:r w:rsidR="008A52BA">
        <w:rPr>
          <w:rFonts w:cstheme="minorHAnsi"/>
        </w:rPr>
        <w:t>36 og 3</w:t>
      </w:r>
      <w:r w:rsidR="007F5526">
        <w:rPr>
          <w:rFonts w:cstheme="minorHAnsi"/>
        </w:rPr>
        <w:t>4</w:t>
      </w:r>
      <w:r w:rsidR="00280014">
        <w:rPr>
          <w:rFonts w:cstheme="minorHAnsi"/>
        </w:rPr>
        <w:t>.</w:t>
      </w:r>
      <w:r w:rsidR="009D02A1">
        <w:rPr>
          <w:rFonts w:cstheme="minorHAnsi"/>
        </w:rPr>
        <w:t xml:space="preserve"> </w:t>
      </w:r>
      <w:r w:rsidR="00663B24" w:rsidRPr="00F570A8">
        <w:t xml:space="preserve">Se </w:t>
      </w:r>
      <w:proofErr w:type="spellStart"/>
      <w:r w:rsidR="00663B24" w:rsidRPr="00F570A8">
        <w:t>vedleggstabell</w:t>
      </w:r>
      <w:proofErr w:type="spellEnd"/>
      <w:r w:rsidR="00663B24" w:rsidRPr="00F570A8">
        <w:t xml:space="preserve"> </w:t>
      </w:r>
      <w:hyperlink r:id="rId84" w:history="1">
        <w:r w:rsidR="00663B24" w:rsidRPr="00F61455">
          <w:rPr>
            <w:rStyle w:val="Hyperkobling"/>
          </w:rPr>
          <w:t>V3.1</w:t>
        </w:r>
      </w:hyperlink>
      <w:r w:rsidR="00663B24" w:rsidRPr="00F570A8">
        <w:t xml:space="preserve"> for avlagte doktorgrader per institusjon.</w:t>
      </w:r>
    </w:p>
    <w:p w14:paraId="080840C9" w14:textId="1D44A637" w:rsidR="00CB401B" w:rsidRDefault="00960F84" w:rsidP="006856BF">
      <w:pPr>
        <w:pStyle w:val="Ikkeibruk"/>
        <w:spacing w:line="276" w:lineRule="auto"/>
        <w:rPr>
          <w:rFonts w:cstheme="minorHAnsi"/>
        </w:rPr>
      </w:pPr>
      <w:r>
        <w:rPr>
          <w:rFonts w:cstheme="minorHAnsi"/>
          <w:sz w:val="20"/>
          <w:szCs w:val="24"/>
        </w:rPr>
        <w:t>Nedgangen i antall avlagte doktorgrader de siste to årene har funnet sted til tross for at antall inngåtte doktorgradsavtaler steg hvert år i perioden 2013</w:t>
      </w:r>
      <w:r w:rsidR="00827118">
        <w:t>–</w:t>
      </w:r>
      <w:r>
        <w:rPr>
          <w:rFonts w:cstheme="minorHAnsi"/>
          <w:sz w:val="20"/>
          <w:szCs w:val="24"/>
        </w:rPr>
        <w:t>2018</w:t>
      </w:r>
      <w:r w:rsidR="00C51F9E">
        <w:rPr>
          <w:rFonts w:cstheme="minorHAnsi"/>
          <w:sz w:val="20"/>
          <w:szCs w:val="24"/>
        </w:rPr>
        <w:t xml:space="preserve"> (se </w:t>
      </w:r>
      <w:hyperlink r:id="rId85" w:history="1">
        <w:proofErr w:type="spellStart"/>
        <w:r w:rsidR="007D4A57">
          <w:rPr>
            <w:rStyle w:val="Hyperkobling"/>
            <w:rFonts w:cstheme="minorHAnsi"/>
            <w:sz w:val="20"/>
            <w:szCs w:val="24"/>
          </w:rPr>
          <w:t>DBH</w:t>
        </w:r>
        <w:proofErr w:type="spellEnd"/>
      </w:hyperlink>
      <w:r w:rsidR="007D4A57">
        <w:rPr>
          <w:rStyle w:val="Hyperkobling"/>
          <w:rFonts w:cstheme="minorHAnsi"/>
          <w:sz w:val="20"/>
          <w:szCs w:val="24"/>
        </w:rPr>
        <w:t>)</w:t>
      </w:r>
      <w:r>
        <w:rPr>
          <w:rFonts w:cstheme="minorHAnsi"/>
          <w:sz w:val="20"/>
          <w:szCs w:val="24"/>
        </w:rPr>
        <w:t xml:space="preserve">. </w:t>
      </w:r>
      <w:r w:rsidR="006B6F87">
        <w:rPr>
          <w:rFonts w:cstheme="minorHAnsi"/>
          <w:sz w:val="20"/>
          <w:szCs w:val="24"/>
        </w:rPr>
        <w:t>Det er</w:t>
      </w:r>
      <w:r w:rsidR="00331226">
        <w:rPr>
          <w:rFonts w:cstheme="minorHAnsi"/>
          <w:sz w:val="20"/>
          <w:szCs w:val="24"/>
        </w:rPr>
        <w:t xml:space="preserve"> grunn til å se dette i sammenheng med </w:t>
      </w:r>
      <w:r w:rsidR="003B0D66">
        <w:rPr>
          <w:rFonts w:cstheme="minorHAnsi"/>
          <w:sz w:val="20"/>
          <w:szCs w:val="24"/>
        </w:rPr>
        <w:t xml:space="preserve">pandemien. </w:t>
      </w:r>
      <w:r w:rsidR="00CB401B" w:rsidRPr="00152325">
        <w:rPr>
          <w:rFonts w:cstheme="minorHAnsi"/>
          <w:sz w:val="20"/>
        </w:rPr>
        <w:t>Flere kartlegginger gjennomført under og etter pandemien har satt søkelyset på stipendiater som en sårbar gruppe. Mange stipendiater har hatt behov for forlengelse for å fullføre doktorgradsprosjektet, og det er forventet at det kan bli forsinkelser</w:t>
      </w:r>
      <w:r w:rsidR="00FA3617" w:rsidRPr="00152325">
        <w:rPr>
          <w:rFonts w:cstheme="minorHAnsi"/>
          <w:sz w:val="20"/>
        </w:rPr>
        <w:t>,</w:t>
      </w:r>
      <w:r w:rsidR="00CB401B" w:rsidRPr="00152325">
        <w:rPr>
          <w:rFonts w:cstheme="minorHAnsi"/>
          <w:sz w:val="20"/>
        </w:rPr>
        <w:t xml:space="preserve"> </w:t>
      </w:r>
      <w:r w:rsidR="00431686" w:rsidRPr="00152325">
        <w:rPr>
          <w:rFonts w:cstheme="minorHAnsi"/>
          <w:sz w:val="20"/>
        </w:rPr>
        <w:t>og dermed nedgang i antall avlagte</w:t>
      </w:r>
      <w:r w:rsidR="00CB401B" w:rsidRPr="00152325">
        <w:rPr>
          <w:rFonts w:cstheme="minorHAnsi"/>
          <w:sz w:val="20"/>
        </w:rPr>
        <w:t xml:space="preserve"> </w:t>
      </w:r>
      <w:r w:rsidR="00FA3617" w:rsidRPr="00152325">
        <w:rPr>
          <w:rFonts w:cstheme="minorHAnsi"/>
          <w:sz w:val="20"/>
        </w:rPr>
        <w:t>doktorgrader</w:t>
      </w:r>
      <w:r w:rsidR="00CB401B">
        <w:rPr>
          <w:rFonts w:cstheme="minorHAnsi"/>
          <w:sz w:val="20"/>
        </w:rPr>
        <w:t xml:space="preserve"> </w:t>
      </w:r>
      <w:r w:rsidR="006C4741">
        <w:rPr>
          <w:rFonts w:cstheme="minorHAnsi"/>
          <w:sz w:val="20"/>
        </w:rPr>
        <w:t>også</w:t>
      </w:r>
      <w:r w:rsidR="00CB401B" w:rsidRPr="00152325">
        <w:rPr>
          <w:rFonts w:cstheme="minorHAnsi"/>
          <w:sz w:val="20"/>
        </w:rPr>
        <w:t xml:space="preserve"> i flere år fremover</w:t>
      </w:r>
      <w:r w:rsidR="00163BE5">
        <w:rPr>
          <w:rFonts w:cstheme="minorHAnsi"/>
          <w:sz w:val="20"/>
        </w:rPr>
        <w:t xml:space="preserve"> </w:t>
      </w:r>
      <w:r w:rsidR="00D22B73">
        <w:rPr>
          <w:rFonts w:cstheme="minorHAnsi"/>
          <w:sz w:val="20"/>
        </w:rPr>
        <w:fldChar w:fldCharType="begin"/>
      </w:r>
      <w:r w:rsidR="00D22B73">
        <w:rPr>
          <w:rFonts w:cstheme="minorHAnsi"/>
          <w:sz w:val="20"/>
        </w:rPr>
        <w:instrText xml:space="preserve"> ADDIN EN.CITE &lt;EndNote&gt;&lt;Cite&gt;&lt;Author&gt;Solberg&lt;/Author&gt;&lt;Year&gt;2021&lt;/Year&gt;&lt;RecNum&gt;1477&lt;/RecNum&gt;&lt;DisplayText&gt;(Solberg et al., 2021)&lt;/DisplayText&gt;&lt;record&gt;&lt;rec-number&gt;1477&lt;/rec-number&gt;&lt;foreign-keys&gt;&lt;key app="EN" db-id="s09wp0wxtwz9aue509w52eagvset90vxefrw" timestamp="1683212898" guid="3a7d3f71-8aa9-456c-94fe-2a3515660bf7"&gt;1477&lt;/key&gt;&lt;/foreign-keys&gt;&lt;ref-type name="Report"&gt;27&lt;/ref-type&gt;&lt;contributors&gt;&lt;authors&gt;&lt;author&gt;Solberg, Espen &lt;/author&gt;&lt;author&gt;Hovdhaugen, Elisabeth&lt;/author&gt;&lt;author&gt;Gulbrandsen, Magnus&lt;/author&gt;&lt;author&gt;Scordato, Lisa&lt;/author&gt;&lt;author&gt;Svartefoss, Silje Marie&lt;/author&gt;&lt;author&gt;Eide, Thea&lt;/author&gt;&lt;/authors&gt;&lt;tertiary-authors&gt;&lt;author&gt;NIFU&lt;/author&gt;&lt;/tertiary-authors&gt;&lt;/contributors&gt;&lt;titles&gt;&lt;title&gt;Et akademisk annerledesår: Konsekvenser og håndtering av koronapandemien ved norske universiteter og høgskoler&lt;/title&gt;&lt;/titles&gt;&lt;dates&gt;&lt;year&gt;2021&lt;/year&gt;&lt;/dates&gt;&lt;publisher&gt;NIFU&lt;/publisher&gt;&lt;isbn&gt;NIFU-rapport 2021:9&lt;/isbn&gt;&lt;urls&gt;&lt;related-urls&gt;&lt;url&gt;https://nifu.brage.unit.no/nifu-xmlui/handle/11250/2737339&lt;/url&gt;&lt;/related-urls&gt;&lt;/urls&gt;&lt;/record&gt;&lt;/Cite&gt;&lt;/EndNote&gt;</w:instrText>
      </w:r>
      <w:r w:rsidR="00D22B73">
        <w:rPr>
          <w:rFonts w:cstheme="minorHAnsi"/>
          <w:sz w:val="20"/>
        </w:rPr>
        <w:fldChar w:fldCharType="separate"/>
      </w:r>
      <w:r w:rsidR="00D22B73">
        <w:rPr>
          <w:rFonts w:cstheme="minorHAnsi"/>
          <w:noProof/>
          <w:sz w:val="20"/>
        </w:rPr>
        <w:t>(Solberg et al., 2021)</w:t>
      </w:r>
      <w:r w:rsidR="00D22B73">
        <w:rPr>
          <w:rFonts w:cstheme="minorHAnsi"/>
          <w:sz w:val="20"/>
        </w:rPr>
        <w:fldChar w:fldCharType="end"/>
      </w:r>
      <w:r w:rsidR="008449A9">
        <w:rPr>
          <w:rFonts w:cstheme="minorHAnsi"/>
          <w:sz w:val="20"/>
        </w:rPr>
        <w:t xml:space="preserve"> </w:t>
      </w:r>
      <w:r w:rsidR="004E226C">
        <w:rPr>
          <w:rFonts w:cstheme="minorHAnsi"/>
          <w:sz w:val="20"/>
        </w:rPr>
        <w:fldChar w:fldCharType="begin"/>
      </w:r>
      <w:r w:rsidR="008449A9">
        <w:rPr>
          <w:rFonts w:cstheme="minorHAnsi"/>
          <w:sz w:val="20"/>
        </w:rPr>
        <w:instrText xml:space="preserve"> ADDIN EN.CITE &lt;EndNote&gt;&lt;Cite&gt;&lt;Author&gt;Stipendiatorganisasjonene&lt;/Author&gt;&lt;Year&gt;2023&lt;/Year&gt;&lt;RecNum&gt;1861&lt;/RecNum&gt;&lt;DisplayText&gt;(Stipendiatorganisasjonene, 2023)&lt;/DisplayText&gt;&lt;record&gt;&lt;rec-number&gt;1861&lt;/rec-number&gt;&lt;foreign-keys&gt;&lt;key app="EN" db-id="s09wp0wxtwz9aue509w52eagvset90vxefrw" timestamp="1683217483" guid="65168659-8391-4834-ae1b-78cff1cc9fb8"&gt;1861&lt;/key&gt;&lt;/foreign-keys&gt;&lt;ref-type name="Press Release"&gt;63&lt;/ref-type&gt;&lt;contributors&gt;&lt;authors&gt;&lt;author&gt;Stipendiatorganisasjonene&lt;/author&gt;&lt;/authors&gt;&lt;secondary-authors&gt;&lt;author&gt;Stipendiatorganisasjonene i Norge &lt;/author&gt;&lt;/secondary-authors&gt;&lt;/contributors&gt;&lt;titles&gt;&lt;title&gt;STADIGE FORSINKELSER OG VEDVARENDE USIKKERHET BLANT STIPENDIATER». PRESSEMELDING FRA STIPENDIATORGANISASJONENE I NORGE&lt;/title&gt;&lt;/titles&gt;&lt;dates&gt;&lt;year&gt;2023&lt;/year&gt;&lt;/dates&gt;&lt;publisher&gt;Stipendiatorganisasjonene i Norge &lt;/publisher&gt;&lt;urls&gt;&lt;related-urls&gt;&lt;url&gt;https://stipendiat.no/2023/01/16-12-22-pressemelding-fra-stipendiatorganisasjonene-i-norge-sin/&lt;/url&gt;&lt;/related-urls&gt;&lt;/urls&gt;&lt;/record&gt;&lt;/Cite&gt;&lt;/EndNote&gt;</w:instrText>
      </w:r>
      <w:r w:rsidR="004E226C">
        <w:rPr>
          <w:rFonts w:cstheme="minorHAnsi"/>
          <w:sz w:val="20"/>
        </w:rPr>
        <w:fldChar w:fldCharType="separate"/>
      </w:r>
      <w:r w:rsidR="008449A9">
        <w:rPr>
          <w:rFonts w:cstheme="minorHAnsi"/>
          <w:noProof/>
          <w:sz w:val="20"/>
        </w:rPr>
        <w:t>(Stipendiatorganisasjonene, 2023)</w:t>
      </w:r>
      <w:r w:rsidR="004E226C">
        <w:rPr>
          <w:rFonts w:cstheme="minorHAnsi"/>
          <w:sz w:val="20"/>
        </w:rPr>
        <w:fldChar w:fldCharType="end"/>
      </w:r>
      <w:r w:rsidR="004A549C">
        <w:rPr>
          <w:rFonts w:cstheme="minorHAnsi"/>
          <w:sz w:val="20"/>
        </w:rPr>
        <w:t>.</w:t>
      </w:r>
      <w:r w:rsidR="00CB401B" w:rsidRPr="004360CF">
        <w:rPr>
          <w:rFonts w:cstheme="minorHAnsi"/>
        </w:rPr>
        <w:t xml:space="preserve"> </w:t>
      </w:r>
    </w:p>
    <w:p w14:paraId="2DF0C409" w14:textId="20EE9001" w:rsidR="0076458F" w:rsidRDefault="0076458F" w:rsidP="0076458F">
      <w:pPr>
        <w:pStyle w:val="Bildetekst"/>
        <w:keepNext/>
      </w:pPr>
      <w:bookmarkStart w:id="113" w:name="_Ref133166970"/>
      <w:bookmarkStart w:id="114" w:name="_Toc134792783"/>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1</w:t>
      </w:r>
      <w:r>
        <w:fldChar w:fldCharType="end"/>
      </w:r>
      <w:bookmarkEnd w:id="113"/>
      <w:r>
        <w:t xml:space="preserve"> </w:t>
      </w:r>
      <w:r w:rsidRPr="00827763">
        <w:t>Totalt antall avlagte doktorgrader 201</w:t>
      </w:r>
      <w:r>
        <w:t>3</w:t>
      </w:r>
      <w:r w:rsidRPr="00827763">
        <w:t>–2</w:t>
      </w:r>
      <w:r>
        <w:t>2</w:t>
      </w:r>
      <w:r w:rsidRPr="00827763">
        <w:t>, fordelt på kjønn</w:t>
      </w:r>
      <w:bookmarkEnd w:id="114"/>
    </w:p>
    <w:p w14:paraId="1D3CFE90" w14:textId="1DD7D122" w:rsidR="000E0BEA" w:rsidRPr="000E0BEA" w:rsidRDefault="003358FB" w:rsidP="000E0BEA">
      <w:pPr>
        <w:spacing w:after="0" w:line="240" w:lineRule="auto"/>
        <w:rPr>
          <w:rFonts w:ascii="Times New Roman" w:eastAsia="Times New Roman" w:hAnsi="Times New Roman" w:cs="Times New Roman"/>
          <w:sz w:val="24"/>
          <w:szCs w:val="24"/>
          <w:lang w:eastAsia="nb-NO"/>
        </w:rPr>
      </w:pPr>
      <w:r>
        <w:rPr>
          <w:noProof/>
        </w:rPr>
        <w:drawing>
          <wp:inline distT="0" distB="0" distL="0" distR="0" wp14:anchorId="565E5DB5" wp14:editId="6EE3F7D0">
            <wp:extent cx="5179060" cy="3335628"/>
            <wp:effectExtent l="0" t="0" r="2540" b="17780"/>
            <wp:docPr id="25" name="Diagram 25">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1850679" w14:textId="34DD8D01" w:rsidR="00965A6E" w:rsidRPr="00965A6E" w:rsidRDefault="00965A6E" w:rsidP="00965A6E">
      <w:pPr>
        <w:spacing w:after="0" w:line="240" w:lineRule="auto"/>
        <w:rPr>
          <w:rFonts w:ascii="Times New Roman" w:eastAsia="Times New Roman" w:hAnsi="Times New Roman" w:cs="Times New Roman"/>
          <w:sz w:val="24"/>
          <w:szCs w:val="24"/>
          <w:lang w:eastAsia="nb-NO"/>
        </w:rPr>
      </w:pPr>
    </w:p>
    <w:p w14:paraId="56D97FEE" w14:textId="404687CB" w:rsidR="00E0624E" w:rsidRPr="00252FF6" w:rsidRDefault="00E0624E" w:rsidP="00E0624E">
      <w:pPr>
        <w:pStyle w:val="Kilde"/>
        <w:rPr>
          <w:lang w:eastAsia="nb-NO"/>
        </w:rPr>
      </w:pPr>
      <w:r>
        <w:rPr>
          <w:lang w:eastAsia="nb-NO"/>
        </w:rPr>
        <w:t xml:space="preserve">Kilde: </w:t>
      </w:r>
      <w:proofErr w:type="spellStart"/>
      <w:r>
        <w:rPr>
          <w:lang w:eastAsia="nb-NO"/>
        </w:rPr>
        <w:t>DBH</w:t>
      </w:r>
      <w:proofErr w:type="spellEnd"/>
    </w:p>
    <w:p w14:paraId="79C8973A" w14:textId="77777777" w:rsidR="003358FB" w:rsidRDefault="003358FB">
      <w:pPr>
        <w:rPr>
          <w:rFonts w:asciiTheme="majorHAnsi" w:eastAsiaTheme="majorEastAsia" w:hAnsiTheme="majorHAnsi" w:cstheme="majorBidi"/>
          <w:b/>
          <w:color w:val="362683"/>
          <w:sz w:val="24"/>
          <w:szCs w:val="26"/>
        </w:rPr>
      </w:pPr>
      <w:r>
        <w:br w:type="page"/>
      </w:r>
    </w:p>
    <w:p w14:paraId="73D008BA" w14:textId="7B11ED46" w:rsidR="00745792" w:rsidRDefault="00010277" w:rsidP="00AE4B98">
      <w:pPr>
        <w:pStyle w:val="Overskrift3"/>
      </w:pPr>
      <w:bookmarkStart w:id="115" w:name="_Toc134792738"/>
      <w:r w:rsidRPr="00010277">
        <w:lastRenderedPageBreak/>
        <w:t>Fagområdefordeling på avlagte doktorgrader</w:t>
      </w:r>
      <w:bookmarkEnd w:id="115"/>
    </w:p>
    <w:p w14:paraId="41A36AEC" w14:textId="0D9336D9" w:rsidR="00FF0A8E" w:rsidRDefault="005F571C" w:rsidP="00FF0A8E">
      <w:r>
        <w:t>F</w:t>
      </w:r>
      <w:r w:rsidR="00AF5451">
        <w:t>or</w:t>
      </w:r>
      <w:r w:rsidR="00026E3D">
        <w:t xml:space="preserve">delingen av avlagte doktorgrader mellom fagområdene </w:t>
      </w:r>
      <w:r w:rsidR="00494AAF">
        <w:t>er</w:t>
      </w:r>
      <w:r w:rsidR="00026E3D">
        <w:t xml:space="preserve"> </w:t>
      </w:r>
      <w:r w:rsidR="0054496F">
        <w:t>temmelig</w:t>
      </w:r>
      <w:r w:rsidR="00026E3D">
        <w:t xml:space="preserve"> stabil</w:t>
      </w:r>
      <w:r>
        <w:t xml:space="preserve"> over tid</w:t>
      </w:r>
      <w:r w:rsidR="0075392A">
        <w:t xml:space="preserve">. </w:t>
      </w:r>
      <w:r w:rsidR="00D03FB8">
        <w:t>Den samlede n</w:t>
      </w:r>
      <w:r w:rsidR="00922397">
        <w:t>edgangen i antall</w:t>
      </w:r>
      <w:r w:rsidR="0072307A">
        <w:t xml:space="preserve"> </w:t>
      </w:r>
      <w:r w:rsidR="00FF0A8E">
        <w:t xml:space="preserve">avlagte doktorgrader </w:t>
      </w:r>
      <w:r w:rsidR="005775DE">
        <w:t xml:space="preserve">i 2022 </w:t>
      </w:r>
      <w:r w:rsidR="00FF0A8E">
        <w:t xml:space="preserve">skyldes i hovedsak en </w:t>
      </w:r>
      <w:r w:rsidR="00BE1365">
        <w:t xml:space="preserve">markert </w:t>
      </w:r>
      <w:r w:rsidR="00FF0A8E">
        <w:t xml:space="preserve">nedgang </w:t>
      </w:r>
      <w:r w:rsidR="002D2B7C">
        <w:t>innenfor</w:t>
      </w:r>
      <w:r w:rsidR="005775DE">
        <w:t xml:space="preserve"> matematikk og naturvitenskap</w:t>
      </w:r>
      <w:r w:rsidR="00494AAF">
        <w:t>,</w:t>
      </w:r>
      <w:r w:rsidR="001A6B12">
        <w:t xml:space="preserve"> fra 319 i 2021 til 258 i </w:t>
      </w:r>
      <w:r w:rsidR="00635CB3">
        <w:t>2022.</w:t>
      </w:r>
      <w:r w:rsidR="0054496F">
        <w:t xml:space="preserve"> </w:t>
      </w:r>
      <w:r w:rsidR="00A8719F">
        <w:t xml:space="preserve">For fire av fagområdene ser vi en svak økning i avlagte </w:t>
      </w:r>
      <w:r w:rsidR="00FF0A8E">
        <w:t xml:space="preserve">doktorgrader </w:t>
      </w:r>
      <w:r w:rsidR="00A8719F">
        <w:t xml:space="preserve">i </w:t>
      </w:r>
      <w:r w:rsidR="00404770">
        <w:t>2022</w:t>
      </w:r>
      <w:r w:rsidR="00D05E49">
        <w:t>,</w:t>
      </w:r>
      <w:r w:rsidR="00A93C17">
        <w:t xml:space="preserve"> se </w:t>
      </w:r>
      <w:r w:rsidR="00531AA4">
        <w:fldChar w:fldCharType="begin"/>
      </w:r>
      <w:r w:rsidR="00531AA4">
        <w:instrText xml:space="preserve"> REF  _Ref133167096 \* Lower \h </w:instrText>
      </w:r>
      <w:r w:rsidR="00531AA4">
        <w:fldChar w:fldCharType="separate"/>
      </w:r>
      <w:r w:rsidR="00F262EF">
        <w:t xml:space="preserve">figur </w:t>
      </w:r>
      <w:r w:rsidR="00F262EF">
        <w:rPr>
          <w:noProof/>
        </w:rPr>
        <w:t>3</w:t>
      </w:r>
      <w:r w:rsidR="00F262EF">
        <w:t>.</w:t>
      </w:r>
      <w:r w:rsidR="00F262EF">
        <w:rPr>
          <w:noProof/>
        </w:rPr>
        <w:t>2</w:t>
      </w:r>
      <w:r w:rsidR="00531AA4">
        <w:fldChar w:fldCharType="end"/>
      </w:r>
      <w:r w:rsidR="00D05E49">
        <w:t xml:space="preserve">. </w:t>
      </w:r>
      <w:r w:rsidR="00D86B6E">
        <w:t xml:space="preserve">Denne økningen var imidlertid samlet sett mindre </w:t>
      </w:r>
      <w:r w:rsidR="001635DC">
        <w:t>enn nedgangen innenfor</w:t>
      </w:r>
      <w:r w:rsidR="00FF0A8E">
        <w:t xml:space="preserve"> matematikk og naturvitenskap</w:t>
      </w:r>
      <w:r w:rsidR="001635DC">
        <w:t xml:space="preserve">. </w:t>
      </w:r>
    </w:p>
    <w:p w14:paraId="3549B24E" w14:textId="5434F041" w:rsidR="00FF0A8E" w:rsidRDefault="00FF0A8E" w:rsidP="00FF0A8E">
      <w:r>
        <w:t>For fagområdet teknologi</w:t>
      </w:r>
      <w:r w:rsidRPr="008837E8">
        <w:t xml:space="preserve"> </w:t>
      </w:r>
      <w:r>
        <w:t>har det vært en jevn vekst, og dette er nå det tredje største fagområdet med 18 prosent av de avlagte doktorgradene.</w:t>
      </w:r>
      <w:r w:rsidR="00FD04A6">
        <w:t xml:space="preserve"> For 10 år siden var matematikk og na</w:t>
      </w:r>
      <w:r w:rsidR="00EB09F8">
        <w:t>turvitenskap nesten dobbelt så stort</w:t>
      </w:r>
      <w:r w:rsidR="00AC3D83">
        <w:t xml:space="preserve"> i antall doktorgrader </w:t>
      </w:r>
      <w:r w:rsidR="007907B9">
        <w:t xml:space="preserve">som </w:t>
      </w:r>
      <w:r w:rsidR="00004216">
        <w:t>teknologi</w:t>
      </w:r>
      <w:r w:rsidR="00A75AF0">
        <w:t>, mens det i</w:t>
      </w:r>
      <w:r w:rsidR="000E6390">
        <w:t xml:space="preserve"> 2022 </w:t>
      </w:r>
      <w:r w:rsidR="00637764">
        <w:t>ble avlagt flere doktorgrader innenfor teknologi</w:t>
      </w:r>
      <w:r w:rsidR="00CC7040">
        <w:t xml:space="preserve"> enn i matematikk og naturvitenskap</w:t>
      </w:r>
      <w:r w:rsidR="00944117">
        <w:t xml:space="preserve">. </w:t>
      </w:r>
      <w:r w:rsidR="00421C23">
        <w:t xml:space="preserve">Nedgangen i avlagte doktorgrader </w:t>
      </w:r>
      <w:r w:rsidR="00FE07C4">
        <w:t xml:space="preserve">i matematikk og naturvitenskap må ses </w:t>
      </w:r>
      <w:r w:rsidR="005A5899">
        <w:t xml:space="preserve">i sammenheng med nedgangen </w:t>
      </w:r>
      <w:r w:rsidR="00BC18C5">
        <w:t>doktorgrader avlagt av utenlandske statsborgere</w:t>
      </w:r>
      <w:r w:rsidR="00636958">
        <w:t xml:space="preserve">, se kapittel </w:t>
      </w:r>
      <w:r w:rsidR="00636958">
        <w:fldChar w:fldCharType="begin"/>
      </w:r>
      <w:r w:rsidR="00636958">
        <w:instrText xml:space="preserve"> REF _Ref134627214 \r \h </w:instrText>
      </w:r>
      <w:r w:rsidR="00636958">
        <w:fldChar w:fldCharType="separate"/>
      </w:r>
      <w:r w:rsidR="00F262EF">
        <w:t>3.3</w:t>
      </w:r>
      <w:r w:rsidR="00636958">
        <w:fldChar w:fldCharType="end"/>
      </w:r>
      <w:r w:rsidR="00CF367D">
        <w:t>.</w:t>
      </w:r>
    </w:p>
    <w:p w14:paraId="64BCD37F" w14:textId="3B24DF37" w:rsidR="006B4A2C" w:rsidRDefault="006B4A2C" w:rsidP="006B4A2C">
      <w:pPr>
        <w:pStyle w:val="Bildetekst"/>
        <w:keepNext/>
      </w:pPr>
      <w:bookmarkStart w:id="116" w:name="_Ref133167096"/>
      <w:bookmarkStart w:id="117" w:name="_Toc134792784"/>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2</w:t>
      </w:r>
      <w:r>
        <w:fldChar w:fldCharType="end"/>
      </w:r>
      <w:bookmarkEnd w:id="116"/>
      <w:r>
        <w:t xml:space="preserve"> </w:t>
      </w:r>
      <w:r w:rsidRPr="00275FDA">
        <w:t>Avlagte doktorgrader etter fagområde, 2013</w:t>
      </w:r>
      <w:r w:rsidR="00827118">
        <w:t>–</w:t>
      </w:r>
      <w:r w:rsidRPr="00275FDA">
        <w:t>2022</w:t>
      </w:r>
      <w:bookmarkEnd w:id="117"/>
    </w:p>
    <w:p w14:paraId="60AB344E" w14:textId="01F0A037" w:rsidR="009F76D4" w:rsidRPr="009F76D4" w:rsidRDefault="0062166D" w:rsidP="009F76D4">
      <w:r>
        <w:rPr>
          <w:noProof/>
        </w:rPr>
        <w:drawing>
          <wp:inline distT="0" distB="0" distL="0" distR="0" wp14:anchorId="073F1163" wp14:editId="6AB4F998">
            <wp:extent cx="5171847" cy="3476625"/>
            <wp:effectExtent l="0" t="0" r="10160" b="9525"/>
            <wp:docPr id="35" name="Diagram 35">
              <a:extLst xmlns:a="http://schemas.openxmlformats.org/drawingml/2006/main">
                <a:ext uri="{FF2B5EF4-FFF2-40B4-BE49-F238E27FC236}">
                  <a16:creationId xmlns:a16="http://schemas.microsoft.com/office/drawing/2014/main" id="{8657931C-7325-FB93-B444-46D294A69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A367A3F" w14:textId="2E87B980" w:rsidR="00B14A65" w:rsidRPr="00B348C0" w:rsidRDefault="00B14A65" w:rsidP="00AE5CCF">
      <w:pPr>
        <w:pStyle w:val="Kilde"/>
      </w:pPr>
      <w:r>
        <w:t xml:space="preserve">Kilde: </w:t>
      </w:r>
      <w:r w:rsidR="001647BE" w:rsidRPr="001647BE">
        <w:t xml:space="preserve">Statistisk sentralbyrå, </w:t>
      </w:r>
      <w:r w:rsidR="00A91BA4">
        <w:t>Doktorgradsregisteret</w:t>
      </w:r>
    </w:p>
    <w:p w14:paraId="333B1C9C" w14:textId="774D1786" w:rsidR="00396FE8" w:rsidRDefault="00CE2454">
      <w:pPr>
        <w:rPr>
          <w:rFonts w:asciiTheme="majorHAnsi" w:eastAsiaTheme="majorEastAsia" w:hAnsiTheme="majorHAnsi" w:cstheme="majorBidi"/>
          <w:b/>
          <w:color w:val="362683"/>
          <w:sz w:val="24"/>
          <w:szCs w:val="26"/>
        </w:rPr>
      </w:pPr>
      <w:r>
        <w:t>Kjønnsfordelingen innen de ul</w:t>
      </w:r>
      <w:r w:rsidR="008851DC">
        <w:t xml:space="preserve">ike fagområdene varierer. For 2022 ser vi at </w:t>
      </w:r>
      <w:r w:rsidR="002C6989">
        <w:t>andelen kvinnelige dok</w:t>
      </w:r>
      <w:r w:rsidR="00F41AAD">
        <w:t>torander er høyest innen lan</w:t>
      </w:r>
      <w:r w:rsidR="00D83C8C">
        <w:t>d</w:t>
      </w:r>
      <w:r w:rsidR="00F41AAD">
        <w:t>bruk</w:t>
      </w:r>
      <w:r w:rsidR="007562B7">
        <w:t>s- og fiskerifag og veterinær</w:t>
      </w:r>
      <w:r w:rsidR="00D83C8C">
        <w:t xml:space="preserve">medisin med 70 prosent. </w:t>
      </w:r>
      <w:r w:rsidR="00277A79">
        <w:t xml:space="preserve">Deretter følger medisin og helsefag med </w:t>
      </w:r>
      <w:r w:rsidR="0034513C">
        <w:t>65 prosent</w:t>
      </w:r>
      <w:r w:rsidR="0014247C">
        <w:t xml:space="preserve"> kvinner. </w:t>
      </w:r>
      <w:r w:rsidR="00770327">
        <w:t xml:space="preserve">Den laveste </w:t>
      </w:r>
      <w:r w:rsidR="00677FA3">
        <w:t xml:space="preserve">kvinneandelen </w:t>
      </w:r>
      <w:r w:rsidR="00A8291C">
        <w:t>f</w:t>
      </w:r>
      <w:r w:rsidR="00677FA3">
        <w:t>inner vi innen fagområde</w:t>
      </w:r>
      <w:r w:rsidR="00CE4F0A">
        <w:t>t</w:t>
      </w:r>
      <w:r w:rsidR="00677FA3">
        <w:t xml:space="preserve"> teknologi med </w:t>
      </w:r>
      <w:r w:rsidR="00A8291C">
        <w:t>33 prosent.</w:t>
      </w:r>
      <w:r w:rsidR="00E12BD5">
        <w:t xml:space="preserve"> </w:t>
      </w:r>
      <w:r w:rsidR="002B685E">
        <w:t>Her har imidlertid a</w:t>
      </w:r>
      <w:r w:rsidR="002B30CD">
        <w:t>ndelen kvinner økt fra 23 prosent i 2013</w:t>
      </w:r>
      <w:r w:rsidR="00E12BD5">
        <w:t>.</w:t>
      </w:r>
      <w:r w:rsidR="00396FE8">
        <w:br w:type="page"/>
      </w:r>
    </w:p>
    <w:p w14:paraId="1A8E6F1C" w14:textId="6CB9E961" w:rsidR="00010277" w:rsidRDefault="00010277" w:rsidP="00AE4B98">
      <w:pPr>
        <w:pStyle w:val="Overskrift3"/>
      </w:pPr>
      <w:bookmarkStart w:id="118" w:name="_Ref134627214"/>
      <w:bookmarkStart w:id="119" w:name="_Toc134792739"/>
      <w:r w:rsidRPr="00010277">
        <w:lastRenderedPageBreak/>
        <w:t>Utenlandske statsborgere som disputerte for doktorgrad</w:t>
      </w:r>
      <w:bookmarkEnd w:id="118"/>
      <w:bookmarkEnd w:id="119"/>
    </w:p>
    <w:p w14:paraId="149F8039" w14:textId="2E7DD94F" w:rsidR="00CF5994" w:rsidRDefault="5442E86C" w:rsidP="00A2378B">
      <w:r>
        <w:t>Det vært en økning i andelen doktorgrader</w:t>
      </w:r>
      <w:r w:rsidR="003807F5">
        <w:t xml:space="preserve"> avlagt</w:t>
      </w:r>
      <w:r>
        <w:t xml:space="preserve"> av personer med utenlandsk statsborgerskap over de siste ti årene, men andelen sank fra 4</w:t>
      </w:r>
      <w:r w:rsidR="5F3C497C">
        <w:t>4</w:t>
      </w:r>
      <w:r>
        <w:t xml:space="preserve"> prosent i 2021 til 40</w:t>
      </w:r>
      <w:r w:rsidR="14B6C7F3">
        <w:t xml:space="preserve"> </w:t>
      </w:r>
      <w:r>
        <w:t>prosent i 2022.</w:t>
      </w:r>
      <w:r w:rsidR="007A7379">
        <w:t xml:space="preserve"> </w:t>
      </w:r>
      <w:r w:rsidR="0095033C">
        <w:t>Faktisk var det ku</w:t>
      </w:r>
      <w:r w:rsidR="00B573A5">
        <w:t xml:space="preserve">n blant utenlandske </w:t>
      </w:r>
      <w:r w:rsidR="00EE63C3">
        <w:t xml:space="preserve">statsborgere antallet </w:t>
      </w:r>
      <w:r w:rsidR="00D002CD">
        <w:t xml:space="preserve">doktorander </w:t>
      </w:r>
      <w:r w:rsidR="00A50444">
        <w:t>sank i 2022</w:t>
      </w:r>
      <w:r w:rsidR="00B7333A">
        <w:t>. Ta</w:t>
      </w:r>
      <w:r w:rsidR="00A50444">
        <w:t>llet på</w:t>
      </w:r>
      <w:r w:rsidR="009C616A">
        <w:t xml:space="preserve"> doktorgrader avlagt av</w:t>
      </w:r>
      <w:r w:rsidR="00B511C0">
        <w:t xml:space="preserve"> norske statsborgere </w:t>
      </w:r>
      <w:r w:rsidR="009C616A">
        <w:t>var høyere enn i 2021.</w:t>
      </w:r>
    </w:p>
    <w:p w14:paraId="0FEE6C44" w14:textId="7F9D770A" w:rsidR="00A2378B" w:rsidRDefault="007A7379" w:rsidP="00A2378B">
      <w:r>
        <w:fldChar w:fldCharType="begin"/>
      </w:r>
      <w:r>
        <w:instrText xml:space="preserve"> REF _Ref133167192 \h </w:instrText>
      </w:r>
      <w:r>
        <w:fldChar w:fldCharType="separate"/>
      </w:r>
      <w:r w:rsidR="00F262EF">
        <w:t xml:space="preserve">Figur </w:t>
      </w:r>
      <w:r w:rsidR="00F262EF">
        <w:rPr>
          <w:noProof/>
        </w:rPr>
        <w:t>3</w:t>
      </w:r>
      <w:r w:rsidR="00F262EF">
        <w:t>.</w:t>
      </w:r>
      <w:r w:rsidR="00F262EF">
        <w:rPr>
          <w:noProof/>
        </w:rPr>
        <w:t>3</w:t>
      </w:r>
      <w:r>
        <w:fldChar w:fldCharType="end"/>
      </w:r>
      <w:r w:rsidR="5442E86C">
        <w:t xml:space="preserve"> viser hvor de utenlandske statsborgerne som disputerer i Norge kommer fra etter verdensregion. Nedgangen i antall doktorgrader er størst for Europa, Afrika og Asia, mens det har vært en økning i antall doktorgrader fra Nord-Amerika og </w:t>
      </w:r>
      <w:r w:rsidR="233E9D6E">
        <w:t>Sør- og Mellom-Amerika</w:t>
      </w:r>
      <w:r w:rsidR="5442E86C">
        <w:t xml:space="preserve"> sammenlignet med tidligere år.</w:t>
      </w:r>
    </w:p>
    <w:p w14:paraId="3558440E" w14:textId="0023A4BE" w:rsidR="007A7379" w:rsidRDefault="007A7379" w:rsidP="007A7379">
      <w:pPr>
        <w:pStyle w:val="Bildetekst"/>
        <w:keepNext/>
      </w:pPr>
      <w:bookmarkStart w:id="120" w:name="_Ref133167192"/>
      <w:bookmarkStart w:id="121" w:name="_Toc134792785"/>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3</w:t>
      </w:r>
      <w:r>
        <w:fldChar w:fldCharType="end"/>
      </w:r>
      <w:bookmarkEnd w:id="120"/>
      <w:r>
        <w:t xml:space="preserve"> </w:t>
      </w:r>
      <w:r w:rsidRPr="00127A7A">
        <w:t>Doktorander med ikke-norsk statsborgerskap 2013–22, etter verdensregion</w:t>
      </w:r>
      <w:bookmarkEnd w:id="121"/>
    </w:p>
    <w:p w14:paraId="48BC17F0" w14:textId="77777777" w:rsidR="00A2378B" w:rsidRDefault="00A2378B" w:rsidP="00A2378B">
      <w:r>
        <w:rPr>
          <w:noProof/>
        </w:rPr>
        <w:drawing>
          <wp:inline distT="0" distB="0" distL="0" distR="0" wp14:anchorId="46836B89" wp14:editId="7B93D2FA">
            <wp:extent cx="5186477" cy="3625850"/>
            <wp:effectExtent l="0" t="0" r="14605" b="12700"/>
            <wp:docPr id="41" name="Diagram 41">
              <a:extLst xmlns:a="http://schemas.openxmlformats.org/drawingml/2006/main">
                <a:ext uri="{FF2B5EF4-FFF2-40B4-BE49-F238E27FC236}">
                  <a16:creationId xmlns:a16="http://schemas.microsoft.com/office/drawing/2014/main" id="{8B1B8CD5-8D11-D251-9D7C-6E893F108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5CEF186" w14:textId="57082231" w:rsidR="00C6196B" w:rsidRDefault="00C6196B" w:rsidP="00AE5CCF">
      <w:pPr>
        <w:pStyle w:val="Kilde"/>
      </w:pPr>
      <w:r>
        <w:t xml:space="preserve">Kilde: </w:t>
      </w:r>
      <w:r w:rsidR="000E3EB5" w:rsidRPr="000E3EB5">
        <w:t xml:space="preserve">Statistisk sentralbyrå, </w:t>
      </w:r>
      <w:r w:rsidR="00B87674">
        <w:t>Doktorgradsregisteret</w:t>
      </w:r>
    </w:p>
    <w:p w14:paraId="72EF249B" w14:textId="185012B6" w:rsidR="00A2378B" w:rsidRDefault="00A2378B" w:rsidP="00A2378B">
      <w:r>
        <w:t xml:space="preserve">Fordelingen av doktorandene med utenlandsk statsborgerskap er ganske stabil tross nedgang i antallet avlagte doktorgrader fra 2021 til 2022. Vel halvparten har bakgrunn fra land i Europa, mens i underkant av 30 prosent er fra land i Asia. Doktorandene fra Afrika utgjør </w:t>
      </w:r>
      <w:r w:rsidR="00A50444">
        <w:t>9</w:t>
      </w:r>
      <w:r>
        <w:t xml:space="preserve"> prosent av de utenlandske kandidatene</w:t>
      </w:r>
      <w:r w:rsidR="00B0722E">
        <w:t xml:space="preserve"> i 2022</w:t>
      </w:r>
      <w:r>
        <w:t xml:space="preserve">, dette er en nedgang fra </w:t>
      </w:r>
      <w:r w:rsidR="00A50444">
        <w:t>11</w:t>
      </w:r>
      <w:r>
        <w:t xml:space="preserve"> prosent i 202</w:t>
      </w:r>
      <w:r w:rsidR="00B0722E">
        <w:t>1</w:t>
      </w:r>
      <w:r>
        <w:t xml:space="preserve">. Doktorander fra Nord-Amerika og Sør-Amerika har økt sine andeler fra henholdsvis 3,7 og 3,2 prosent i 2021 til 5 prosent i 2022. </w:t>
      </w:r>
    </w:p>
    <w:p w14:paraId="1E944BDA" w14:textId="0085D9E0" w:rsidR="00765650" w:rsidRDefault="00A2378B" w:rsidP="00765650">
      <w:pPr>
        <w:spacing w:after="0"/>
      </w:pPr>
      <w:r>
        <w:t xml:space="preserve">Vedleggstabellene </w:t>
      </w:r>
      <w:hyperlink r:id="rId89" w:history="1">
        <w:r w:rsidRPr="008726C7">
          <w:rPr>
            <w:rStyle w:val="Hyperkobling"/>
          </w:rPr>
          <w:t>V3.4</w:t>
        </w:r>
      </w:hyperlink>
      <w:r w:rsidRPr="007906BB">
        <w:t xml:space="preserve"> og </w:t>
      </w:r>
      <w:hyperlink r:id="rId90" w:history="1">
        <w:r w:rsidRPr="0098479C">
          <w:rPr>
            <w:rStyle w:val="Hyperkobling"/>
          </w:rPr>
          <w:t>V3.5</w:t>
        </w:r>
      </w:hyperlink>
      <w:r>
        <w:t xml:space="preserve"> viser hvordan de utenlandske doktorandene fordeler seg på regioner og fagområder. </w:t>
      </w:r>
      <w:r w:rsidR="00B34A4B">
        <w:t>Innen</w:t>
      </w:r>
      <w:r>
        <w:t xml:space="preserve"> fagområde</w:t>
      </w:r>
      <w:r w:rsidR="00B34A4B">
        <w:t>ne</w:t>
      </w:r>
      <w:r>
        <w:t xml:space="preserve"> teknologi </w:t>
      </w:r>
      <w:r w:rsidR="00B34A4B">
        <w:t>og matematikk og naturvitenskap</w:t>
      </w:r>
      <w:r>
        <w:t xml:space="preserve"> var </w:t>
      </w:r>
      <w:r w:rsidR="002E3A6F">
        <w:t xml:space="preserve">60 prosent av </w:t>
      </w:r>
      <w:r>
        <w:t xml:space="preserve">doktorandene utenlandske. </w:t>
      </w:r>
      <w:r w:rsidR="008F2711">
        <w:t xml:space="preserve">Innen </w:t>
      </w:r>
      <w:r w:rsidR="00016D49">
        <w:t>m</w:t>
      </w:r>
      <w:r w:rsidR="008F2711">
        <w:t>edisin og helsefag</w:t>
      </w:r>
      <w:r w:rsidR="00016D49">
        <w:t>, som er det største fag</w:t>
      </w:r>
      <w:r w:rsidR="005B0DD6">
        <w:t>omr</w:t>
      </w:r>
      <w:r w:rsidR="00B0722E">
        <w:t>ådet</w:t>
      </w:r>
      <w:r w:rsidR="00016D49">
        <w:t xml:space="preserve">, </w:t>
      </w:r>
      <w:r w:rsidR="0093537C">
        <w:t>var bare</w:t>
      </w:r>
      <w:r w:rsidR="00016D49">
        <w:t xml:space="preserve"> 27 prosent</w:t>
      </w:r>
      <w:r w:rsidR="0093537C">
        <w:t xml:space="preserve"> av doktorgradene avlagt av utenlandsk</w:t>
      </w:r>
      <w:r w:rsidR="00FC7F06">
        <w:t>e</w:t>
      </w:r>
      <w:r w:rsidR="0093537C">
        <w:t xml:space="preserve"> statsborger</w:t>
      </w:r>
      <w:r w:rsidR="00FC7F06">
        <w:t>e</w:t>
      </w:r>
      <w:r w:rsidR="00765650">
        <w:t>.</w:t>
      </w:r>
      <w:r>
        <w:t xml:space="preserve"> </w:t>
      </w:r>
    </w:p>
    <w:p w14:paraId="4886E5C9" w14:textId="77777777" w:rsidR="0031466C" w:rsidRDefault="00A2378B" w:rsidP="00765650">
      <w:pPr>
        <w:spacing w:after="0"/>
      </w:pPr>
      <w:r>
        <w:t>Se</w:t>
      </w:r>
      <w:r w:rsidR="009F6F83">
        <w:t>r</w:t>
      </w:r>
      <w:r>
        <w:t xml:space="preserve"> vi på </w:t>
      </w:r>
      <w:r w:rsidR="009F6F83">
        <w:t>hvor de</w:t>
      </w:r>
      <w:r>
        <w:t xml:space="preserve"> utenlandske statsborgere avla </w:t>
      </w:r>
      <w:r w:rsidR="009F6F83">
        <w:t>sin</w:t>
      </w:r>
      <w:r>
        <w:t xml:space="preserve"> doktorgrad i 202</w:t>
      </w:r>
      <w:r w:rsidR="00A03587">
        <w:t>2</w:t>
      </w:r>
      <w:r>
        <w:t xml:space="preserve">, viser tallene at andelen er høyest ved </w:t>
      </w:r>
      <w:r w:rsidR="00077F74">
        <w:t>UiT</w:t>
      </w:r>
      <w:r>
        <w:t xml:space="preserve"> med </w:t>
      </w:r>
      <w:r w:rsidR="00E56C16">
        <w:t>50</w:t>
      </w:r>
      <w:r>
        <w:t xml:space="preserve"> prosent, fulgt av </w:t>
      </w:r>
      <w:proofErr w:type="spellStart"/>
      <w:r w:rsidR="00E56C16">
        <w:t>NMBU</w:t>
      </w:r>
      <w:proofErr w:type="spellEnd"/>
      <w:r>
        <w:t xml:space="preserve"> med </w:t>
      </w:r>
      <w:r w:rsidR="00E56C16">
        <w:t>49</w:t>
      </w:r>
      <w:r>
        <w:t xml:space="preserve"> prosent, mens </w:t>
      </w:r>
      <w:r w:rsidR="00EB5810">
        <w:t xml:space="preserve">både </w:t>
      </w:r>
      <w:r w:rsidR="0071244E">
        <w:t>NHH</w:t>
      </w:r>
      <w:r>
        <w:t xml:space="preserve"> og </w:t>
      </w:r>
      <w:r w:rsidR="00EB5810">
        <w:t>NTNU</w:t>
      </w:r>
      <w:r>
        <w:t xml:space="preserve"> har </w:t>
      </w:r>
      <w:r w:rsidR="00EB5810">
        <w:t>rundt</w:t>
      </w:r>
      <w:r>
        <w:t xml:space="preserve"> 47 </w:t>
      </w:r>
      <w:r w:rsidR="00EB5810">
        <w:t>prosent doktorander</w:t>
      </w:r>
      <w:r w:rsidR="00DA6411">
        <w:t xml:space="preserve"> med utenlandsk statsborgerskap</w:t>
      </w:r>
      <w:r w:rsidR="00945FD0">
        <w:t>.</w:t>
      </w:r>
    </w:p>
    <w:bookmarkStart w:id="122" w:name="_Toc134792819"/>
    <w:p w14:paraId="04F26B01" w14:textId="773FC4B2" w:rsidR="001614DE" w:rsidRPr="006D19F8" w:rsidRDefault="00F11FCC" w:rsidP="00F11FCC">
      <w:pPr>
        <w:pStyle w:val="Bildetekst"/>
      </w:pPr>
      <w:r w:rsidRPr="00A97504">
        <w:rPr>
          <w:noProof/>
        </w:rPr>
        <w:lastRenderedPageBreak/>
        <mc:AlternateContent>
          <mc:Choice Requires="wps">
            <w:drawing>
              <wp:anchor distT="45720" distB="45720" distL="114300" distR="114300" simplePos="0" relativeHeight="251658245" behindDoc="0" locked="0" layoutInCell="1" allowOverlap="1" wp14:anchorId="003BA09D" wp14:editId="5ABD80D9">
                <wp:simplePos x="0" y="0"/>
                <wp:positionH relativeFrom="margin">
                  <wp:posOffset>-3175</wp:posOffset>
                </wp:positionH>
                <wp:positionV relativeFrom="paragraph">
                  <wp:posOffset>353695</wp:posOffset>
                </wp:positionV>
                <wp:extent cx="5184775" cy="6241415"/>
                <wp:effectExtent l="38100" t="38100" r="53975" b="64135"/>
                <wp:wrapSquare wrapText="bothSides"/>
                <wp:docPr id="261164591" name="Tekstboks 261164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6241415"/>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0FE121DC" w14:textId="698234EF" w:rsidR="00BE7E29" w:rsidRPr="00140B03" w:rsidRDefault="00BE7E29" w:rsidP="00BE7E29">
                            <w:pPr>
                              <w:rPr>
                                <w:rStyle w:val="normaltextrun"/>
                              </w:rPr>
                            </w:pPr>
                            <w:r>
                              <w:t xml:space="preserve">Norsk kunnskapssektor er åpen og internasjonalt orientert. Ansatte og studenter har mangfoldige internasjonale kontakter og samarbeidsflater, både hjemme og ute. Internasjonalisering er et politisk mål, og er avgjørende for kvaliteten i norsk høyere utdanning og forskning. Samtidig gjør det sektoren utsatt og sårbar. Det er økende bevissthet nasjonalt og internasjonalt om utfordringer og risikofaktorer knyttet til internasjonalt kunnskapssamarbeid. Viktige forskningsetiske standarder og verdier kan komme under press. Kunnskap og teknologiutvikling står også sentralt i den tiltagende </w:t>
                            </w:r>
                            <w:proofErr w:type="spellStart"/>
                            <w:r>
                              <w:t>stormaktsrivaliseringen</w:t>
                            </w:r>
                            <w:proofErr w:type="spellEnd"/>
                            <w:r w:rsidR="00897FB8">
                              <w:t>,</w:t>
                            </w:r>
                            <w:r>
                              <w:t xml:space="preserve"> og </w:t>
                            </w:r>
                            <w:r w:rsidRPr="00A17355">
                              <w:rPr>
                                <w:rStyle w:val="normaltextrun"/>
                                <w:rFonts w:eastAsiaTheme="majorEastAsia" w:cstheme="minorHAnsi"/>
                              </w:rPr>
                              <w:t>nasjonale trusselvurderinge</w:t>
                            </w:r>
                            <w:r>
                              <w:rPr>
                                <w:rStyle w:val="normaltextrun"/>
                                <w:rFonts w:eastAsiaTheme="majorEastAsia" w:cstheme="minorHAnsi"/>
                              </w:rPr>
                              <w:t>r</w:t>
                            </w:r>
                            <w:r w:rsidRPr="00A17355">
                              <w:rPr>
                                <w:rStyle w:val="normaltextrun"/>
                                <w:rFonts w:eastAsiaTheme="majorEastAsia" w:cstheme="minorHAnsi"/>
                              </w:rPr>
                              <w:t xml:space="preserve"> har i flere år pekt på kunnskapssektoren som et mål for utenlandsk etterretning og påvirkning. </w:t>
                            </w:r>
                          </w:p>
                          <w:p w14:paraId="4ADCA22E" w14:textId="77777777" w:rsidR="00BE7E29" w:rsidRDefault="00BE7E29" w:rsidP="00BE7E29">
                            <w:pPr>
                              <w:rPr>
                                <w:rStyle w:val="normaltextrun"/>
                                <w:rFonts w:eastAsiaTheme="majorEastAsia"/>
                              </w:rPr>
                            </w:pPr>
                            <w:r w:rsidRPr="02B7E8E1">
                              <w:rPr>
                                <w:rStyle w:val="normaltextrun"/>
                                <w:rFonts w:eastAsiaTheme="majorEastAsia"/>
                              </w:rPr>
                              <w:t>Forskningsrådet og Direktoratet for høyere utdanning og kompetanse fikk i 2022 i oppdrag fra Kunnskapsdepartementet å utarbeide retningslinjer for ansvarlig internasjonalt samarbeid i kunnskapssektoren. Retningslinjene skal publiseres digitalt sommeren 2023. Arbeidet har vært bredt forankret i sektoren. Justis-, Forsvars-</w:t>
                            </w:r>
                            <w:r>
                              <w:rPr>
                                <w:rStyle w:val="normaltextrun"/>
                                <w:rFonts w:eastAsiaTheme="majorEastAsia"/>
                              </w:rPr>
                              <w:t xml:space="preserve">, </w:t>
                            </w:r>
                            <w:r w:rsidRPr="02B7E8E1">
                              <w:rPr>
                                <w:rStyle w:val="normaltextrun"/>
                                <w:rFonts w:eastAsiaTheme="majorEastAsia"/>
                              </w:rPr>
                              <w:t>Utenriks</w:t>
                            </w:r>
                            <w:r>
                              <w:rPr>
                                <w:rStyle w:val="normaltextrun"/>
                                <w:rFonts w:eastAsiaTheme="majorEastAsia"/>
                              </w:rPr>
                              <w:t xml:space="preserve">- og Nærings- og fiskeridepartementet </w:t>
                            </w:r>
                            <w:r w:rsidRPr="02B7E8E1">
                              <w:rPr>
                                <w:rStyle w:val="normaltextrun"/>
                                <w:rFonts w:eastAsiaTheme="majorEastAsia"/>
                              </w:rPr>
                              <w:t>har også gitt innspill. Formålet med retningslinjene er å bidra til økt kunnskap og bevissthet, og ruste aktører i kunnskapssektoren til å gjøre gode og informerte vurderinger. En del av tiltakene er anbefalinger som må vurderes ut fra kontekst og institusjonelle behov. Andre tiltak er pålagt gjennom lover og forskrifter, derunder krav til systemer for sikkerhetsstyring ved institusjonene og overholdelse av eksportkontrollregelverket.</w:t>
                            </w:r>
                          </w:p>
                          <w:p w14:paraId="0D468D77" w14:textId="77777777" w:rsidR="00BE7E29" w:rsidRDefault="00BE7E29" w:rsidP="00BE7E29">
                            <w:r>
                              <w:t xml:space="preserve">Et viktig prinsipp som ligger til grunn for retningslinjene er at deling og åpenhet må balanseres mot aktsomhet og sikring av institusjonelle og nasjonale verdier. Åpenhet skal være normen der det ikke er grunn til annet. Videre er proporsjonalitet et viktig prinsipp. Tiltak må være tilpasset risikobildet i det enkelte tilfellet. Utfordringene vil kunne variere mellom fag og land og innenfor ulike prosjekter. Det er viktig å unngå at sikkerhetshensyn legger unødige begrensninger på samarbeid og kunnskapsutveksling. Nasjonal sikkerhet og beredskap avhenger også av tilgang til den internasjonale kunnskapsfronten. </w:t>
                            </w:r>
                          </w:p>
                          <w:p w14:paraId="701A1BE8" w14:textId="5DED413A" w:rsidR="00A97504" w:rsidRPr="00DD205A" w:rsidRDefault="00BE7E29" w:rsidP="00917D7D">
                            <w:r w:rsidRPr="00DD205A">
                              <w:t>Som del av prosjektet med å utvikle retningslinjer for ansvarlig internasjonalt kunnskapssamarbeid, fikk NUPI i oppdrag å kartlegge utfordringer som norske kunnskapsinstitusjoner møter i internasjonale samarbeid. Funnene er publisert i rapporten</w:t>
                            </w:r>
                            <w:r w:rsidR="009A3F57" w:rsidRPr="009A3F57">
                              <w:t xml:space="preserve"> </w:t>
                            </w:r>
                            <w:r w:rsidR="009A3F57" w:rsidRPr="009A3F57">
                              <w:rPr>
                                <w:i/>
                                <w:iCs/>
                              </w:rPr>
                              <w:t>Utfordrende kunnskapssamarbeid</w:t>
                            </w:r>
                            <w:r w:rsidR="00457EE0" w:rsidRPr="00DD205A">
                              <w:t xml:space="preserve"> </w:t>
                            </w:r>
                            <w:hyperlink r:id="rId91" w:history="1">
                              <w:r w:rsidR="0037236A" w:rsidRPr="0037236A">
                                <w:rPr>
                                  <w:rStyle w:val="Hyperkobling"/>
                                </w:rPr>
                                <w:t>(NUPI</w:t>
                              </w:r>
                              <w:r w:rsidR="00CB7B0C">
                                <w:rPr>
                                  <w:rStyle w:val="Hyperkobling"/>
                                </w:rPr>
                                <w:t>,</w:t>
                              </w:r>
                              <w:r w:rsidR="0037236A" w:rsidRPr="0037236A">
                                <w:rPr>
                                  <w:rStyle w:val="Hyperkobling"/>
                                </w:rPr>
                                <w:t xml:space="preserve"> 2022)</w:t>
                              </w:r>
                            </w:hyperlink>
                            <w:r w:rsidR="0037236A">
                              <w:t>.</w:t>
                            </w:r>
                            <w:r w:rsidR="00AA12B3" w:rsidRPr="00DD205A">
                              <w:t xml:space="preserve"> </w:t>
                            </w:r>
                            <w:r w:rsidRPr="00DD205A">
                              <w:t>Rapporten har vært et viktig kunnskapsgrunnlag for retningslinjene. I det videre vil det være nødvendig å øke kunnskapen om den komplekse konteksten internasjonalt kunnskapssamarbeid foregår innenfor, og dele erfaringer bredt i sektoren</w:t>
                            </w:r>
                            <w:r w:rsidR="00DD205A" w:rsidRPr="00DD205A">
                              <w:t>.</w:t>
                            </w:r>
                          </w:p>
                          <w:p w14:paraId="37811427" w14:textId="77777777" w:rsidR="00A97504" w:rsidRPr="00B47CA4" w:rsidRDefault="00A97504" w:rsidP="00A97504">
                            <w:pPr>
                              <w:pStyle w:val="Kilde"/>
                              <w:rPr>
                                <w:b w:val="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BA09D" id="Tekstboks 261164591" o:spid="_x0000_s1030" type="#_x0000_t202" style="position:absolute;margin-left:-.25pt;margin-top:27.85pt;width:408.25pt;height:491.4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" strokecolor="#362683">
                <v:textbox>
                  <w:txbxContent>
                    <w:p w14:paraId="0FE121DC" w14:textId="698234EF" w:rsidR="00BE7E29" w:rsidRPr="00140B03" w:rsidRDefault="00BE7E29" w:rsidP="00BE7E29">
                      <w:pPr>
                        <w:rPr>
                          <w:rStyle w:val="normaltextrun"/>
                        </w:rPr>
                      </w:pPr>
                      <w:r>
                        <w:t>Norsk kunnskapssektor er åpen og internasjonalt orientert. Ansatte og studenter har mangfoldige internasjonale kontakter og samarbeidsflater, både hjemme og ute. Internasjonalisering er et politisk mål, og er avgjørende for kvaliteten i norsk høyere utdanning og forskning. Samtidig gjør det sektoren utsatt og sårbar. Det er økende bevissthet nasjonalt og internasjonalt om utfordringer og risikofaktorer knyttet til internasjonalt kunnskapssamarbeid. Viktige forskningsetiske standarder og verdier kan komme under press. Kunnskap og teknologiutvikling står også sentralt i den tiltagende stormaktsrivaliseringen</w:t>
                      </w:r>
                      <w:r w:rsidR="00897FB8">
                        <w:t>,</w:t>
                      </w:r>
                      <w:r>
                        <w:t xml:space="preserve"> og </w:t>
                      </w:r>
                      <w:r w:rsidRPr="00A17355">
                        <w:rPr>
                          <w:rStyle w:val="normaltextrun"/>
                          <w:rFonts w:eastAsiaTheme="majorEastAsia" w:cstheme="minorHAnsi"/>
                        </w:rPr>
                        <w:t>nasjonale trusselvurderinge</w:t>
                      </w:r>
                      <w:r>
                        <w:rPr>
                          <w:rStyle w:val="normaltextrun"/>
                          <w:rFonts w:eastAsiaTheme="majorEastAsia" w:cstheme="minorHAnsi"/>
                        </w:rPr>
                        <w:t>r</w:t>
                      </w:r>
                      <w:r w:rsidRPr="00A17355">
                        <w:rPr>
                          <w:rStyle w:val="normaltextrun"/>
                          <w:rFonts w:eastAsiaTheme="majorEastAsia" w:cstheme="minorHAnsi"/>
                        </w:rPr>
                        <w:t xml:space="preserve"> har i flere år pekt på kunnskapssektoren som et mål for utenlandsk etterretning og påvirkning. </w:t>
                      </w:r>
                    </w:p>
                    <w:p w14:paraId="4ADCA22E" w14:textId="77777777" w:rsidR="00BE7E29" w:rsidRDefault="00BE7E29" w:rsidP="00BE7E29">
                      <w:pPr>
                        <w:rPr>
                          <w:rStyle w:val="normaltextrun"/>
                          <w:rFonts w:eastAsiaTheme="majorEastAsia"/>
                        </w:rPr>
                      </w:pPr>
                      <w:r w:rsidRPr="02B7E8E1">
                        <w:rPr>
                          <w:rStyle w:val="normaltextrun"/>
                          <w:rFonts w:eastAsiaTheme="majorEastAsia"/>
                        </w:rPr>
                        <w:t>Forskningsrådet og Direktoratet for høyere utdanning og kompetanse fikk i 2022 i oppdrag fra Kunnskapsdepartementet å utarbeide retningslinjer for ansvarlig internasjonalt samarbeid i kunnskapssektoren. Retningslinjene skal publiseres digitalt sommeren 2023. Arbeidet har vært bredt forankret i sektoren. Justis-, Forsvars-</w:t>
                      </w:r>
                      <w:r>
                        <w:rPr>
                          <w:rStyle w:val="normaltextrun"/>
                          <w:rFonts w:eastAsiaTheme="majorEastAsia"/>
                        </w:rPr>
                        <w:t xml:space="preserve">, </w:t>
                      </w:r>
                      <w:r w:rsidRPr="02B7E8E1">
                        <w:rPr>
                          <w:rStyle w:val="normaltextrun"/>
                          <w:rFonts w:eastAsiaTheme="majorEastAsia"/>
                        </w:rPr>
                        <w:t>Utenriks</w:t>
                      </w:r>
                      <w:r>
                        <w:rPr>
                          <w:rStyle w:val="normaltextrun"/>
                          <w:rFonts w:eastAsiaTheme="majorEastAsia"/>
                        </w:rPr>
                        <w:t xml:space="preserve">- og Nærings- og fiskeridepartementet </w:t>
                      </w:r>
                      <w:r w:rsidRPr="02B7E8E1">
                        <w:rPr>
                          <w:rStyle w:val="normaltextrun"/>
                          <w:rFonts w:eastAsiaTheme="majorEastAsia"/>
                        </w:rPr>
                        <w:t>har også gitt innspill. Formålet med retningslinjene er å bidra til økt kunnskap og bevissthet, og ruste aktører i kunnskapssektoren til å gjøre gode og informerte vurderinger. En del av tiltakene er anbefalinger som må vurderes ut fra kontekst og institusjonelle behov. Andre tiltak er pålagt gjennom lover og forskrifter, derunder krav til systemer for sikkerhetsstyring ved institusjonene og overholdelse av eksportkontrollregelverket.</w:t>
                      </w:r>
                    </w:p>
                    <w:p w14:paraId="0D468D77" w14:textId="77777777" w:rsidR="00BE7E29" w:rsidRDefault="00BE7E29" w:rsidP="00BE7E29">
                      <w:r>
                        <w:t xml:space="preserve">Et viktig prinsipp som ligger til grunn for retningslinjene er at deling og åpenhet må balanseres mot aktsomhet og sikring av institusjonelle og nasjonale verdier. Åpenhet skal være normen der det ikke er grunn til annet. Videre er proporsjonalitet et viktig prinsipp. Tiltak må være tilpasset risikobildet i det enkelte tilfellet. Utfordringene vil kunne variere mellom fag og land og innenfor ulike prosjekter. Det er viktig å unngå at sikkerhetshensyn legger unødige begrensninger på samarbeid og kunnskapsutveksling. Nasjonal sikkerhet og beredskap avhenger også av tilgang til den internasjonale kunnskapsfronten. </w:t>
                      </w:r>
                    </w:p>
                    <w:p w14:paraId="701A1BE8" w14:textId="5DED413A" w:rsidR="00A97504" w:rsidRPr="00DD205A" w:rsidRDefault="00BE7E29" w:rsidP="00917D7D">
                      <w:r w:rsidRPr="00DD205A">
                        <w:t>Som del av prosjektet med å utvikle retningslinjer for ansvarlig internasjonalt kunnskapssamarbeid, fikk NUPI i oppdrag å kartlegge utfordringer som norske kunnskapsinstitusjoner møter i internasjonale samarbeid. Funnene er publisert i rapporten</w:t>
                      </w:r>
                      <w:r w:rsidR="009A3F57" w:rsidRPr="009A3F57">
                        <w:t xml:space="preserve"> </w:t>
                      </w:r>
                      <w:r w:rsidR="009A3F57" w:rsidRPr="009A3F57">
                        <w:rPr>
                          <w:i/>
                          <w:iCs/>
                        </w:rPr>
                        <w:t>Utfordrende kunnskapssamarbeid</w:t>
                      </w:r>
                      <w:r w:rsidR="00457EE0" w:rsidRPr="00DD205A">
                        <w:t xml:space="preserve"> </w:t>
                      </w:r>
                      <w:hyperlink r:id="rId92" w:history="1">
                        <w:r w:rsidR="0037236A" w:rsidRPr="0037236A">
                          <w:rPr>
                            <w:rStyle w:val="Hyperkobling"/>
                          </w:rPr>
                          <w:t>(NUPI</w:t>
                        </w:r>
                        <w:r w:rsidR="00CB7B0C">
                          <w:rPr>
                            <w:rStyle w:val="Hyperkobling"/>
                          </w:rPr>
                          <w:t>,</w:t>
                        </w:r>
                        <w:r w:rsidR="0037236A" w:rsidRPr="0037236A">
                          <w:rPr>
                            <w:rStyle w:val="Hyperkobling"/>
                          </w:rPr>
                          <w:t xml:space="preserve"> 2022)</w:t>
                        </w:r>
                      </w:hyperlink>
                      <w:r w:rsidR="0037236A">
                        <w:t>.</w:t>
                      </w:r>
                      <w:r w:rsidR="00AA12B3" w:rsidRPr="00DD205A">
                        <w:t xml:space="preserve"> </w:t>
                      </w:r>
                      <w:r w:rsidRPr="00DD205A">
                        <w:t>Rapporten har vært et viktig kunnskapsgrunnlag for retningslinjene. I det videre vil det være nødvendig å øke kunnskapen om den komplekse konteksten internasjonalt kunnskapssamarbeid foregår innenfor, og dele erfaringer bredt i sektoren</w:t>
                      </w:r>
                      <w:r w:rsidR="00DD205A" w:rsidRPr="00DD205A">
                        <w:t>.</w:t>
                      </w:r>
                    </w:p>
                    <w:p w14:paraId="37811427" w14:textId="77777777" w:rsidR="00A97504" w:rsidRPr="00B47CA4" w:rsidRDefault="00A97504" w:rsidP="00A97504">
                      <w:pPr>
                        <w:pStyle w:val="Kilde"/>
                        <w:rPr>
                          <w:b w:val="0"/>
                          <w:sz w:val="20"/>
                        </w:rPr>
                      </w:pPr>
                    </w:p>
                  </w:txbxContent>
                </v:textbox>
                <w10:wrap type="square" anchorx="margin"/>
              </v:shape>
            </w:pict>
          </mc:Fallback>
        </mc:AlternateContent>
      </w:r>
      <w:r>
        <w:t xml:space="preserve">Tekstboks </w:t>
      </w:r>
      <w:r>
        <w:fldChar w:fldCharType="begin"/>
      </w:r>
      <w:r>
        <w:instrText>STYLEREF 1 \s</w:instrText>
      </w:r>
      <w:r>
        <w:fldChar w:fldCharType="separate"/>
      </w:r>
      <w:r w:rsidR="00F262EF">
        <w:rPr>
          <w:noProof/>
        </w:rPr>
        <w:t>3</w:t>
      </w:r>
      <w:r>
        <w:fldChar w:fldCharType="end"/>
      </w:r>
      <w:r>
        <w:t>.</w:t>
      </w:r>
      <w:r>
        <w:fldChar w:fldCharType="begin"/>
      </w:r>
      <w:r>
        <w:instrText>SEQ Tekstboks \* ARABIC \s 1</w:instrText>
      </w:r>
      <w:r>
        <w:fldChar w:fldCharType="separate"/>
      </w:r>
      <w:r w:rsidR="00F262EF">
        <w:rPr>
          <w:noProof/>
        </w:rPr>
        <w:t>1</w:t>
      </w:r>
      <w:r>
        <w:fldChar w:fldCharType="end"/>
      </w:r>
      <w:r>
        <w:t xml:space="preserve"> </w:t>
      </w:r>
      <w:r w:rsidRPr="002C4139">
        <w:t>Retningslinjer for ansvarlig internasjonalt kunnskapssamarbeid</w:t>
      </w:r>
      <w:bookmarkEnd w:id="122"/>
      <w:r w:rsidR="001614DE">
        <w:br w:type="page"/>
      </w:r>
    </w:p>
    <w:p w14:paraId="4588B7A6" w14:textId="0EBB1CB7" w:rsidR="00010277" w:rsidRDefault="007E7273" w:rsidP="00AE4B98">
      <w:pPr>
        <w:pStyle w:val="Overskrift3"/>
      </w:pPr>
      <w:bookmarkStart w:id="123" w:name="_Toc134792740"/>
      <w:r w:rsidRPr="007E7273">
        <w:lastRenderedPageBreak/>
        <w:t>Gjennom</w:t>
      </w:r>
      <w:r w:rsidR="00F84129">
        <w:t>føring</w:t>
      </w:r>
      <w:r w:rsidRPr="007E7273">
        <w:t xml:space="preserve"> i doktorgradsutdanningen </w:t>
      </w:r>
      <w:r w:rsidR="00751609">
        <w:t>–</w:t>
      </w:r>
      <w:r>
        <w:t xml:space="preserve"> </w:t>
      </w:r>
      <w:r w:rsidRPr="007E7273">
        <w:t>nasjonal styringsparameter</w:t>
      </w:r>
      <w:bookmarkEnd w:id="123"/>
    </w:p>
    <w:p w14:paraId="0736A72C" w14:textId="595EA0BF" w:rsidR="00EC2AD4" w:rsidRDefault="00611AD3" w:rsidP="000D75FD">
      <w:r w:rsidRPr="000D75FD">
        <w:t>Andelen av et gitt årskull som har disputert innen seks år etter oppstart</w:t>
      </w:r>
      <w:r w:rsidR="00220ECE">
        <w:t xml:space="preserve"> angir </w:t>
      </w:r>
      <w:r w:rsidRPr="000D75FD">
        <w:t>gjennomføring</w:t>
      </w:r>
      <w:r w:rsidR="00220ECE">
        <w:t>sgrad</w:t>
      </w:r>
      <w:r w:rsidRPr="000D75FD">
        <w:t xml:space="preserve"> i doktorgradsutdanningen. Måling seks år etter oppstart er valgt for å ta høyde for ulike typer avbrudd i doktorgradsløpet</w:t>
      </w:r>
      <w:r w:rsidR="00213F8D">
        <w:t xml:space="preserve">, som </w:t>
      </w:r>
      <w:r w:rsidR="003B42B0">
        <w:t>har en åremålsperiode på</w:t>
      </w:r>
      <w:r w:rsidR="00213F8D">
        <w:t xml:space="preserve"> tre til fire år.</w:t>
      </w:r>
      <w:r w:rsidR="00EC3C4C">
        <w:t xml:space="preserve"> </w:t>
      </w:r>
      <w:r w:rsidR="00F0115C" w:rsidRPr="00F0115C">
        <w:t xml:space="preserve">Gjennomsnittlig </w:t>
      </w:r>
      <w:r w:rsidR="000F3FCE">
        <w:t>tidsbruk</w:t>
      </w:r>
      <w:r w:rsidR="00F0115C" w:rsidRPr="00F0115C">
        <w:t xml:space="preserve"> fra start på </w:t>
      </w:r>
      <w:r w:rsidR="005808D2">
        <w:t>doktorgrads</w:t>
      </w:r>
      <w:r w:rsidR="00F0115C" w:rsidRPr="00F0115C">
        <w:t>program til innlevering av avhandling er på 5 år i 2022</w:t>
      </w:r>
      <w:r w:rsidR="00830768">
        <w:t xml:space="preserve"> </w:t>
      </w:r>
      <w:r w:rsidR="00B57F6C">
        <w:fldChar w:fldCharType="begin"/>
      </w:r>
      <w:r w:rsidR="004E6B45">
        <w:instrText xml:space="preserve"> ADDIN EN.CITE &lt;EndNote&gt;&lt;Cite&gt;&lt;Author&gt;Statistisk sentralbyrå&lt;/Author&gt;&lt;Year&gt;2023&lt;/Year&gt;&lt;RecNum&gt;1870&lt;/RecNum&gt;&lt;DisplayText&gt;(Statistisk sentralbyrå, 2023)&lt;/DisplayText&gt;&lt;record&gt;&lt;rec-number&gt;1870&lt;/rec-number&gt;&lt;foreign-keys&gt;&lt;key app="EN" db-id="s09wp0wxtwz9aue509w52eagvset90vxefrw" timestamp="1683443991" guid="22f304f9-b7e7-49a6-b75a-a3f4090a129f"&gt;1870&lt;/key&gt;&lt;/foreign-keys&gt;&lt;ref-type name="Web Page"&gt;12&lt;/ref-type&gt;&lt;contributors&gt;&lt;authors&gt;&lt;author&gt;Statistisk sentralbyrå,&lt;/author&gt;&lt;/authors&gt;&lt;/contributors&gt;&lt;titles&gt;&lt;title&gt;Gjennomsnittlig gjennomføringstid for avlagte ph.d-grader, etter fagområde og kjønn 2013 - 2022&lt;/title&gt;&lt;/titles&gt;&lt;number&gt;02.05.2023&lt;/number&gt;&lt;dates&gt;&lt;year&gt;2023&lt;/year&gt;&lt;/dates&gt;&lt;publisher&gt;SSB&lt;/publisher&gt;&lt;urls&gt;&lt;related-urls&gt;&lt;url&gt;https://www.ssb.no/statbank/table/13594/&lt;/url&gt;&lt;/related-urls&gt;&lt;/urls&gt;&lt;/record&gt;&lt;/Cite&gt;&lt;/EndNote&gt;</w:instrText>
      </w:r>
      <w:r w:rsidR="00B57F6C">
        <w:fldChar w:fldCharType="separate"/>
      </w:r>
      <w:r w:rsidR="009871A5">
        <w:rPr>
          <w:noProof/>
        </w:rPr>
        <w:t>(Statistisk sentralbyrå, 2023)</w:t>
      </w:r>
      <w:r w:rsidR="00B57F6C">
        <w:fldChar w:fldCharType="end"/>
      </w:r>
      <w:r w:rsidR="00F0115C" w:rsidRPr="00F0115C">
        <w:t>.</w:t>
      </w:r>
    </w:p>
    <w:p w14:paraId="7FA1551F" w14:textId="21D04B61" w:rsidR="00611AD3" w:rsidRPr="000D75FD" w:rsidRDefault="00611AD3" w:rsidP="000D75FD">
      <w:r w:rsidRPr="000D75FD">
        <w:t xml:space="preserve">Rapporteringen for 2022 viser resultater for kullet som ble tatt opp i doktorgradsprogram i 2016. </w:t>
      </w:r>
      <w:r w:rsidR="0062057B">
        <w:t>For</w:t>
      </w:r>
      <w:r w:rsidRPr="000D75FD">
        <w:t xml:space="preserve"> sektoren </w:t>
      </w:r>
      <w:r w:rsidR="0062057B">
        <w:t xml:space="preserve">samlet </w:t>
      </w:r>
      <w:r w:rsidRPr="000D75FD">
        <w:t>var det en liten nedgang sammenlignet med 2021 i andel doktorander som disputerte innen seks år – fra 67,5 prosent til 67</w:t>
      </w:r>
      <w:r w:rsidR="00D1252B">
        <w:t>,0</w:t>
      </w:r>
      <w:r w:rsidRPr="000D75FD">
        <w:t xml:space="preserve"> prosent, </w:t>
      </w:r>
      <w:r w:rsidR="0016579B">
        <w:t>se</w:t>
      </w:r>
      <w:r w:rsidRPr="000D75FD">
        <w:t xml:space="preserve"> </w:t>
      </w:r>
      <w:r w:rsidR="00FA686E">
        <w:fldChar w:fldCharType="begin"/>
      </w:r>
      <w:r w:rsidR="00FA686E">
        <w:instrText xml:space="preserve"> REF  _Ref133169280 \* Lower \h </w:instrText>
      </w:r>
      <w:r w:rsidR="00FA686E">
        <w:fldChar w:fldCharType="separate"/>
      </w:r>
      <w:r w:rsidR="00F262EF">
        <w:t xml:space="preserve">tabell </w:t>
      </w:r>
      <w:r w:rsidR="00F262EF">
        <w:rPr>
          <w:noProof/>
        </w:rPr>
        <w:t>3</w:t>
      </w:r>
      <w:r w:rsidR="00F262EF">
        <w:t>.</w:t>
      </w:r>
      <w:r w:rsidR="00F262EF">
        <w:rPr>
          <w:noProof/>
        </w:rPr>
        <w:t>1</w:t>
      </w:r>
      <w:r w:rsidR="00FA686E">
        <w:fldChar w:fldCharType="end"/>
      </w:r>
      <w:r w:rsidR="00D6758C">
        <w:t>.</w:t>
      </w:r>
      <w:r w:rsidR="00D83F52">
        <w:t xml:space="preserve"> </w:t>
      </w:r>
      <w:r w:rsidR="00683A4A">
        <w:t xml:space="preserve">Dersom antakelsen om </w:t>
      </w:r>
      <w:r w:rsidR="00063D15">
        <w:t xml:space="preserve">at pandemien </w:t>
      </w:r>
      <w:r w:rsidR="008D21D8">
        <w:t xml:space="preserve">førte til forsinkelser og lavere framdrift er rett, vil </w:t>
      </w:r>
      <w:r w:rsidR="000A7AD0">
        <w:t>dette kunne slå ut på gjennomføring</w:t>
      </w:r>
      <w:r w:rsidR="00AB5995">
        <w:t xml:space="preserve">stallene </w:t>
      </w:r>
      <w:r w:rsidR="00EC52DC">
        <w:t xml:space="preserve">flere år </w:t>
      </w:r>
      <w:r w:rsidR="00515BBB">
        <w:t>framover.</w:t>
      </w:r>
    </w:p>
    <w:p w14:paraId="4BEDEF7E" w14:textId="6190A509" w:rsidR="00611AD3" w:rsidRPr="000D75FD" w:rsidRDefault="008F2B2D" w:rsidP="000D75FD">
      <w:r>
        <w:t xml:space="preserve">På sektornivå har tallene vært </w:t>
      </w:r>
      <w:r w:rsidR="00650779">
        <w:t xml:space="preserve">relativt </w:t>
      </w:r>
      <w:r>
        <w:t xml:space="preserve">stabile over tid. </w:t>
      </w:r>
      <w:r w:rsidR="00C76E9C">
        <w:t>På institusjonsnivå</w:t>
      </w:r>
      <w:r w:rsidR="00E07730">
        <w:t xml:space="preserve"> kan derimot årlige svingninger være store</w:t>
      </w:r>
      <w:r w:rsidR="00EC56F1">
        <w:t>. S</w:t>
      </w:r>
      <w:r w:rsidR="00241189">
        <w:t xml:space="preserve">ærlig for </w:t>
      </w:r>
      <w:r w:rsidR="00FC11F4">
        <w:t xml:space="preserve">institusjoner </w:t>
      </w:r>
      <w:r w:rsidR="009A1862">
        <w:t xml:space="preserve">med relativt </w:t>
      </w:r>
      <w:r w:rsidR="00BF17CD">
        <w:t xml:space="preserve">få kandidater må tallene </w:t>
      </w:r>
      <w:r w:rsidR="00496EF5">
        <w:t>vurderes over tid</w:t>
      </w:r>
      <w:r w:rsidR="00F2668F">
        <w:t>,</w:t>
      </w:r>
      <w:r w:rsidR="001F06C4">
        <w:t xml:space="preserve"> siden </w:t>
      </w:r>
      <w:r w:rsidR="006A5537">
        <w:t>små absolutte endringer</w:t>
      </w:r>
      <w:r w:rsidR="001F06C4">
        <w:t xml:space="preserve"> kan gi store prosentvise utslag</w:t>
      </w:r>
      <w:r w:rsidR="00780F2B">
        <w:t>.</w:t>
      </w:r>
      <w:r w:rsidR="009719BE">
        <w:t xml:space="preserve"> Dette gjelder </w:t>
      </w:r>
      <w:r w:rsidR="002C396D">
        <w:t xml:space="preserve">for </w:t>
      </w:r>
      <w:r w:rsidR="000157F9">
        <w:t>alle de private institusjonene.</w:t>
      </w:r>
      <w:r w:rsidR="00A72654">
        <w:t xml:space="preserve"> </w:t>
      </w:r>
      <w:r w:rsidR="0064071F">
        <w:fldChar w:fldCharType="begin"/>
      </w:r>
      <w:r w:rsidR="0064071F">
        <w:instrText xml:space="preserve"> REF _Ref133169280 \h </w:instrText>
      </w:r>
      <w:r w:rsidR="0064071F">
        <w:fldChar w:fldCharType="separate"/>
      </w:r>
      <w:r w:rsidR="00F262EF">
        <w:t xml:space="preserve">Tabell </w:t>
      </w:r>
      <w:r w:rsidR="00F262EF">
        <w:rPr>
          <w:noProof/>
        </w:rPr>
        <w:t>3</w:t>
      </w:r>
      <w:r w:rsidR="00F262EF">
        <w:t>.</w:t>
      </w:r>
      <w:r w:rsidR="00F262EF">
        <w:rPr>
          <w:noProof/>
        </w:rPr>
        <w:t>1</w:t>
      </w:r>
      <w:r w:rsidR="0064071F">
        <w:fldChar w:fldCharType="end"/>
      </w:r>
      <w:r w:rsidR="0064071F">
        <w:t xml:space="preserve"> omfatter bare institusjoner </w:t>
      </w:r>
      <w:r w:rsidR="000B01EF">
        <w:t>med minst 15 kandidater tatt opp i 20</w:t>
      </w:r>
      <w:r w:rsidR="007B687C">
        <w:t>16</w:t>
      </w:r>
      <w:r w:rsidR="005B2412">
        <w:t>.</w:t>
      </w:r>
    </w:p>
    <w:p w14:paraId="7C1648E2" w14:textId="58063A0D" w:rsidR="00481E99" w:rsidRDefault="007A7379" w:rsidP="009576C7">
      <w:pPr>
        <w:pStyle w:val="Bildetekst"/>
        <w:spacing w:after="0"/>
      </w:pPr>
      <w:bookmarkStart w:id="124" w:name="_Ref133169280"/>
      <w:bookmarkStart w:id="125" w:name="_Toc134792812"/>
      <w:r>
        <w:t xml:space="preserve">Tabell </w:t>
      </w:r>
      <w:r>
        <w:fldChar w:fldCharType="begin"/>
      </w:r>
      <w:r>
        <w:instrText>STYLEREF 1 \s</w:instrText>
      </w:r>
      <w:r>
        <w:fldChar w:fldCharType="separate"/>
      </w:r>
      <w:r w:rsidR="00F262EF">
        <w:rPr>
          <w:noProof/>
        </w:rPr>
        <w:t>3</w:t>
      </w:r>
      <w:r>
        <w:fldChar w:fldCharType="end"/>
      </w:r>
      <w:r w:rsidR="00FE01A3">
        <w:t>.</w:t>
      </w:r>
      <w:r>
        <w:fldChar w:fldCharType="begin"/>
      </w:r>
      <w:r>
        <w:instrText>SEQ Tabell \* ARABIC \s 1</w:instrText>
      </w:r>
      <w:r>
        <w:fldChar w:fldCharType="separate"/>
      </w:r>
      <w:r w:rsidR="00F262EF">
        <w:rPr>
          <w:noProof/>
        </w:rPr>
        <w:t>1</w:t>
      </w:r>
      <w:r>
        <w:fldChar w:fldCharType="end"/>
      </w:r>
      <w:bookmarkEnd w:id="124"/>
      <w:r>
        <w:t xml:space="preserve"> </w:t>
      </w:r>
      <w:r w:rsidRPr="00604203">
        <w:t>Andel disputerte kandidater opptatt på doktorgradsprogram seks år tidligere, 2013</w:t>
      </w:r>
      <w:r w:rsidR="00827118">
        <w:t>–</w:t>
      </w:r>
      <w:r w:rsidRPr="00604203">
        <w:t>22, samt antall nye doktorgradsavtaler</w:t>
      </w:r>
      <w:r w:rsidR="00E07DDD">
        <w:t xml:space="preserve"> / kandidater tatt opp</w:t>
      </w:r>
      <w:r w:rsidRPr="00604203">
        <w:t xml:space="preserve"> 2016</w:t>
      </w:r>
      <w:bookmarkEnd w:id="125"/>
    </w:p>
    <w:p w14:paraId="474C0046" w14:textId="3668FFD2" w:rsidR="004C2CE5" w:rsidRPr="00F54C48" w:rsidRDefault="004C2CE5" w:rsidP="009576C7">
      <w:pPr>
        <w:spacing w:after="0"/>
      </w:pPr>
    </w:p>
    <w:tbl>
      <w:tblPr>
        <w:tblW w:w="4948" w:type="pct"/>
        <w:tblCellMar>
          <w:left w:w="70" w:type="dxa"/>
          <w:right w:w="70" w:type="dxa"/>
        </w:tblCellMar>
        <w:tblLook w:val="04A0" w:firstRow="1" w:lastRow="0" w:firstColumn="1" w:lastColumn="0" w:noHBand="0" w:noVBand="1"/>
      </w:tblPr>
      <w:tblGrid>
        <w:gridCol w:w="1245"/>
        <w:gridCol w:w="566"/>
        <w:gridCol w:w="566"/>
        <w:gridCol w:w="565"/>
        <w:gridCol w:w="565"/>
        <w:gridCol w:w="565"/>
        <w:gridCol w:w="565"/>
        <w:gridCol w:w="563"/>
        <w:gridCol w:w="563"/>
        <w:gridCol w:w="563"/>
        <w:gridCol w:w="563"/>
        <w:gridCol w:w="1180"/>
      </w:tblGrid>
      <w:tr w:rsidR="004C2CE5" w:rsidRPr="004C2CE5" w14:paraId="51C9AA63" w14:textId="77777777" w:rsidTr="00343867">
        <w:trPr>
          <w:trHeight w:val="315"/>
        </w:trPr>
        <w:tc>
          <w:tcPr>
            <w:tcW w:w="771" w:type="pct"/>
            <w:tcBorders>
              <w:top w:val="nil"/>
              <w:left w:val="single" w:sz="8" w:space="0" w:color="0079AC"/>
              <w:bottom w:val="nil"/>
              <w:right w:val="nil"/>
            </w:tcBorders>
            <w:shd w:val="clear" w:color="000000" w:fill="0079AC"/>
            <w:vAlign w:val="center"/>
            <w:hideMark/>
          </w:tcPr>
          <w:p w14:paraId="49B3552C" w14:textId="77777777" w:rsidR="004C2CE5" w:rsidRPr="004C2CE5" w:rsidRDefault="004C2CE5" w:rsidP="004C2CE5">
            <w:pPr>
              <w:spacing w:after="0" w:line="240" w:lineRule="auto"/>
              <w:rPr>
                <w:rFonts w:ascii="Times New Roman" w:eastAsia="Times New Roman" w:hAnsi="Times New Roman" w:cs="Times New Roman"/>
                <w:color w:val="000000"/>
                <w:lang w:eastAsia="nb-NO"/>
              </w:rPr>
            </w:pPr>
            <w:r w:rsidRPr="004C2CE5">
              <w:rPr>
                <w:rFonts w:ascii="Times New Roman" w:eastAsia="Times New Roman" w:hAnsi="Times New Roman" w:cs="Times New Roman"/>
                <w:color w:val="000000"/>
                <w:lang w:eastAsia="nb-NO"/>
              </w:rPr>
              <w:t> </w:t>
            </w:r>
          </w:p>
        </w:tc>
        <w:tc>
          <w:tcPr>
            <w:tcW w:w="351" w:type="pct"/>
            <w:tcBorders>
              <w:top w:val="nil"/>
              <w:left w:val="single" w:sz="8" w:space="0" w:color="2E91BB"/>
              <w:bottom w:val="single" w:sz="8" w:space="0" w:color="2E91BB"/>
              <w:right w:val="nil"/>
            </w:tcBorders>
            <w:shd w:val="clear" w:color="000000" w:fill="0079AC"/>
            <w:vAlign w:val="center"/>
            <w:hideMark/>
          </w:tcPr>
          <w:p w14:paraId="7FD7475B"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2013</w:t>
            </w:r>
          </w:p>
        </w:tc>
        <w:tc>
          <w:tcPr>
            <w:tcW w:w="351" w:type="pct"/>
            <w:tcBorders>
              <w:top w:val="nil"/>
              <w:left w:val="single" w:sz="8" w:space="0" w:color="2E91BB"/>
              <w:bottom w:val="single" w:sz="8" w:space="0" w:color="2E91BB"/>
              <w:right w:val="nil"/>
            </w:tcBorders>
            <w:shd w:val="clear" w:color="000000" w:fill="0079AC"/>
            <w:vAlign w:val="center"/>
            <w:hideMark/>
          </w:tcPr>
          <w:p w14:paraId="00D96E1D"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2014</w:t>
            </w:r>
          </w:p>
        </w:tc>
        <w:tc>
          <w:tcPr>
            <w:tcW w:w="350" w:type="pct"/>
            <w:tcBorders>
              <w:top w:val="nil"/>
              <w:left w:val="single" w:sz="8" w:space="0" w:color="2E91BB"/>
              <w:bottom w:val="single" w:sz="8" w:space="0" w:color="2E91BB"/>
              <w:right w:val="nil"/>
            </w:tcBorders>
            <w:shd w:val="clear" w:color="000000" w:fill="0079AC"/>
            <w:vAlign w:val="center"/>
            <w:hideMark/>
          </w:tcPr>
          <w:p w14:paraId="30621259"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2015</w:t>
            </w:r>
          </w:p>
        </w:tc>
        <w:tc>
          <w:tcPr>
            <w:tcW w:w="350" w:type="pct"/>
            <w:tcBorders>
              <w:top w:val="nil"/>
              <w:left w:val="single" w:sz="8" w:space="0" w:color="2E91BB"/>
              <w:bottom w:val="single" w:sz="8" w:space="0" w:color="2E91BB"/>
              <w:right w:val="nil"/>
            </w:tcBorders>
            <w:shd w:val="clear" w:color="000000" w:fill="0079AC"/>
            <w:vAlign w:val="center"/>
            <w:hideMark/>
          </w:tcPr>
          <w:p w14:paraId="3D66A292"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2016</w:t>
            </w:r>
          </w:p>
        </w:tc>
        <w:tc>
          <w:tcPr>
            <w:tcW w:w="350" w:type="pct"/>
            <w:tcBorders>
              <w:top w:val="nil"/>
              <w:left w:val="single" w:sz="8" w:space="0" w:color="2E91BB"/>
              <w:bottom w:val="single" w:sz="8" w:space="0" w:color="2E91BB"/>
              <w:right w:val="nil"/>
            </w:tcBorders>
            <w:shd w:val="clear" w:color="000000" w:fill="0079AC"/>
            <w:vAlign w:val="center"/>
            <w:hideMark/>
          </w:tcPr>
          <w:p w14:paraId="25778FE6"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2017</w:t>
            </w:r>
          </w:p>
        </w:tc>
        <w:tc>
          <w:tcPr>
            <w:tcW w:w="350" w:type="pct"/>
            <w:tcBorders>
              <w:top w:val="nil"/>
              <w:left w:val="single" w:sz="8" w:space="0" w:color="2E91BB"/>
              <w:bottom w:val="single" w:sz="8" w:space="0" w:color="2E91BB"/>
              <w:right w:val="nil"/>
            </w:tcBorders>
            <w:shd w:val="clear" w:color="000000" w:fill="0079AC"/>
            <w:vAlign w:val="center"/>
            <w:hideMark/>
          </w:tcPr>
          <w:p w14:paraId="76D8260B"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2018</w:t>
            </w:r>
          </w:p>
        </w:tc>
        <w:tc>
          <w:tcPr>
            <w:tcW w:w="349" w:type="pct"/>
            <w:tcBorders>
              <w:top w:val="nil"/>
              <w:left w:val="single" w:sz="8" w:space="0" w:color="2E91BB"/>
              <w:bottom w:val="single" w:sz="8" w:space="0" w:color="2E91BB"/>
              <w:right w:val="nil"/>
            </w:tcBorders>
            <w:shd w:val="clear" w:color="000000" w:fill="0079AC"/>
            <w:vAlign w:val="center"/>
            <w:hideMark/>
          </w:tcPr>
          <w:p w14:paraId="5D387CBD"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2019</w:t>
            </w:r>
          </w:p>
        </w:tc>
        <w:tc>
          <w:tcPr>
            <w:tcW w:w="349" w:type="pct"/>
            <w:tcBorders>
              <w:top w:val="nil"/>
              <w:left w:val="single" w:sz="8" w:space="0" w:color="2E91BB"/>
              <w:bottom w:val="single" w:sz="8" w:space="0" w:color="2E91BB"/>
              <w:right w:val="nil"/>
            </w:tcBorders>
            <w:shd w:val="clear" w:color="000000" w:fill="0079AC"/>
            <w:vAlign w:val="center"/>
            <w:hideMark/>
          </w:tcPr>
          <w:p w14:paraId="5B164B88"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2020</w:t>
            </w:r>
          </w:p>
        </w:tc>
        <w:tc>
          <w:tcPr>
            <w:tcW w:w="349" w:type="pct"/>
            <w:tcBorders>
              <w:top w:val="nil"/>
              <w:left w:val="single" w:sz="8" w:space="0" w:color="2E91BB"/>
              <w:bottom w:val="single" w:sz="8" w:space="0" w:color="2E91BB"/>
              <w:right w:val="nil"/>
            </w:tcBorders>
            <w:shd w:val="clear" w:color="000000" w:fill="0079AC"/>
            <w:vAlign w:val="center"/>
            <w:hideMark/>
          </w:tcPr>
          <w:p w14:paraId="015C7754"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2021</w:t>
            </w:r>
          </w:p>
        </w:tc>
        <w:tc>
          <w:tcPr>
            <w:tcW w:w="349" w:type="pct"/>
            <w:tcBorders>
              <w:top w:val="nil"/>
              <w:left w:val="single" w:sz="8" w:space="0" w:color="2E91BB"/>
              <w:bottom w:val="single" w:sz="8" w:space="0" w:color="2E91BB"/>
              <w:right w:val="nil"/>
            </w:tcBorders>
            <w:shd w:val="clear" w:color="000000" w:fill="0079AC"/>
            <w:vAlign w:val="center"/>
            <w:hideMark/>
          </w:tcPr>
          <w:p w14:paraId="535A799A" w14:textId="77777777" w:rsidR="004C2CE5" w:rsidRPr="004C2CE5" w:rsidRDefault="004C2CE5" w:rsidP="004C2CE5">
            <w:pPr>
              <w:spacing w:after="0" w:line="240" w:lineRule="auto"/>
              <w:jc w:val="center"/>
              <w:rPr>
                <w:rFonts w:ascii="Arial" w:eastAsia="Times New Roman" w:hAnsi="Arial" w:cs="Arial"/>
                <w:b/>
                <w:bCs/>
                <w:color w:val="FFFFFF"/>
                <w:sz w:val="16"/>
                <w:szCs w:val="16"/>
                <w:lang w:eastAsia="nb-NO"/>
              </w:rPr>
            </w:pPr>
            <w:r w:rsidRPr="004C2CE5">
              <w:rPr>
                <w:rFonts w:ascii="Arial" w:eastAsia="Times New Roman" w:hAnsi="Arial" w:cs="Arial"/>
                <w:b/>
                <w:bCs/>
                <w:color w:val="FFFFFF"/>
                <w:sz w:val="16"/>
                <w:szCs w:val="16"/>
                <w:lang w:eastAsia="nb-NO"/>
              </w:rPr>
              <w:t>2022</w:t>
            </w:r>
          </w:p>
        </w:tc>
        <w:tc>
          <w:tcPr>
            <w:tcW w:w="731" w:type="pct"/>
            <w:tcBorders>
              <w:top w:val="nil"/>
              <w:left w:val="nil"/>
              <w:bottom w:val="nil"/>
              <w:right w:val="nil"/>
            </w:tcBorders>
            <w:shd w:val="clear" w:color="000000" w:fill="C6E0B4"/>
            <w:noWrap/>
            <w:vAlign w:val="center"/>
            <w:hideMark/>
          </w:tcPr>
          <w:p w14:paraId="50F7E99A" w14:textId="63D4B2F0" w:rsidR="004C2CE5" w:rsidRPr="004C2CE5" w:rsidRDefault="001961C7" w:rsidP="004C2CE5">
            <w:pPr>
              <w:spacing w:after="0" w:line="240" w:lineRule="auto"/>
              <w:rPr>
                <w:rFonts w:ascii="Arial" w:eastAsia="Times New Roman" w:hAnsi="Arial" w:cs="Arial"/>
                <w:b/>
                <w:bCs/>
                <w:color w:val="000000"/>
                <w:sz w:val="16"/>
                <w:szCs w:val="16"/>
                <w:lang w:eastAsia="nb-NO"/>
              </w:rPr>
            </w:pPr>
            <w:r>
              <w:rPr>
                <w:rFonts w:ascii="Arial" w:eastAsia="Times New Roman" w:hAnsi="Arial" w:cs="Arial"/>
                <w:b/>
                <w:bCs/>
                <w:color w:val="000000"/>
                <w:sz w:val="16"/>
                <w:szCs w:val="16"/>
                <w:lang w:eastAsia="nb-NO"/>
              </w:rPr>
              <w:t>Tatt opp</w:t>
            </w:r>
            <w:r w:rsidR="004C2CE5" w:rsidRPr="004C2CE5">
              <w:rPr>
                <w:rFonts w:ascii="Arial" w:eastAsia="Times New Roman" w:hAnsi="Arial" w:cs="Arial"/>
                <w:b/>
                <w:bCs/>
                <w:color w:val="000000"/>
                <w:sz w:val="16"/>
                <w:szCs w:val="16"/>
                <w:lang w:eastAsia="nb-NO"/>
              </w:rPr>
              <w:t xml:space="preserve"> 2016</w:t>
            </w:r>
          </w:p>
        </w:tc>
      </w:tr>
      <w:tr w:rsidR="004C2CE5" w:rsidRPr="004C2CE5" w14:paraId="5C77ABAB" w14:textId="77777777" w:rsidTr="00560DDA">
        <w:trPr>
          <w:trHeight w:val="300"/>
        </w:trPr>
        <w:tc>
          <w:tcPr>
            <w:tcW w:w="771" w:type="pct"/>
            <w:tcBorders>
              <w:top w:val="nil"/>
              <w:left w:val="nil"/>
              <w:bottom w:val="nil"/>
              <w:right w:val="nil"/>
            </w:tcBorders>
            <w:shd w:val="clear" w:color="auto" w:fill="auto"/>
            <w:vAlign w:val="center"/>
            <w:hideMark/>
          </w:tcPr>
          <w:p w14:paraId="409A71F4" w14:textId="77777777" w:rsidR="004C2CE5" w:rsidRPr="004C2CE5" w:rsidRDefault="004C2CE5" w:rsidP="004C2CE5">
            <w:pPr>
              <w:spacing w:after="0" w:line="240" w:lineRule="auto"/>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UiO </w:t>
            </w:r>
          </w:p>
        </w:tc>
        <w:tc>
          <w:tcPr>
            <w:tcW w:w="351" w:type="pct"/>
            <w:tcBorders>
              <w:top w:val="nil"/>
              <w:left w:val="nil"/>
              <w:bottom w:val="nil"/>
              <w:right w:val="nil"/>
            </w:tcBorders>
            <w:shd w:val="clear" w:color="auto" w:fill="auto"/>
            <w:vAlign w:val="center"/>
            <w:hideMark/>
          </w:tcPr>
          <w:p w14:paraId="00127D4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64,2</w:t>
            </w:r>
          </w:p>
        </w:tc>
        <w:tc>
          <w:tcPr>
            <w:tcW w:w="351" w:type="pct"/>
            <w:tcBorders>
              <w:top w:val="nil"/>
              <w:left w:val="nil"/>
              <w:bottom w:val="nil"/>
              <w:right w:val="nil"/>
            </w:tcBorders>
            <w:shd w:val="clear" w:color="auto" w:fill="auto"/>
            <w:vAlign w:val="center"/>
            <w:hideMark/>
          </w:tcPr>
          <w:p w14:paraId="605BD165"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65,3</w:t>
            </w:r>
          </w:p>
        </w:tc>
        <w:tc>
          <w:tcPr>
            <w:tcW w:w="350" w:type="pct"/>
            <w:tcBorders>
              <w:top w:val="nil"/>
              <w:left w:val="nil"/>
              <w:bottom w:val="nil"/>
              <w:right w:val="nil"/>
            </w:tcBorders>
            <w:shd w:val="clear" w:color="auto" w:fill="auto"/>
            <w:vAlign w:val="center"/>
            <w:hideMark/>
          </w:tcPr>
          <w:p w14:paraId="3D7D0508"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65,8</w:t>
            </w:r>
          </w:p>
        </w:tc>
        <w:tc>
          <w:tcPr>
            <w:tcW w:w="350" w:type="pct"/>
            <w:tcBorders>
              <w:top w:val="nil"/>
              <w:left w:val="nil"/>
              <w:bottom w:val="nil"/>
              <w:right w:val="nil"/>
            </w:tcBorders>
            <w:shd w:val="clear" w:color="auto" w:fill="auto"/>
            <w:vAlign w:val="center"/>
            <w:hideMark/>
          </w:tcPr>
          <w:p w14:paraId="0036D642"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66,7</w:t>
            </w:r>
          </w:p>
        </w:tc>
        <w:tc>
          <w:tcPr>
            <w:tcW w:w="350" w:type="pct"/>
            <w:tcBorders>
              <w:top w:val="nil"/>
              <w:left w:val="nil"/>
              <w:bottom w:val="nil"/>
              <w:right w:val="nil"/>
            </w:tcBorders>
            <w:shd w:val="clear" w:color="auto" w:fill="auto"/>
            <w:vAlign w:val="center"/>
            <w:hideMark/>
          </w:tcPr>
          <w:p w14:paraId="52C646F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63,5</w:t>
            </w:r>
          </w:p>
        </w:tc>
        <w:tc>
          <w:tcPr>
            <w:tcW w:w="350" w:type="pct"/>
            <w:tcBorders>
              <w:top w:val="nil"/>
              <w:left w:val="nil"/>
              <w:bottom w:val="nil"/>
              <w:right w:val="nil"/>
            </w:tcBorders>
            <w:shd w:val="clear" w:color="auto" w:fill="auto"/>
            <w:vAlign w:val="center"/>
            <w:hideMark/>
          </w:tcPr>
          <w:p w14:paraId="1B9E4DC7"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66,0</w:t>
            </w:r>
          </w:p>
        </w:tc>
        <w:tc>
          <w:tcPr>
            <w:tcW w:w="349" w:type="pct"/>
            <w:tcBorders>
              <w:top w:val="nil"/>
              <w:left w:val="nil"/>
              <w:bottom w:val="nil"/>
              <w:right w:val="nil"/>
            </w:tcBorders>
            <w:shd w:val="clear" w:color="auto" w:fill="auto"/>
            <w:vAlign w:val="center"/>
            <w:hideMark/>
          </w:tcPr>
          <w:p w14:paraId="231A827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61,4</w:t>
            </w:r>
          </w:p>
        </w:tc>
        <w:tc>
          <w:tcPr>
            <w:tcW w:w="349" w:type="pct"/>
            <w:tcBorders>
              <w:top w:val="nil"/>
              <w:left w:val="nil"/>
              <w:bottom w:val="nil"/>
              <w:right w:val="nil"/>
            </w:tcBorders>
            <w:shd w:val="clear" w:color="auto" w:fill="auto"/>
            <w:vAlign w:val="center"/>
            <w:hideMark/>
          </w:tcPr>
          <w:p w14:paraId="4B0AF6E7"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67,2</w:t>
            </w:r>
          </w:p>
        </w:tc>
        <w:tc>
          <w:tcPr>
            <w:tcW w:w="349" w:type="pct"/>
            <w:tcBorders>
              <w:top w:val="nil"/>
              <w:left w:val="nil"/>
              <w:bottom w:val="nil"/>
              <w:right w:val="nil"/>
            </w:tcBorders>
            <w:shd w:val="clear" w:color="auto" w:fill="auto"/>
            <w:vAlign w:val="center"/>
            <w:hideMark/>
          </w:tcPr>
          <w:p w14:paraId="7EAECB3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65,1</w:t>
            </w:r>
          </w:p>
        </w:tc>
        <w:tc>
          <w:tcPr>
            <w:tcW w:w="349" w:type="pct"/>
            <w:tcBorders>
              <w:top w:val="nil"/>
              <w:left w:val="nil"/>
              <w:bottom w:val="nil"/>
              <w:right w:val="nil"/>
            </w:tcBorders>
            <w:shd w:val="clear" w:color="auto" w:fill="auto"/>
            <w:vAlign w:val="center"/>
            <w:hideMark/>
          </w:tcPr>
          <w:p w14:paraId="12B5F76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65,2</w:t>
            </w:r>
          </w:p>
        </w:tc>
        <w:tc>
          <w:tcPr>
            <w:tcW w:w="731" w:type="pct"/>
            <w:tcBorders>
              <w:top w:val="nil"/>
              <w:left w:val="nil"/>
              <w:bottom w:val="nil"/>
              <w:right w:val="nil"/>
            </w:tcBorders>
            <w:shd w:val="clear" w:color="auto" w:fill="auto"/>
            <w:noWrap/>
            <w:vAlign w:val="center"/>
            <w:hideMark/>
          </w:tcPr>
          <w:p w14:paraId="69E049AF" w14:textId="76E8ACB9"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w:t>
            </w:r>
            <w:r w:rsidR="00AF337C">
              <w:rPr>
                <w:rFonts w:ascii="Arial" w:eastAsia="Times New Roman" w:hAnsi="Arial" w:cs="Arial"/>
                <w:color w:val="000000"/>
                <w:sz w:val="16"/>
                <w:szCs w:val="16"/>
                <w:lang w:eastAsia="nb-NO"/>
              </w:rPr>
              <w:t>29</w:t>
            </w:r>
          </w:p>
        </w:tc>
      </w:tr>
      <w:tr w:rsidR="004C2CE5" w:rsidRPr="004C2CE5" w14:paraId="5032F947" w14:textId="77777777" w:rsidTr="00560DDA">
        <w:trPr>
          <w:trHeight w:val="300"/>
        </w:trPr>
        <w:tc>
          <w:tcPr>
            <w:tcW w:w="771" w:type="pct"/>
            <w:tcBorders>
              <w:top w:val="nil"/>
              <w:left w:val="single" w:sz="8" w:space="0" w:color="EEEEEE"/>
              <w:bottom w:val="nil"/>
              <w:right w:val="nil"/>
            </w:tcBorders>
            <w:shd w:val="clear" w:color="000000" w:fill="F2F2F2"/>
            <w:vAlign w:val="center"/>
            <w:hideMark/>
          </w:tcPr>
          <w:p w14:paraId="7601AAF1" w14:textId="77777777" w:rsidR="004C2CE5" w:rsidRPr="004C2CE5" w:rsidRDefault="004C2CE5" w:rsidP="004C2CE5">
            <w:pPr>
              <w:spacing w:after="0" w:line="240" w:lineRule="auto"/>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NTNU </w:t>
            </w:r>
          </w:p>
        </w:tc>
        <w:tc>
          <w:tcPr>
            <w:tcW w:w="351" w:type="pct"/>
            <w:tcBorders>
              <w:top w:val="nil"/>
              <w:left w:val="single" w:sz="8" w:space="0" w:color="EEEEEE"/>
              <w:bottom w:val="nil"/>
              <w:right w:val="nil"/>
            </w:tcBorders>
            <w:shd w:val="clear" w:color="000000" w:fill="F2F2F2"/>
            <w:vAlign w:val="center"/>
            <w:hideMark/>
          </w:tcPr>
          <w:p w14:paraId="3907C80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68,5</w:t>
            </w:r>
          </w:p>
        </w:tc>
        <w:tc>
          <w:tcPr>
            <w:tcW w:w="351" w:type="pct"/>
            <w:tcBorders>
              <w:top w:val="nil"/>
              <w:left w:val="single" w:sz="8" w:space="0" w:color="EEEEEE"/>
              <w:bottom w:val="nil"/>
              <w:right w:val="nil"/>
            </w:tcBorders>
            <w:shd w:val="clear" w:color="000000" w:fill="F2F2F2"/>
            <w:vAlign w:val="center"/>
            <w:hideMark/>
          </w:tcPr>
          <w:p w14:paraId="7A9089E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67,8</w:t>
            </w:r>
          </w:p>
        </w:tc>
        <w:tc>
          <w:tcPr>
            <w:tcW w:w="350" w:type="pct"/>
            <w:tcBorders>
              <w:top w:val="nil"/>
              <w:left w:val="single" w:sz="8" w:space="0" w:color="EEEEEE"/>
              <w:bottom w:val="nil"/>
              <w:right w:val="nil"/>
            </w:tcBorders>
            <w:shd w:val="clear" w:color="000000" w:fill="F2F2F2"/>
            <w:vAlign w:val="center"/>
            <w:hideMark/>
          </w:tcPr>
          <w:p w14:paraId="160858D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64,6</w:t>
            </w:r>
          </w:p>
        </w:tc>
        <w:tc>
          <w:tcPr>
            <w:tcW w:w="350" w:type="pct"/>
            <w:tcBorders>
              <w:top w:val="nil"/>
              <w:left w:val="single" w:sz="8" w:space="0" w:color="EEEEEE"/>
              <w:bottom w:val="nil"/>
              <w:right w:val="nil"/>
            </w:tcBorders>
            <w:shd w:val="clear" w:color="000000" w:fill="F2F2F2"/>
            <w:vAlign w:val="center"/>
            <w:hideMark/>
          </w:tcPr>
          <w:p w14:paraId="5943E606"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72,3</w:t>
            </w:r>
          </w:p>
        </w:tc>
        <w:tc>
          <w:tcPr>
            <w:tcW w:w="350" w:type="pct"/>
            <w:tcBorders>
              <w:top w:val="nil"/>
              <w:left w:val="single" w:sz="8" w:space="0" w:color="EEEEEE"/>
              <w:bottom w:val="nil"/>
              <w:right w:val="nil"/>
            </w:tcBorders>
            <w:shd w:val="clear" w:color="000000" w:fill="F2F2F2"/>
            <w:vAlign w:val="center"/>
            <w:hideMark/>
          </w:tcPr>
          <w:p w14:paraId="1CDC527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69,4</w:t>
            </w:r>
          </w:p>
        </w:tc>
        <w:tc>
          <w:tcPr>
            <w:tcW w:w="350" w:type="pct"/>
            <w:tcBorders>
              <w:top w:val="nil"/>
              <w:left w:val="single" w:sz="8" w:space="0" w:color="EEEEEE"/>
              <w:bottom w:val="nil"/>
              <w:right w:val="nil"/>
            </w:tcBorders>
            <w:shd w:val="clear" w:color="000000" w:fill="F2F2F2"/>
            <w:vAlign w:val="center"/>
            <w:hideMark/>
          </w:tcPr>
          <w:p w14:paraId="4B537FDC"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75,9</w:t>
            </w:r>
          </w:p>
        </w:tc>
        <w:tc>
          <w:tcPr>
            <w:tcW w:w="349" w:type="pct"/>
            <w:tcBorders>
              <w:top w:val="nil"/>
              <w:left w:val="single" w:sz="8" w:space="0" w:color="EEEEEE"/>
              <w:bottom w:val="nil"/>
              <w:right w:val="nil"/>
            </w:tcBorders>
            <w:shd w:val="clear" w:color="000000" w:fill="F2F2F2"/>
            <w:vAlign w:val="center"/>
            <w:hideMark/>
          </w:tcPr>
          <w:p w14:paraId="5D5CE759"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75,1</w:t>
            </w:r>
          </w:p>
        </w:tc>
        <w:tc>
          <w:tcPr>
            <w:tcW w:w="349" w:type="pct"/>
            <w:tcBorders>
              <w:top w:val="nil"/>
              <w:left w:val="single" w:sz="8" w:space="0" w:color="EEEEEE"/>
              <w:bottom w:val="nil"/>
              <w:right w:val="nil"/>
            </w:tcBorders>
            <w:shd w:val="clear" w:color="000000" w:fill="F2F2F2"/>
            <w:vAlign w:val="center"/>
            <w:hideMark/>
          </w:tcPr>
          <w:p w14:paraId="502425A9"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75,5</w:t>
            </w:r>
          </w:p>
        </w:tc>
        <w:tc>
          <w:tcPr>
            <w:tcW w:w="349" w:type="pct"/>
            <w:tcBorders>
              <w:top w:val="nil"/>
              <w:left w:val="single" w:sz="8" w:space="0" w:color="EEEEEE"/>
              <w:bottom w:val="nil"/>
              <w:right w:val="nil"/>
            </w:tcBorders>
            <w:shd w:val="clear" w:color="000000" w:fill="F2F2F2"/>
            <w:vAlign w:val="center"/>
            <w:hideMark/>
          </w:tcPr>
          <w:p w14:paraId="15C5A68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73,4</w:t>
            </w:r>
          </w:p>
        </w:tc>
        <w:tc>
          <w:tcPr>
            <w:tcW w:w="349" w:type="pct"/>
            <w:tcBorders>
              <w:top w:val="nil"/>
              <w:left w:val="single" w:sz="8" w:space="0" w:color="EEEEEE"/>
              <w:bottom w:val="nil"/>
              <w:right w:val="nil"/>
            </w:tcBorders>
            <w:shd w:val="clear" w:color="000000" w:fill="F2F2F2"/>
            <w:vAlign w:val="center"/>
            <w:hideMark/>
          </w:tcPr>
          <w:p w14:paraId="5A93471D"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71,2</w:t>
            </w:r>
          </w:p>
        </w:tc>
        <w:tc>
          <w:tcPr>
            <w:tcW w:w="731" w:type="pct"/>
            <w:tcBorders>
              <w:top w:val="nil"/>
              <w:left w:val="nil"/>
              <w:bottom w:val="nil"/>
              <w:right w:val="nil"/>
            </w:tcBorders>
            <w:shd w:val="clear" w:color="000000" w:fill="F2F2F2"/>
            <w:noWrap/>
            <w:vAlign w:val="center"/>
            <w:hideMark/>
          </w:tcPr>
          <w:p w14:paraId="5F1BFFD8" w14:textId="4BE88E66"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w:t>
            </w:r>
            <w:r w:rsidR="00DD4A9B">
              <w:rPr>
                <w:rFonts w:ascii="Arial" w:eastAsia="Times New Roman" w:hAnsi="Arial" w:cs="Arial"/>
                <w:color w:val="000000"/>
                <w:sz w:val="16"/>
                <w:szCs w:val="16"/>
                <w:lang w:eastAsia="nb-NO"/>
              </w:rPr>
              <w:t>68</w:t>
            </w:r>
          </w:p>
        </w:tc>
      </w:tr>
      <w:tr w:rsidR="004C2CE5" w:rsidRPr="004C2CE5" w14:paraId="2D92E4FD" w14:textId="77777777" w:rsidTr="00560DDA">
        <w:trPr>
          <w:trHeight w:val="300"/>
        </w:trPr>
        <w:tc>
          <w:tcPr>
            <w:tcW w:w="771" w:type="pct"/>
            <w:tcBorders>
              <w:top w:val="nil"/>
              <w:left w:val="nil"/>
              <w:bottom w:val="nil"/>
              <w:right w:val="nil"/>
            </w:tcBorders>
            <w:shd w:val="clear" w:color="auto" w:fill="auto"/>
            <w:vAlign w:val="center"/>
            <w:hideMark/>
          </w:tcPr>
          <w:p w14:paraId="4E9203A4" w14:textId="77777777" w:rsidR="004C2CE5" w:rsidRPr="004C2CE5" w:rsidRDefault="004C2CE5" w:rsidP="004C2CE5">
            <w:pPr>
              <w:spacing w:after="0" w:line="240" w:lineRule="auto"/>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UiB </w:t>
            </w:r>
          </w:p>
        </w:tc>
        <w:tc>
          <w:tcPr>
            <w:tcW w:w="351" w:type="pct"/>
            <w:tcBorders>
              <w:top w:val="nil"/>
              <w:left w:val="nil"/>
              <w:bottom w:val="nil"/>
              <w:right w:val="nil"/>
            </w:tcBorders>
            <w:shd w:val="clear" w:color="auto" w:fill="auto"/>
            <w:vAlign w:val="center"/>
            <w:hideMark/>
          </w:tcPr>
          <w:p w14:paraId="52A2852A"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68,4</w:t>
            </w:r>
          </w:p>
        </w:tc>
        <w:tc>
          <w:tcPr>
            <w:tcW w:w="351" w:type="pct"/>
            <w:tcBorders>
              <w:top w:val="nil"/>
              <w:left w:val="nil"/>
              <w:bottom w:val="nil"/>
              <w:right w:val="nil"/>
            </w:tcBorders>
            <w:shd w:val="clear" w:color="auto" w:fill="auto"/>
            <w:vAlign w:val="center"/>
            <w:hideMark/>
          </w:tcPr>
          <w:p w14:paraId="3FDB8D4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74,0</w:t>
            </w:r>
          </w:p>
        </w:tc>
        <w:tc>
          <w:tcPr>
            <w:tcW w:w="350" w:type="pct"/>
            <w:tcBorders>
              <w:top w:val="nil"/>
              <w:left w:val="nil"/>
              <w:bottom w:val="nil"/>
              <w:right w:val="nil"/>
            </w:tcBorders>
            <w:shd w:val="clear" w:color="auto" w:fill="auto"/>
            <w:vAlign w:val="center"/>
            <w:hideMark/>
          </w:tcPr>
          <w:p w14:paraId="64C6A6CA"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77,4</w:t>
            </w:r>
          </w:p>
        </w:tc>
        <w:tc>
          <w:tcPr>
            <w:tcW w:w="350" w:type="pct"/>
            <w:tcBorders>
              <w:top w:val="nil"/>
              <w:left w:val="nil"/>
              <w:bottom w:val="nil"/>
              <w:right w:val="nil"/>
            </w:tcBorders>
            <w:shd w:val="clear" w:color="auto" w:fill="auto"/>
            <w:vAlign w:val="center"/>
            <w:hideMark/>
          </w:tcPr>
          <w:p w14:paraId="33F98BB8"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65,3</w:t>
            </w:r>
          </w:p>
        </w:tc>
        <w:tc>
          <w:tcPr>
            <w:tcW w:w="350" w:type="pct"/>
            <w:tcBorders>
              <w:top w:val="nil"/>
              <w:left w:val="nil"/>
              <w:bottom w:val="nil"/>
              <w:right w:val="nil"/>
            </w:tcBorders>
            <w:shd w:val="clear" w:color="auto" w:fill="auto"/>
            <w:vAlign w:val="center"/>
            <w:hideMark/>
          </w:tcPr>
          <w:p w14:paraId="0771E0BF"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70,7</w:t>
            </w:r>
          </w:p>
        </w:tc>
        <w:tc>
          <w:tcPr>
            <w:tcW w:w="350" w:type="pct"/>
            <w:tcBorders>
              <w:top w:val="nil"/>
              <w:left w:val="nil"/>
              <w:bottom w:val="nil"/>
              <w:right w:val="nil"/>
            </w:tcBorders>
            <w:shd w:val="clear" w:color="auto" w:fill="auto"/>
            <w:vAlign w:val="center"/>
            <w:hideMark/>
          </w:tcPr>
          <w:p w14:paraId="36C7BD2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68,8</w:t>
            </w:r>
          </w:p>
        </w:tc>
        <w:tc>
          <w:tcPr>
            <w:tcW w:w="349" w:type="pct"/>
            <w:tcBorders>
              <w:top w:val="nil"/>
              <w:left w:val="nil"/>
              <w:bottom w:val="nil"/>
              <w:right w:val="nil"/>
            </w:tcBorders>
            <w:shd w:val="clear" w:color="auto" w:fill="auto"/>
            <w:vAlign w:val="center"/>
            <w:hideMark/>
          </w:tcPr>
          <w:p w14:paraId="27AF683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64,4</w:t>
            </w:r>
          </w:p>
        </w:tc>
        <w:tc>
          <w:tcPr>
            <w:tcW w:w="349" w:type="pct"/>
            <w:tcBorders>
              <w:top w:val="nil"/>
              <w:left w:val="nil"/>
              <w:bottom w:val="nil"/>
              <w:right w:val="nil"/>
            </w:tcBorders>
            <w:shd w:val="clear" w:color="auto" w:fill="auto"/>
            <w:vAlign w:val="center"/>
            <w:hideMark/>
          </w:tcPr>
          <w:p w14:paraId="0F3ED06B"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73,7</w:t>
            </w:r>
          </w:p>
        </w:tc>
        <w:tc>
          <w:tcPr>
            <w:tcW w:w="349" w:type="pct"/>
            <w:tcBorders>
              <w:top w:val="nil"/>
              <w:left w:val="nil"/>
              <w:bottom w:val="nil"/>
              <w:right w:val="nil"/>
            </w:tcBorders>
            <w:shd w:val="clear" w:color="auto" w:fill="auto"/>
            <w:vAlign w:val="center"/>
            <w:hideMark/>
          </w:tcPr>
          <w:p w14:paraId="77CE4DB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71,4</w:t>
            </w:r>
          </w:p>
        </w:tc>
        <w:tc>
          <w:tcPr>
            <w:tcW w:w="349" w:type="pct"/>
            <w:tcBorders>
              <w:top w:val="nil"/>
              <w:left w:val="nil"/>
              <w:bottom w:val="nil"/>
              <w:right w:val="nil"/>
            </w:tcBorders>
            <w:shd w:val="clear" w:color="auto" w:fill="auto"/>
            <w:vAlign w:val="center"/>
            <w:hideMark/>
          </w:tcPr>
          <w:p w14:paraId="408781AD"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69,6</w:t>
            </w:r>
          </w:p>
        </w:tc>
        <w:tc>
          <w:tcPr>
            <w:tcW w:w="731" w:type="pct"/>
            <w:tcBorders>
              <w:top w:val="nil"/>
              <w:left w:val="nil"/>
              <w:bottom w:val="nil"/>
              <w:right w:val="nil"/>
            </w:tcBorders>
            <w:shd w:val="clear" w:color="auto" w:fill="auto"/>
            <w:noWrap/>
            <w:vAlign w:val="center"/>
            <w:hideMark/>
          </w:tcPr>
          <w:p w14:paraId="2986A5C9" w14:textId="60989B91"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26</w:t>
            </w:r>
            <w:r w:rsidR="00DD4A9B">
              <w:rPr>
                <w:rFonts w:ascii="Arial" w:eastAsia="Times New Roman" w:hAnsi="Arial" w:cs="Arial"/>
                <w:color w:val="000000"/>
                <w:sz w:val="16"/>
                <w:szCs w:val="16"/>
                <w:lang w:eastAsia="nb-NO"/>
              </w:rPr>
              <w:t>3</w:t>
            </w:r>
          </w:p>
        </w:tc>
      </w:tr>
      <w:tr w:rsidR="004C2CE5" w:rsidRPr="004C2CE5" w14:paraId="0FADF7D2" w14:textId="77777777" w:rsidTr="00560DDA">
        <w:trPr>
          <w:trHeight w:val="300"/>
        </w:trPr>
        <w:tc>
          <w:tcPr>
            <w:tcW w:w="771" w:type="pct"/>
            <w:tcBorders>
              <w:top w:val="nil"/>
              <w:left w:val="single" w:sz="8" w:space="0" w:color="EEEEEE"/>
              <w:bottom w:val="nil"/>
              <w:right w:val="nil"/>
            </w:tcBorders>
            <w:shd w:val="clear" w:color="000000" w:fill="F2F2F2"/>
            <w:vAlign w:val="center"/>
            <w:hideMark/>
          </w:tcPr>
          <w:p w14:paraId="776796FF" w14:textId="77777777" w:rsidR="004C2CE5" w:rsidRPr="004C2CE5" w:rsidRDefault="004C2CE5" w:rsidP="004C2CE5">
            <w:pPr>
              <w:spacing w:after="0" w:line="240" w:lineRule="auto"/>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UiT </w:t>
            </w:r>
          </w:p>
        </w:tc>
        <w:tc>
          <w:tcPr>
            <w:tcW w:w="351" w:type="pct"/>
            <w:tcBorders>
              <w:top w:val="nil"/>
              <w:left w:val="single" w:sz="8" w:space="0" w:color="EEEEEE"/>
              <w:bottom w:val="nil"/>
              <w:right w:val="nil"/>
            </w:tcBorders>
            <w:shd w:val="clear" w:color="000000" w:fill="F2F2F2"/>
            <w:vAlign w:val="center"/>
            <w:hideMark/>
          </w:tcPr>
          <w:p w14:paraId="5C18B3B7"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51,8</w:t>
            </w:r>
          </w:p>
        </w:tc>
        <w:tc>
          <w:tcPr>
            <w:tcW w:w="351" w:type="pct"/>
            <w:tcBorders>
              <w:top w:val="nil"/>
              <w:left w:val="single" w:sz="8" w:space="0" w:color="EEEEEE"/>
              <w:bottom w:val="nil"/>
              <w:right w:val="nil"/>
            </w:tcBorders>
            <w:shd w:val="clear" w:color="000000" w:fill="F2F2F2"/>
            <w:vAlign w:val="center"/>
            <w:hideMark/>
          </w:tcPr>
          <w:p w14:paraId="3AB34FB8"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50,4</w:t>
            </w:r>
          </w:p>
        </w:tc>
        <w:tc>
          <w:tcPr>
            <w:tcW w:w="350" w:type="pct"/>
            <w:tcBorders>
              <w:top w:val="nil"/>
              <w:left w:val="single" w:sz="8" w:space="0" w:color="EEEEEE"/>
              <w:bottom w:val="nil"/>
              <w:right w:val="nil"/>
            </w:tcBorders>
            <w:shd w:val="clear" w:color="000000" w:fill="F2F2F2"/>
            <w:vAlign w:val="center"/>
            <w:hideMark/>
          </w:tcPr>
          <w:p w14:paraId="0C06105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61,5</w:t>
            </w:r>
          </w:p>
        </w:tc>
        <w:tc>
          <w:tcPr>
            <w:tcW w:w="350" w:type="pct"/>
            <w:tcBorders>
              <w:top w:val="nil"/>
              <w:left w:val="single" w:sz="8" w:space="0" w:color="EEEEEE"/>
              <w:bottom w:val="nil"/>
              <w:right w:val="nil"/>
            </w:tcBorders>
            <w:shd w:val="clear" w:color="000000" w:fill="F2F2F2"/>
            <w:vAlign w:val="center"/>
            <w:hideMark/>
          </w:tcPr>
          <w:p w14:paraId="5FAD08C2"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63,2</w:t>
            </w:r>
          </w:p>
        </w:tc>
        <w:tc>
          <w:tcPr>
            <w:tcW w:w="350" w:type="pct"/>
            <w:tcBorders>
              <w:top w:val="nil"/>
              <w:left w:val="single" w:sz="8" w:space="0" w:color="EEEEEE"/>
              <w:bottom w:val="nil"/>
              <w:right w:val="nil"/>
            </w:tcBorders>
            <w:shd w:val="clear" w:color="000000" w:fill="F2F2F2"/>
            <w:vAlign w:val="center"/>
            <w:hideMark/>
          </w:tcPr>
          <w:p w14:paraId="0C35D4B2"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59,7</w:t>
            </w:r>
          </w:p>
        </w:tc>
        <w:tc>
          <w:tcPr>
            <w:tcW w:w="350" w:type="pct"/>
            <w:tcBorders>
              <w:top w:val="nil"/>
              <w:left w:val="single" w:sz="8" w:space="0" w:color="EEEEEE"/>
              <w:bottom w:val="nil"/>
              <w:right w:val="nil"/>
            </w:tcBorders>
            <w:shd w:val="clear" w:color="000000" w:fill="F2F2F2"/>
            <w:vAlign w:val="center"/>
            <w:hideMark/>
          </w:tcPr>
          <w:p w14:paraId="082D5874"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65,7</w:t>
            </w:r>
          </w:p>
        </w:tc>
        <w:tc>
          <w:tcPr>
            <w:tcW w:w="349" w:type="pct"/>
            <w:tcBorders>
              <w:top w:val="nil"/>
              <w:left w:val="single" w:sz="8" w:space="0" w:color="EEEEEE"/>
              <w:bottom w:val="nil"/>
              <w:right w:val="nil"/>
            </w:tcBorders>
            <w:shd w:val="clear" w:color="000000" w:fill="F2F2F2"/>
            <w:vAlign w:val="center"/>
            <w:hideMark/>
          </w:tcPr>
          <w:p w14:paraId="4EA71EED"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64,7</w:t>
            </w:r>
          </w:p>
        </w:tc>
        <w:tc>
          <w:tcPr>
            <w:tcW w:w="349" w:type="pct"/>
            <w:tcBorders>
              <w:top w:val="nil"/>
              <w:left w:val="single" w:sz="8" w:space="0" w:color="EEEEEE"/>
              <w:bottom w:val="nil"/>
              <w:right w:val="nil"/>
            </w:tcBorders>
            <w:shd w:val="clear" w:color="000000" w:fill="F2F2F2"/>
            <w:vAlign w:val="center"/>
            <w:hideMark/>
          </w:tcPr>
          <w:p w14:paraId="7C5A3A3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55,9</w:t>
            </w:r>
          </w:p>
        </w:tc>
        <w:tc>
          <w:tcPr>
            <w:tcW w:w="349" w:type="pct"/>
            <w:tcBorders>
              <w:top w:val="nil"/>
              <w:left w:val="single" w:sz="8" w:space="0" w:color="EEEEEE"/>
              <w:bottom w:val="nil"/>
              <w:right w:val="nil"/>
            </w:tcBorders>
            <w:shd w:val="clear" w:color="000000" w:fill="F2F2F2"/>
            <w:vAlign w:val="center"/>
            <w:hideMark/>
          </w:tcPr>
          <w:p w14:paraId="2C7770AC"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62,9</w:t>
            </w:r>
          </w:p>
        </w:tc>
        <w:tc>
          <w:tcPr>
            <w:tcW w:w="349" w:type="pct"/>
            <w:tcBorders>
              <w:top w:val="nil"/>
              <w:left w:val="single" w:sz="8" w:space="0" w:color="EEEEEE"/>
              <w:bottom w:val="nil"/>
              <w:right w:val="nil"/>
            </w:tcBorders>
            <w:shd w:val="clear" w:color="000000" w:fill="F2F2F2"/>
            <w:vAlign w:val="center"/>
            <w:hideMark/>
          </w:tcPr>
          <w:p w14:paraId="7D2A4E86"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65,8</w:t>
            </w:r>
          </w:p>
        </w:tc>
        <w:tc>
          <w:tcPr>
            <w:tcW w:w="731" w:type="pct"/>
            <w:tcBorders>
              <w:top w:val="nil"/>
              <w:left w:val="nil"/>
              <w:bottom w:val="nil"/>
              <w:right w:val="nil"/>
            </w:tcBorders>
            <w:shd w:val="clear" w:color="000000" w:fill="F2F2F2"/>
            <w:noWrap/>
            <w:vAlign w:val="center"/>
            <w:hideMark/>
          </w:tcPr>
          <w:p w14:paraId="5B1354ED" w14:textId="106F8C5F"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1</w:t>
            </w:r>
            <w:r w:rsidR="00DD4A9B">
              <w:rPr>
                <w:rFonts w:ascii="Arial" w:eastAsia="Times New Roman" w:hAnsi="Arial" w:cs="Arial"/>
                <w:color w:val="000000"/>
                <w:sz w:val="16"/>
                <w:szCs w:val="16"/>
                <w:lang w:eastAsia="nb-NO"/>
              </w:rPr>
              <w:t>49</w:t>
            </w:r>
          </w:p>
        </w:tc>
      </w:tr>
      <w:tr w:rsidR="004C2CE5" w:rsidRPr="004C2CE5" w14:paraId="0EA7295F" w14:textId="77777777" w:rsidTr="00343867">
        <w:trPr>
          <w:trHeight w:val="300"/>
        </w:trPr>
        <w:tc>
          <w:tcPr>
            <w:tcW w:w="771" w:type="pct"/>
            <w:tcBorders>
              <w:top w:val="nil"/>
              <w:left w:val="nil"/>
              <w:bottom w:val="nil"/>
              <w:right w:val="nil"/>
            </w:tcBorders>
            <w:shd w:val="clear" w:color="auto" w:fill="auto"/>
            <w:vAlign w:val="center"/>
            <w:hideMark/>
          </w:tcPr>
          <w:p w14:paraId="2008E019" w14:textId="77777777" w:rsidR="004C2CE5" w:rsidRPr="004C2CE5" w:rsidRDefault="004C2CE5" w:rsidP="004C2CE5">
            <w:pPr>
              <w:spacing w:after="0" w:line="240" w:lineRule="auto"/>
              <w:rPr>
                <w:rFonts w:ascii="Arial" w:eastAsia="Times New Roman" w:hAnsi="Arial" w:cs="Arial"/>
                <w:color w:val="000000"/>
                <w:sz w:val="16"/>
                <w:szCs w:val="16"/>
                <w:lang w:eastAsia="nb-NO"/>
              </w:rPr>
            </w:pPr>
            <w:proofErr w:type="spellStart"/>
            <w:r w:rsidRPr="004C2CE5">
              <w:rPr>
                <w:rFonts w:ascii="Arial" w:eastAsia="Times New Roman" w:hAnsi="Arial" w:cs="Arial"/>
                <w:color w:val="000000"/>
                <w:sz w:val="16"/>
                <w:szCs w:val="16"/>
                <w:lang w:eastAsia="nb-NO"/>
              </w:rPr>
              <w:t>NMBU</w:t>
            </w:r>
            <w:proofErr w:type="spellEnd"/>
            <w:r w:rsidRPr="004C2CE5">
              <w:rPr>
                <w:rFonts w:ascii="Arial" w:eastAsia="Times New Roman" w:hAnsi="Arial" w:cs="Arial"/>
                <w:color w:val="000000"/>
                <w:sz w:val="16"/>
                <w:szCs w:val="16"/>
                <w:lang w:eastAsia="nb-NO"/>
              </w:rPr>
              <w:t xml:space="preserve"> </w:t>
            </w:r>
          </w:p>
        </w:tc>
        <w:tc>
          <w:tcPr>
            <w:tcW w:w="351" w:type="pct"/>
            <w:tcBorders>
              <w:top w:val="nil"/>
              <w:left w:val="nil"/>
              <w:bottom w:val="nil"/>
              <w:right w:val="nil"/>
            </w:tcBorders>
            <w:shd w:val="clear" w:color="auto" w:fill="auto"/>
            <w:vAlign w:val="center"/>
            <w:hideMark/>
          </w:tcPr>
          <w:p w14:paraId="0F89EA6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72,9</w:t>
            </w:r>
          </w:p>
        </w:tc>
        <w:tc>
          <w:tcPr>
            <w:tcW w:w="351" w:type="pct"/>
            <w:tcBorders>
              <w:top w:val="nil"/>
              <w:left w:val="nil"/>
              <w:bottom w:val="nil"/>
              <w:right w:val="nil"/>
            </w:tcBorders>
            <w:shd w:val="clear" w:color="auto" w:fill="auto"/>
            <w:vAlign w:val="center"/>
            <w:hideMark/>
          </w:tcPr>
          <w:p w14:paraId="38F1A07F"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62,4</w:t>
            </w:r>
          </w:p>
        </w:tc>
        <w:tc>
          <w:tcPr>
            <w:tcW w:w="350" w:type="pct"/>
            <w:tcBorders>
              <w:top w:val="nil"/>
              <w:left w:val="nil"/>
              <w:bottom w:val="nil"/>
              <w:right w:val="nil"/>
            </w:tcBorders>
            <w:shd w:val="clear" w:color="auto" w:fill="auto"/>
            <w:vAlign w:val="center"/>
            <w:hideMark/>
          </w:tcPr>
          <w:p w14:paraId="28A6FB62"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69,6</w:t>
            </w:r>
          </w:p>
        </w:tc>
        <w:tc>
          <w:tcPr>
            <w:tcW w:w="350" w:type="pct"/>
            <w:tcBorders>
              <w:top w:val="nil"/>
              <w:left w:val="nil"/>
              <w:bottom w:val="nil"/>
              <w:right w:val="nil"/>
            </w:tcBorders>
            <w:shd w:val="clear" w:color="auto" w:fill="auto"/>
            <w:vAlign w:val="center"/>
            <w:hideMark/>
          </w:tcPr>
          <w:p w14:paraId="2906B0E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74,8</w:t>
            </w:r>
          </w:p>
        </w:tc>
        <w:tc>
          <w:tcPr>
            <w:tcW w:w="350" w:type="pct"/>
            <w:tcBorders>
              <w:top w:val="nil"/>
              <w:left w:val="nil"/>
              <w:bottom w:val="nil"/>
              <w:right w:val="nil"/>
            </w:tcBorders>
            <w:shd w:val="clear" w:color="auto" w:fill="auto"/>
            <w:vAlign w:val="center"/>
            <w:hideMark/>
          </w:tcPr>
          <w:p w14:paraId="00BC45CA"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67,1</w:t>
            </w:r>
          </w:p>
        </w:tc>
        <w:tc>
          <w:tcPr>
            <w:tcW w:w="350" w:type="pct"/>
            <w:tcBorders>
              <w:top w:val="nil"/>
              <w:left w:val="nil"/>
              <w:bottom w:val="nil"/>
              <w:right w:val="nil"/>
            </w:tcBorders>
            <w:shd w:val="clear" w:color="auto" w:fill="auto"/>
            <w:vAlign w:val="center"/>
            <w:hideMark/>
          </w:tcPr>
          <w:p w14:paraId="51CE03A4"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77,6</w:t>
            </w:r>
          </w:p>
        </w:tc>
        <w:tc>
          <w:tcPr>
            <w:tcW w:w="349" w:type="pct"/>
            <w:tcBorders>
              <w:top w:val="nil"/>
              <w:left w:val="nil"/>
              <w:bottom w:val="nil"/>
              <w:right w:val="nil"/>
            </w:tcBorders>
            <w:shd w:val="clear" w:color="auto" w:fill="auto"/>
            <w:vAlign w:val="center"/>
            <w:hideMark/>
          </w:tcPr>
          <w:p w14:paraId="676E7954"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81,8</w:t>
            </w:r>
          </w:p>
        </w:tc>
        <w:tc>
          <w:tcPr>
            <w:tcW w:w="349" w:type="pct"/>
            <w:tcBorders>
              <w:top w:val="nil"/>
              <w:left w:val="nil"/>
              <w:bottom w:val="nil"/>
              <w:right w:val="nil"/>
            </w:tcBorders>
            <w:shd w:val="clear" w:color="auto" w:fill="auto"/>
            <w:vAlign w:val="center"/>
            <w:hideMark/>
          </w:tcPr>
          <w:p w14:paraId="14316D26"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75,7</w:t>
            </w:r>
          </w:p>
        </w:tc>
        <w:tc>
          <w:tcPr>
            <w:tcW w:w="349" w:type="pct"/>
            <w:tcBorders>
              <w:top w:val="nil"/>
              <w:left w:val="nil"/>
              <w:bottom w:val="nil"/>
              <w:right w:val="nil"/>
            </w:tcBorders>
            <w:shd w:val="clear" w:color="auto" w:fill="auto"/>
            <w:vAlign w:val="center"/>
            <w:hideMark/>
          </w:tcPr>
          <w:p w14:paraId="47351848"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69,8</w:t>
            </w:r>
          </w:p>
        </w:tc>
        <w:tc>
          <w:tcPr>
            <w:tcW w:w="349" w:type="pct"/>
            <w:tcBorders>
              <w:top w:val="nil"/>
              <w:left w:val="nil"/>
              <w:bottom w:val="nil"/>
              <w:right w:val="nil"/>
            </w:tcBorders>
            <w:shd w:val="clear" w:color="auto" w:fill="auto"/>
            <w:vAlign w:val="center"/>
            <w:hideMark/>
          </w:tcPr>
          <w:p w14:paraId="5AF154F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68,9</w:t>
            </w:r>
          </w:p>
        </w:tc>
        <w:tc>
          <w:tcPr>
            <w:tcW w:w="731" w:type="pct"/>
            <w:tcBorders>
              <w:top w:val="nil"/>
              <w:left w:val="nil"/>
              <w:bottom w:val="nil"/>
              <w:right w:val="nil"/>
            </w:tcBorders>
            <w:shd w:val="clear" w:color="auto" w:fill="auto"/>
            <w:noWrap/>
            <w:vAlign w:val="center"/>
            <w:hideMark/>
          </w:tcPr>
          <w:p w14:paraId="7754E376" w14:textId="15EF8FB6"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10</w:t>
            </w:r>
            <w:r w:rsidR="00464FA1">
              <w:rPr>
                <w:rFonts w:ascii="Arial" w:eastAsia="Times New Roman" w:hAnsi="Arial" w:cs="Arial"/>
                <w:color w:val="000000"/>
                <w:sz w:val="16"/>
                <w:szCs w:val="16"/>
                <w:lang w:eastAsia="nb-NO"/>
              </w:rPr>
              <w:t>3</w:t>
            </w:r>
          </w:p>
        </w:tc>
      </w:tr>
      <w:tr w:rsidR="004C2CE5" w:rsidRPr="004C2CE5" w14:paraId="2E6E8DBC" w14:textId="77777777" w:rsidTr="00343867">
        <w:trPr>
          <w:trHeight w:val="300"/>
        </w:trPr>
        <w:tc>
          <w:tcPr>
            <w:tcW w:w="771" w:type="pct"/>
            <w:tcBorders>
              <w:top w:val="nil"/>
              <w:left w:val="single" w:sz="8" w:space="0" w:color="EEEEEE"/>
              <w:bottom w:val="nil"/>
              <w:right w:val="nil"/>
            </w:tcBorders>
            <w:shd w:val="clear" w:color="000000" w:fill="F2F2F2"/>
            <w:vAlign w:val="center"/>
            <w:hideMark/>
          </w:tcPr>
          <w:p w14:paraId="3DEACC99" w14:textId="77777777" w:rsidR="004C2CE5" w:rsidRPr="004C2CE5" w:rsidRDefault="004C2CE5" w:rsidP="004C2CE5">
            <w:pPr>
              <w:spacing w:after="0" w:line="240" w:lineRule="auto"/>
              <w:rPr>
                <w:rFonts w:ascii="Arial" w:eastAsia="Times New Roman" w:hAnsi="Arial" w:cs="Arial"/>
                <w:color w:val="000000"/>
                <w:sz w:val="16"/>
                <w:szCs w:val="16"/>
                <w:lang w:eastAsia="nb-NO"/>
              </w:rPr>
            </w:pPr>
            <w:proofErr w:type="spellStart"/>
            <w:r w:rsidRPr="004C2CE5">
              <w:rPr>
                <w:rFonts w:ascii="Arial" w:eastAsia="Times New Roman" w:hAnsi="Arial" w:cs="Arial"/>
                <w:color w:val="000000"/>
                <w:sz w:val="16"/>
                <w:szCs w:val="16"/>
                <w:lang w:eastAsia="nb-NO"/>
              </w:rPr>
              <w:t>UiS</w:t>
            </w:r>
            <w:proofErr w:type="spellEnd"/>
            <w:r w:rsidRPr="004C2CE5">
              <w:rPr>
                <w:rFonts w:ascii="Arial" w:eastAsia="Times New Roman" w:hAnsi="Arial" w:cs="Arial"/>
                <w:color w:val="000000"/>
                <w:sz w:val="16"/>
                <w:szCs w:val="16"/>
                <w:lang w:eastAsia="nb-NO"/>
              </w:rPr>
              <w:t xml:space="preserve"> </w:t>
            </w:r>
          </w:p>
        </w:tc>
        <w:tc>
          <w:tcPr>
            <w:tcW w:w="351" w:type="pct"/>
            <w:tcBorders>
              <w:top w:val="nil"/>
              <w:left w:val="single" w:sz="8" w:space="0" w:color="EEEEEE"/>
              <w:bottom w:val="nil"/>
              <w:right w:val="nil"/>
            </w:tcBorders>
            <w:shd w:val="clear" w:color="000000" w:fill="F2F2F2"/>
            <w:vAlign w:val="center"/>
            <w:hideMark/>
          </w:tcPr>
          <w:p w14:paraId="73B7CE1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45,3</w:t>
            </w:r>
          </w:p>
        </w:tc>
        <w:tc>
          <w:tcPr>
            <w:tcW w:w="351" w:type="pct"/>
            <w:tcBorders>
              <w:top w:val="nil"/>
              <w:left w:val="single" w:sz="8" w:space="0" w:color="EEEEEE"/>
              <w:bottom w:val="nil"/>
              <w:right w:val="nil"/>
            </w:tcBorders>
            <w:shd w:val="clear" w:color="000000" w:fill="F2F2F2"/>
            <w:vAlign w:val="center"/>
            <w:hideMark/>
          </w:tcPr>
          <w:p w14:paraId="6D693CC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56,9</w:t>
            </w:r>
          </w:p>
        </w:tc>
        <w:tc>
          <w:tcPr>
            <w:tcW w:w="350" w:type="pct"/>
            <w:tcBorders>
              <w:top w:val="nil"/>
              <w:left w:val="single" w:sz="8" w:space="0" w:color="EEEEEE"/>
              <w:bottom w:val="nil"/>
              <w:right w:val="nil"/>
            </w:tcBorders>
            <w:shd w:val="clear" w:color="000000" w:fill="F2F2F2"/>
            <w:vAlign w:val="center"/>
            <w:hideMark/>
          </w:tcPr>
          <w:p w14:paraId="794CF5E7"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49,1</w:t>
            </w:r>
          </w:p>
        </w:tc>
        <w:tc>
          <w:tcPr>
            <w:tcW w:w="350" w:type="pct"/>
            <w:tcBorders>
              <w:top w:val="nil"/>
              <w:left w:val="single" w:sz="8" w:space="0" w:color="EEEEEE"/>
              <w:bottom w:val="nil"/>
              <w:right w:val="nil"/>
            </w:tcBorders>
            <w:shd w:val="clear" w:color="000000" w:fill="F2F2F2"/>
            <w:vAlign w:val="center"/>
            <w:hideMark/>
          </w:tcPr>
          <w:p w14:paraId="1882A2DF"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68,2</w:t>
            </w:r>
          </w:p>
        </w:tc>
        <w:tc>
          <w:tcPr>
            <w:tcW w:w="350" w:type="pct"/>
            <w:tcBorders>
              <w:top w:val="nil"/>
              <w:left w:val="single" w:sz="8" w:space="0" w:color="EEEEEE"/>
              <w:bottom w:val="nil"/>
              <w:right w:val="nil"/>
            </w:tcBorders>
            <w:shd w:val="clear" w:color="000000" w:fill="F2F2F2"/>
            <w:vAlign w:val="center"/>
            <w:hideMark/>
          </w:tcPr>
          <w:p w14:paraId="66AEF38A"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63,8</w:t>
            </w:r>
          </w:p>
        </w:tc>
        <w:tc>
          <w:tcPr>
            <w:tcW w:w="350" w:type="pct"/>
            <w:tcBorders>
              <w:top w:val="nil"/>
              <w:left w:val="single" w:sz="8" w:space="0" w:color="EEEEEE"/>
              <w:bottom w:val="nil"/>
              <w:right w:val="nil"/>
            </w:tcBorders>
            <w:shd w:val="clear" w:color="000000" w:fill="F2F2F2"/>
            <w:vAlign w:val="center"/>
            <w:hideMark/>
          </w:tcPr>
          <w:p w14:paraId="60C1ED9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63,5</w:t>
            </w:r>
          </w:p>
        </w:tc>
        <w:tc>
          <w:tcPr>
            <w:tcW w:w="349" w:type="pct"/>
            <w:tcBorders>
              <w:top w:val="nil"/>
              <w:left w:val="single" w:sz="8" w:space="0" w:color="EEEEEE"/>
              <w:bottom w:val="nil"/>
              <w:right w:val="nil"/>
            </w:tcBorders>
            <w:shd w:val="clear" w:color="000000" w:fill="F2F2F2"/>
            <w:vAlign w:val="center"/>
            <w:hideMark/>
          </w:tcPr>
          <w:p w14:paraId="0AC5A33D"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57,8</w:t>
            </w:r>
          </w:p>
        </w:tc>
        <w:tc>
          <w:tcPr>
            <w:tcW w:w="349" w:type="pct"/>
            <w:tcBorders>
              <w:top w:val="nil"/>
              <w:left w:val="single" w:sz="8" w:space="0" w:color="EEEEEE"/>
              <w:bottom w:val="nil"/>
              <w:right w:val="nil"/>
            </w:tcBorders>
            <w:shd w:val="clear" w:color="000000" w:fill="F2F2F2"/>
            <w:vAlign w:val="center"/>
            <w:hideMark/>
          </w:tcPr>
          <w:p w14:paraId="5B1410A8"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75,0</w:t>
            </w:r>
          </w:p>
        </w:tc>
        <w:tc>
          <w:tcPr>
            <w:tcW w:w="349" w:type="pct"/>
            <w:tcBorders>
              <w:top w:val="nil"/>
              <w:left w:val="single" w:sz="8" w:space="0" w:color="EEEEEE"/>
              <w:bottom w:val="nil"/>
              <w:right w:val="nil"/>
            </w:tcBorders>
            <w:shd w:val="clear" w:color="000000" w:fill="F2F2F2"/>
            <w:vAlign w:val="center"/>
            <w:hideMark/>
          </w:tcPr>
          <w:p w14:paraId="2BCFF165"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67,9</w:t>
            </w:r>
          </w:p>
        </w:tc>
        <w:tc>
          <w:tcPr>
            <w:tcW w:w="349" w:type="pct"/>
            <w:tcBorders>
              <w:top w:val="nil"/>
              <w:left w:val="single" w:sz="8" w:space="0" w:color="EEEEEE"/>
              <w:bottom w:val="nil"/>
              <w:right w:val="nil"/>
            </w:tcBorders>
            <w:shd w:val="clear" w:color="000000" w:fill="F2F2F2"/>
            <w:vAlign w:val="center"/>
            <w:hideMark/>
          </w:tcPr>
          <w:p w14:paraId="636C8CE6"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64,4</w:t>
            </w:r>
          </w:p>
        </w:tc>
        <w:tc>
          <w:tcPr>
            <w:tcW w:w="731" w:type="pct"/>
            <w:tcBorders>
              <w:top w:val="nil"/>
              <w:left w:val="nil"/>
              <w:bottom w:val="nil"/>
              <w:right w:val="nil"/>
            </w:tcBorders>
            <w:shd w:val="clear" w:color="000000" w:fill="F2F2F2"/>
            <w:noWrap/>
            <w:vAlign w:val="center"/>
            <w:hideMark/>
          </w:tcPr>
          <w:p w14:paraId="56665242"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90</w:t>
            </w:r>
          </w:p>
        </w:tc>
      </w:tr>
      <w:tr w:rsidR="004C2CE5" w:rsidRPr="004C2CE5" w14:paraId="67A297FB" w14:textId="77777777" w:rsidTr="00343867">
        <w:trPr>
          <w:trHeight w:val="300"/>
        </w:trPr>
        <w:tc>
          <w:tcPr>
            <w:tcW w:w="771" w:type="pct"/>
            <w:tcBorders>
              <w:top w:val="nil"/>
              <w:left w:val="nil"/>
              <w:bottom w:val="nil"/>
              <w:right w:val="nil"/>
            </w:tcBorders>
            <w:shd w:val="clear" w:color="auto" w:fill="auto"/>
            <w:vAlign w:val="center"/>
            <w:hideMark/>
          </w:tcPr>
          <w:p w14:paraId="62404461" w14:textId="77777777" w:rsidR="004C2CE5" w:rsidRPr="004C2CE5" w:rsidRDefault="004C2CE5" w:rsidP="004C2CE5">
            <w:pPr>
              <w:spacing w:after="0" w:line="240" w:lineRule="auto"/>
              <w:rPr>
                <w:rFonts w:ascii="Arial" w:eastAsia="Times New Roman" w:hAnsi="Arial" w:cs="Arial"/>
                <w:color w:val="000000"/>
                <w:sz w:val="16"/>
                <w:szCs w:val="16"/>
                <w:lang w:eastAsia="nb-NO"/>
              </w:rPr>
            </w:pPr>
            <w:proofErr w:type="spellStart"/>
            <w:r w:rsidRPr="004C2CE5">
              <w:rPr>
                <w:rFonts w:ascii="Arial" w:eastAsia="Times New Roman" w:hAnsi="Arial" w:cs="Arial"/>
                <w:color w:val="000000"/>
                <w:sz w:val="16"/>
                <w:szCs w:val="16"/>
                <w:lang w:eastAsia="nb-NO"/>
              </w:rPr>
              <w:t>UiA</w:t>
            </w:r>
            <w:proofErr w:type="spellEnd"/>
            <w:r w:rsidRPr="004C2CE5">
              <w:rPr>
                <w:rFonts w:ascii="Arial" w:eastAsia="Times New Roman" w:hAnsi="Arial" w:cs="Arial"/>
                <w:color w:val="000000"/>
                <w:sz w:val="16"/>
                <w:szCs w:val="16"/>
                <w:lang w:eastAsia="nb-NO"/>
              </w:rPr>
              <w:t xml:space="preserve"> </w:t>
            </w:r>
          </w:p>
        </w:tc>
        <w:tc>
          <w:tcPr>
            <w:tcW w:w="351" w:type="pct"/>
            <w:tcBorders>
              <w:top w:val="nil"/>
              <w:left w:val="nil"/>
              <w:bottom w:val="nil"/>
              <w:right w:val="nil"/>
            </w:tcBorders>
            <w:shd w:val="clear" w:color="auto" w:fill="auto"/>
            <w:vAlign w:val="center"/>
            <w:hideMark/>
          </w:tcPr>
          <w:p w14:paraId="568C2A55"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58,3</w:t>
            </w:r>
          </w:p>
        </w:tc>
        <w:tc>
          <w:tcPr>
            <w:tcW w:w="351" w:type="pct"/>
            <w:tcBorders>
              <w:top w:val="nil"/>
              <w:left w:val="nil"/>
              <w:bottom w:val="nil"/>
              <w:right w:val="nil"/>
            </w:tcBorders>
            <w:shd w:val="clear" w:color="auto" w:fill="auto"/>
            <w:vAlign w:val="center"/>
            <w:hideMark/>
          </w:tcPr>
          <w:p w14:paraId="5A40EAB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62,1</w:t>
            </w:r>
          </w:p>
        </w:tc>
        <w:tc>
          <w:tcPr>
            <w:tcW w:w="350" w:type="pct"/>
            <w:tcBorders>
              <w:top w:val="nil"/>
              <w:left w:val="nil"/>
              <w:bottom w:val="nil"/>
              <w:right w:val="nil"/>
            </w:tcBorders>
            <w:shd w:val="clear" w:color="auto" w:fill="auto"/>
            <w:vAlign w:val="center"/>
            <w:hideMark/>
          </w:tcPr>
          <w:p w14:paraId="0778BD7B"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55,6</w:t>
            </w:r>
          </w:p>
        </w:tc>
        <w:tc>
          <w:tcPr>
            <w:tcW w:w="350" w:type="pct"/>
            <w:tcBorders>
              <w:top w:val="nil"/>
              <w:left w:val="nil"/>
              <w:bottom w:val="nil"/>
              <w:right w:val="nil"/>
            </w:tcBorders>
            <w:shd w:val="clear" w:color="auto" w:fill="auto"/>
            <w:vAlign w:val="center"/>
            <w:hideMark/>
          </w:tcPr>
          <w:p w14:paraId="3E09D31A"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53,3</w:t>
            </w:r>
          </w:p>
        </w:tc>
        <w:tc>
          <w:tcPr>
            <w:tcW w:w="350" w:type="pct"/>
            <w:tcBorders>
              <w:top w:val="nil"/>
              <w:left w:val="nil"/>
              <w:bottom w:val="nil"/>
              <w:right w:val="nil"/>
            </w:tcBorders>
            <w:shd w:val="clear" w:color="auto" w:fill="auto"/>
            <w:vAlign w:val="center"/>
            <w:hideMark/>
          </w:tcPr>
          <w:p w14:paraId="19F467DC"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63,0</w:t>
            </w:r>
          </w:p>
        </w:tc>
        <w:tc>
          <w:tcPr>
            <w:tcW w:w="350" w:type="pct"/>
            <w:tcBorders>
              <w:top w:val="nil"/>
              <w:left w:val="nil"/>
              <w:bottom w:val="nil"/>
              <w:right w:val="nil"/>
            </w:tcBorders>
            <w:shd w:val="clear" w:color="auto" w:fill="auto"/>
            <w:vAlign w:val="center"/>
            <w:hideMark/>
          </w:tcPr>
          <w:p w14:paraId="50412D7A"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62,5</w:t>
            </w:r>
          </w:p>
        </w:tc>
        <w:tc>
          <w:tcPr>
            <w:tcW w:w="349" w:type="pct"/>
            <w:tcBorders>
              <w:top w:val="nil"/>
              <w:left w:val="nil"/>
              <w:bottom w:val="nil"/>
              <w:right w:val="nil"/>
            </w:tcBorders>
            <w:shd w:val="clear" w:color="auto" w:fill="auto"/>
            <w:vAlign w:val="center"/>
            <w:hideMark/>
          </w:tcPr>
          <w:p w14:paraId="6F7A70E4"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65,0</w:t>
            </w:r>
          </w:p>
        </w:tc>
        <w:tc>
          <w:tcPr>
            <w:tcW w:w="349" w:type="pct"/>
            <w:tcBorders>
              <w:top w:val="nil"/>
              <w:left w:val="nil"/>
              <w:bottom w:val="nil"/>
              <w:right w:val="nil"/>
            </w:tcBorders>
            <w:shd w:val="clear" w:color="auto" w:fill="auto"/>
            <w:vAlign w:val="center"/>
            <w:hideMark/>
          </w:tcPr>
          <w:p w14:paraId="4749D749"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66,0</w:t>
            </w:r>
          </w:p>
        </w:tc>
        <w:tc>
          <w:tcPr>
            <w:tcW w:w="349" w:type="pct"/>
            <w:tcBorders>
              <w:top w:val="nil"/>
              <w:left w:val="nil"/>
              <w:bottom w:val="nil"/>
              <w:right w:val="nil"/>
            </w:tcBorders>
            <w:shd w:val="clear" w:color="auto" w:fill="auto"/>
            <w:vAlign w:val="center"/>
            <w:hideMark/>
          </w:tcPr>
          <w:p w14:paraId="76D4DA1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79,2</w:t>
            </w:r>
          </w:p>
        </w:tc>
        <w:tc>
          <w:tcPr>
            <w:tcW w:w="349" w:type="pct"/>
            <w:tcBorders>
              <w:top w:val="nil"/>
              <w:left w:val="nil"/>
              <w:bottom w:val="nil"/>
              <w:right w:val="nil"/>
            </w:tcBorders>
            <w:shd w:val="clear" w:color="auto" w:fill="auto"/>
            <w:vAlign w:val="center"/>
            <w:hideMark/>
          </w:tcPr>
          <w:p w14:paraId="5EC09F7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65,0</w:t>
            </w:r>
          </w:p>
        </w:tc>
        <w:tc>
          <w:tcPr>
            <w:tcW w:w="731" w:type="pct"/>
            <w:tcBorders>
              <w:top w:val="nil"/>
              <w:left w:val="nil"/>
              <w:bottom w:val="nil"/>
              <w:right w:val="nil"/>
            </w:tcBorders>
            <w:shd w:val="clear" w:color="auto" w:fill="auto"/>
            <w:noWrap/>
            <w:vAlign w:val="center"/>
            <w:hideMark/>
          </w:tcPr>
          <w:p w14:paraId="1EB38283"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60</w:t>
            </w:r>
          </w:p>
        </w:tc>
      </w:tr>
      <w:tr w:rsidR="004C2CE5" w:rsidRPr="004C2CE5" w14:paraId="2F66C04A" w14:textId="77777777" w:rsidTr="00343867">
        <w:trPr>
          <w:trHeight w:val="300"/>
        </w:trPr>
        <w:tc>
          <w:tcPr>
            <w:tcW w:w="771" w:type="pct"/>
            <w:tcBorders>
              <w:top w:val="nil"/>
              <w:left w:val="single" w:sz="8" w:space="0" w:color="EEEEEE"/>
              <w:right w:val="nil"/>
            </w:tcBorders>
            <w:shd w:val="clear" w:color="000000" w:fill="F2F2F2"/>
            <w:vAlign w:val="center"/>
            <w:hideMark/>
          </w:tcPr>
          <w:p w14:paraId="63AD6175" w14:textId="77777777" w:rsidR="004C2CE5" w:rsidRPr="004C2CE5" w:rsidRDefault="004C2CE5" w:rsidP="004C2CE5">
            <w:pPr>
              <w:spacing w:after="0" w:line="240" w:lineRule="auto"/>
              <w:rPr>
                <w:rFonts w:ascii="Arial" w:eastAsia="Times New Roman" w:hAnsi="Arial" w:cs="Arial"/>
                <w:color w:val="000000"/>
                <w:sz w:val="16"/>
                <w:szCs w:val="16"/>
                <w:lang w:eastAsia="nb-NO"/>
              </w:rPr>
            </w:pPr>
            <w:proofErr w:type="spellStart"/>
            <w:r w:rsidRPr="004C2CE5">
              <w:rPr>
                <w:rFonts w:ascii="Arial" w:eastAsia="Times New Roman" w:hAnsi="Arial" w:cs="Arial"/>
                <w:color w:val="000000"/>
                <w:sz w:val="16"/>
                <w:szCs w:val="16"/>
                <w:lang w:eastAsia="nb-NO"/>
              </w:rPr>
              <w:t>OsloMet</w:t>
            </w:r>
            <w:proofErr w:type="spellEnd"/>
            <w:r w:rsidRPr="004C2CE5">
              <w:rPr>
                <w:rFonts w:ascii="Arial" w:eastAsia="Times New Roman" w:hAnsi="Arial" w:cs="Arial"/>
                <w:color w:val="000000"/>
                <w:sz w:val="16"/>
                <w:szCs w:val="16"/>
                <w:lang w:eastAsia="nb-NO"/>
              </w:rPr>
              <w:t xml:space="preserve"> </w:t>
            </w:r>
          </w:p>
        </w:tc>
        <w:tc>
          <w:tcPr>
            <w:tcW w:w="351" w:type="pct"/>
            <w:tcBorders>
              <w:top w:val="nil"/>
              <w:left w:val="single" w:sz="8" w:space="0" w:color="EEEEEE"/>
              <w:right w:val="nil"/>
            </w:tcBorders>
            <w:shd w:val="clear" w:color="000000" w:fill="F2F2F2"/>
            <w:vAlign w:val="center"/>
            <w:hideMark/>
          </w:tcPr>
          <w:p w14:paraId="0D80A737"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36,8</w:t>
            </w:r>
          </w:p>
        </w:tc>
        <w:tc>
          <w:tcPr>
            <w:tcW w:w="351" w:type="pct"/>
            <w:tcBorders>
              <w:top w:val="nil"/>
              <w:left w:val="single" w:sz="8" w:space="0" w:color="EEEEEE"/>
              <w:right w:val="nil"/>
            </w:tcBorders>
            <w:shd w:val="clear" w:color="000000" w:fill="F2F2F2"/>
            <w:vAlign w:val="center"/>
            <w:hideMark/>
          </w:tcPr>
          <w:p w14:paraId="1B9B9710"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33,3</w:t>
            </w:r>
          </w:p>
        </w:tc>
        <w:tc>
          <w:tcPr>
            <w:tcW w:w="350" w:type="pct"/>
            <w:tcBorders>
              <w:top w:val="nil"/>
              <w:left w:val="single" w:sz="8" w:space="0" w:color="EEEEEE"/>
              <w:right w:val="nil"/>
            </w:tcBorders>
            <w:shd w:val="clear" w:color="000000" w:fill="F2F2F2"/>
            <w:vAlign w:val="center"/>
            <w:hideMark/>
          </w:tcPr>
          <w:p w14:paraId="3AFF0F7D"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75,0</w:t>
            </w:r>
          </w:p>
        </w:tc>
        <w:tc>
          <w:tcPr>
            <w:tcW w:w="350" w:type="pct"/>
            <w:tcBorders>
              <w:top w:val="nil"/>
              <w:left w:val="single" w:sz="8" w:space="0" w:color="EEEEEE"/>
              <w:right w:val="nil"/>
            </w:tcBorders>
            <w:shd w:val="clear" w:color="000000" w:fill="F2F2F2"/>
            <w:vAlign w:val="center"/>
            <w:hideMark/>
          </w:tcPr>
          <w:p w14:paraId="6601FD9B"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60,0</w:t>
            </w:r>
          </w:p>
        </w:tc>
        <w:tc>
          <w:tcPr>
            <w:tcW w:w="350" w:type="pct"/>
            <w:tcBorders>
              <w:top w:val="nil"/>
              <w:left w:val="single" w:sz="8" w:space="0" w:color="EEEEEE"/>
              <w:right w:val="nil"/>
            </w:tcBorders>
            <w:shd w:val="clear" w:color="000000" w:fill="F2F2F2"/>
            <w:vAlign w:val="center"/>
            <w:hideMark/>
          </w:tcPr>
          <w:p w14:paraId="756B2348"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58,8</w:t>
            </w:r>
          </w:p>
        </w:tc>
        <w:tc>
          <w:tcPr>
            <w:tcW w:w="350" w:type="pct"/>
            <w:tcBorders>
              <w:top w:val="nil"/>
              <w:left w:val="single" w:sz="8" w:space="0" w:color="EEEEEE"/>
              <w:right w:val="nil"/>
            </w:tcBorders>
            <w:shd w:val="clear" w:color="000000" w:fill="F2F2F2"/>
            <w:vAlign w:val="center"/>
            <w:hideMark/>
          </w:tcPr>
          <w:p w14:paraId="2A358AA7"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52,4</w:t>
            </w:r>
          </w:p>
        </w:tc>
        <w:tc>
          <w:tcPr>
            <w:tcW w:w="349" w:type="pct"/>
            <w:tcBorders>
              <w:top w:val="nil"/>
              <w:left w:val="single" w:sz="8" w:space="0" w:color="EEEEEE"/>
              <w:right w:val="nil"/>
            </w:tcBorders>
            <w:shd w:val="clear" w:color="000000" w:fill="F2F2F2"/>
            <w:vAlign w:val="center"/>
            <w:hideMark/>
          </w:tcPr>
          <w:p w14:paraId="6314E821"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61,8</w:t>
            </w:r>
          </w:p>
        </w:tc>
        <w:tc>
          <w:tcPr>
            <w:tcW w:w="349" w:type="pct"/>
            <w:tcBorders>
              <w:top w:val="nil"/>
              <w:left w:val="single" w:sz="8" w:space="0" w:color="EEEEEE"/>
              <w:right w:val="nil"/>
            </w:tcBorders>
            <w:shd w:val="clear" w:color="000000" w:fill="F2F2F2"/>
            <w:vAlign w:val="center"/>
            <w:hideMark/>
          </w:tcPr>
          <w:p w14:paraId="341A346C"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76,3</w:t>
            </w:r>
          </w:p>
        </w:tc>
        <w:tc>
          <w:tcPr>
            <w:tcW w:w="349" w:type="pct"/>
            <w:tcBorders>
              <w:top w:val="nil"/>
              <w:left w:val="single" w:sz="8" w:space="0" w:color="EEEEEE"/>
              <w:right w:val="nil"/>
            </w:tcBorders>
            <w:shd w:val="clear" w:color="000000" w:fill="F2F2F2"/>
            <w:vAlign w:val="center"/>
            <w:hideMark/>
          </w:tcPr>
          <w:p w14:paraId="6C59E56E"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64,5</w:t>
            </w:r>
          </w:p>
        </w:tc>
        <w:tc>
          <w:tcPr>
            <w:tcW w:w="349" w:type="pct"/>
            <w:tcBorders>
              <w:top w:val="nil"/>
              <w:left w:val="single" w:sz="8" w:space="0" w:color="EEEEEE"/>
              <w:right w:val="nil"/>
            </w:tcBorders>
            <w:shd w:val="clear" w:color="000000" w:fill="F2F2F2"/>
            <w:vAlign w:val="center"/>
            <w:hideMark/>
          </w:tcPr>
          <w:p w14:paraId="4FC390C4" w14:textId="77777777"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71,7</w:t>
            </w:r>
          </w:p>
        </w:tc>
        <w:tc>
          <w:tcPr>
            <w:tcW w:w="731" w:type="pct"/>
            <w:tcBorders>
              <w:top w:val="nil"/>
              <w:left w:val="nil"/>
              <w:right w:val="nil"/>
            </w:tcBorders>
            <w:shd w:val="clear" w:color="000000" w:fill="F2F2F2"/>
            <w:noWrap/>
            <w:vAlign w:val="center"/>
            <w:hideMark/>
          </w:tcPr>
          <w:p w14:paraId="1C9586F2" w14:textId="2D8B9D6D" w:rsidR="004C2CE5" w:rsidRPr="004C2CE5" w:rsidRDefault="004C2CE5" w:rsidP="004C2CE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w:t>
            </w:r>
            <w:r w:rsidR="00464FA1">
              <w:rPr>
                <w:rFonts w:ascii="Arial" w:eastAsia="Times New Roman" w:hAnsi="Arial" w:cs="Arial"/>
                <w:color w:val="000000"/>
                <w:sz w:val="16"/>
                <w:szCs w:val="16"/>
                <w:lang w:eastAsia="nb-NO"/>
              </w:rPr>
              <w:t>3</w:t>
            </w:r>
          </w:p>
        </w:tc>
      </w:tr>
      <w:tr w:rsidR="00B84883" w:rsidRPr="004C2CE5" w14:paraId="725B56B7" w14:textId="77777777" w:rsidTr="00343867">
        <w:trPr>
          <w:trHeight w:val="300"/>
        </w:trPr>
        <w:tc>
          <w:tcPr>
            <w:tcW w:w="771" w:type="pct"/>
            <w:tcBorders>
              <w:top w:val="nil"/>
              <w:bottom w:val="nil"/>
            </w:tcBorders>
            <w:shd w:val="clear" w:color="auto" w:fill="FFFFFF" w:themeFill="background1"/>
            <w:vAlign w:val="center"/>
            <w:hideMark/>
          </w:tcPr>
          <w:p w14:paraId="13EBB093" w14:textId="4A33FD11" w:rsidR="00904805" w:rsidRPr="004C2CE5" w:rsidRDefault="00904805" w:rsidP="00904805">
            <w:pPr>
              <w:spacing w:after="0" w:line="240" w:lineRule="auto"/>
              <w:rPr>
                <w:rFonts w:ascii="Arial" w:eastAsia="Times New Roman" w:hAnsi="Arial" w:cs="Arial"/>
                <w:color w:val="000000"/>
                <w:sz w:val="16"/>
                <w:szCs w:val="16"/>
                <w:lang w:eastAsia="nb-NO"/>
              </w:rPr>
            </w:pPr>
            <w:proofErr w:type="spellStart"/>
            <w:r w:rsidRPr="004C2CE5">
              <w:rPr>
                <w:rFonts w:ascii="Arial" w:eastAsia="Times New Roman" w:hAnsi="Arial" w:cs="Arial"/>
                <w:color w:val="000000"/>
                <w:sz w:val="16"/>
                <w:szCs w:val="16"/>
                <w:lang w:eastAsia="nb-NO"/>
              </w:rPr>
              <w:t>USN</w:t>
            </w:r>
            <w:proofErr w:type="spellEnd"/>
            <w:r w:rsidRPr="004C2CE5">
              <w:rPr>
                <w:rFonts w:ascii="Arial" w:eastAsia="Times New Roman" w:hAnsi="Arial" w:cs="Arial"/>
                <w:color w:val="000000"/>
                <w:sz w:val="16"/>
                <w:szCs w:val="16"/>
                <w:lang w:eastAsia="nb-NO"/>
              </w:rPr>
              <w:t xml:space="preserve"> </w:t>
            </w:r>
          </w:p>
        </w:tc>
        <w:tc>
          <w:tcPr>
            <w:tcW w:w="351" w:type="pct"/>
            <w:tcBorders>
              <w:top w:val="nil"/>
              <w:bottom w:val="nil"/>
            </w:tcBorders>
            <w:shd w:val="clear" w:color="auto" w:fill="FFFFFF" w:themeFill="background1"/>
            <w:vAlign w:val="center"/>
            <w:hideMark/>
          </w:tcPr>
          <w:p w14:paraId="53E1BB23" w14:textId="20054265"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1" w:type="pct"/>
            <w:tcBorders>
              <w:top w:val="nil"/>
              <w:bottom w:val="nil"/>
            </w:tcBorders>
            <w:shd w:val="clear" w:color="auto" w:fill="FFFFFF" w:themeFill="background1"/>
            <w:vAlign w:val="center"/>
            <w:hideMark/>
          </w:tcPr>
          <w:p w14:paraId="15D50F59" w14:textId="5CDF8FFC"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0" w:type="pct"/>
            <w:tcBorders>
              <w:top w:val="nil"/>
              <w:bottom w:val="nil"/>
            </w:tcBorders>
            <w:shd w:val="clear" w:color="auto" w:fill="FFFFFF" w:themeFill="background1"/>
            <w:vAlign w:val="center"/>
            <w:hideMark/>
          </w:tcPr>
          <w:p w14:paraId="29BA96CF" w14:textId="2CB56BCC"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0" w:type="pct"/>
            <w:tcBorders>
              <w:top w:val="nil"/>
              <w:bottom w:val="nil"/>
            </w:tcBorders>
            <w:shd w:val="clear" w:color="auto" w:fill="FFFFFF" w:themeFill="background1"/>
            <w:vAlign w:val="center"/>
            <w:hideMark/>
          </w:tcPr>
          <w:p w14:paraId="763855FE" w14:textId="48D39A45"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42,9</w:t>
            </w:r>
          </w:p>
        </w:tc>
        <w:tc>
          <w:tcPr>
            <w:tcW w:w="350" w:type="pct"/>
            <w:tcBorders>
              <w:top w:val="nil"/>
              <w:bottom w:val="nil"/>
            </w:tcBorders>
            <w:shd w:val="clear" w:color="auto" w:fill="FFFFFF" w:themeFill="background1"/>
            <w:vAlign w:val="center"/>
            <w:hideMark/>
          </w:tcPr>
          <w:p w14:paraId="6A47E676" w14:textId="3385EDF1"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71,4</w:t>
            </w:r>
          </w:p>
        </w:tc>
        <w:tc>
          <w:tcPr>
            <w:tcW w:w="350" w:type="pct"/>
            <w:tcBorders>
              <w:top w:val="nil"/>
              <w:bottom w:val="nil"/>
            </w:tcBorders>
            <w:shd w:val="clear" w:color="auto" w:fill="FFFFFF" w:themeFill="background1"/>
            <w:vAlign w:val="center"/>
            <w:hideMark/>
          </w:tcPr>
          <w:p w14:paraId="63611A00" w14:textId="662E6F54"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57,9</w:t>
            </w:r>
          </w:p>
        </w:tc>
        <w:tc>
          <w:tcPr>
            <w:tcW w:w="349" w:type="pct"/>
            <w:tcBorders>
              <w:top w:val="nil"/>
              <w:bottom w:val="nil"/>
            </w:tcBorders>
            <w:shd w:val="clear" w:color="auto" w:fill="FFFFFF" w:themeFill="background1"/>
            <w:vAlign w:val="center"/>
            <w:hideMark/>
          </w:tcPr>
          <w:p w14:paraId="1F2F69BD" w14:textId="0F93B263"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66,7</w:t>
            </w:r>
          </w:p>
        </w:tc>
        <w:tc>
          <w:tcPr>
            <w:tcW w:w="349" w:type="pct"/>
            <w:tcBorders>
              <w:top w:val="nil"/>
              <w:bottom w:val="nil"/>
            </w:tcBorders>
            <w:shd w:val="clear" w:color="auto" w:fill="FFFFFF" w:themeFill="background1"/>
            <w:vAlign w:val="center"/>
            <w:hideMark/>
          </w:tcPr>
          <w:p w14:paraId="78F8352C" w14:textId="1D738C1F"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66,7</w:t>
            </w:r>
          </w:p>
        </w:tc>
        <w:tc>
          <w:tcPr>
            <w:tcW w:w="349" w:type="pct"/>
            <w:tcBorders>
              <w:top w:val="nil"/>
              <w:bottom w:val="nil"/>
            </w:tcBorders>
            <w:shd w:val="clear" w:color="auto" w:fill="FFFFFF" w:themeFill="background1"/>
            <w:vAlign w:val="center"/>
            <w:hideMark/>
          </w:tcPr>
          <w:p w14:paraId="651CDE0E" w14:textId="6949DDE9"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63,4</w:t>
            </w:r>
          </w:p>
        </w:tc>
        <w:tc>
          <w:tcPr>
            <w:tcW w:w="349" w:type="pct"/>
            <w:tcBorders>
              <w:top w:val="nil"/>
              <w:bottom w:val="nil"/>
            </w:tcBorders>
            <w:shd w:val="clear" w:color="auto" w:fill="FFFFFF" w:themeFill="background1"/>
            <w:vAlign w:val="center"/>
            <w:hideMark/>
          </w:tcPr>
          <w:p w14:paraId="1F7FAFB5" w14:textId="2D146D8B" w:rsidR="00904805" w:rsidRPr="004C2CE5" w:rsidRDefault="00904805" w:rsidP="00904805">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62,8</w:t>
            </w:r>
          </w:p>
        </w:tc>
        <w:tc>
          <w:tcPr>
            <w:tcW w:w="731" w:type="pct"/>
            <w:tcBorders>
              <w:top w:val="nil"/>
              <w:bottom w:val="nil"/>
              <w:right w:val="nil"/>
            </w:tcBorders>
            <w:shd w:val="clear" w:color="auto" w:fill="FFFFFF" w:themeFill="background1"/>
            <w:noWrap/>
            <w:vAlign w:val="center"/>
            <w:hideMark/>
          </w:tcPr>
          <w:p w14:paraId="00846675" w14:textId="3EB2EDB2" w:rsidR="00904805" w:rsidRPr="004C2CE5" w:rsidRDefault="00904805" w:rsidP="00904805">
            <w:pPr>
              <w:spacing w:after="0" w:line="240" w:lineRule="auto"/>
              <w:jc w:val="right"/>
              <w:rPr>
                <w:rFonts w:ascii="Arial" w:eastAsia="Times New Roman" w:hAnsi="Arial" w:cs="Arial"/>
                <w:color w:val="000000"/>
                <w:sz w:val="16"/>
                <w:szCs w:val="16"/>
                <w:lang w:eastAsia="nb-NO"/>
              </w:rPr>
            </w:pPr>
            <w:r>
              <w:rPr>
                <w:rFonts w:ascii="Arial" w:eastAsia="Times New Roman" w:hAnsi="Arial" w:cs="Arial"/>
                <w:color w:val="000000"/>
                <w:sz w:val="16"/>
                <w:szCs w:val="16"/>
                <w:lang w:eastAsia="nb-NO"/>
              </w:rPr>
              <w:t>43</w:t>
            </w:r>
          </w:p>
        </w:tc>
      </w:tr>
      <w:tr w:rsidR="002610AA" w:rsidRPr="004C2CE5" w14:paraId="70684B8A" w14:textId="77777777" w:rsidTr="00343867">
        <w:trPr>
          <w:trHeight w:val="300"/>
        </w:trPr>
        <w:tc>
          <w:tcPr>
            <w:tcW w:w="771" w:type="pct"/>
            <w:tcBorders>
              <w:top w:val="nil"/>
              <w:left w:val="nil"/>
              <w:bottom w:val="nil"/>
              <w:right w:val="nil"/>
            </w:tcBorders>
            <w:shd w:val="clear" w:color="auto" w:fill="F2F2F2" w:themeFill="background1" w:themeFillShade="F2"/>
            <w:vAlign w:val="center"/>
            <w:hideMark/>
          </w:tcPr>
          <w:p w14:paraId="351A9DDF" w14:textId="47693E5F" w:rsidR="002610AA" w:rsidRPr="004C2CE5" w:rsidRDefault="002610AA" w:rsidP="002610AA">
            <w:pPr>
              <w:spacing w:after="0" w:line="240" w:lineRule="auto"/>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NU </w:t>
            </w:r>
          </w:p>
        </w:tc>
        <w:tc>
          <w:tcPr>
            <w:tcW w:w="351" w:type="pct"/>
            <w:tcBorders>
              <w:top w:val="nil"/>
              <w:left w:val="nil"/>
              <w:bottom w:val="nil"/>
              <w:right w:val="nil"/>
            </w:tcBorders>
            <w:shd w:val="clear" w:color="auto" w:fill="F2F2F2" w:themeFill="background1" w:themeFillShade="F2"/>
            <w:vAlign w:val="center"/>
            <w:hideMark/>
          </w:tcPr>
          <w:p w14:paraId="59274EE6" w14:textId="7DF0ADA2"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58,3</w:t>
            </w:r>
          </w:p>
        </w:tc>
        <w:tc>
          <w:tcPr>
            <w:tcW w:w="351" w:type="pct"/>
            <w:tcBorders>
              <w:top w:val="nil"/>
              <w:left w:val="nil"/>
              <w:bottom w:val="nil"/>
              <w:right w:val="nil"/>
            </w:tcBorders>
            <w:shd w:val="clear" w:color="auto" w:fill="F2F2F2" w:themeFill="background1" w:themeFillShade="F2"/>
            <w:vAlign w:val="center"/>
            <w:hideMark/>
          </w:tcPr>
          <w:p w14:paraId="540AB40E" w14:textId="24CBEB26"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59,1</w:t>
            </w:r>
          </w:p>
        </w:tc>
        <w:tc>
          <w:tcPr>
            <w:tcW w:w="350" w:type="pct"/>
            <w:tcBorders>
              <w:top w:val="nil"/>
              <w:left w:val="nil"/>
              <w:bottom w:val="nil"/>
              <w:right w:val="nil"/>
            </w:tcBorders>
            <w:shd w:val="clear" w:color="auto" w:fill="F2F2F2" w:themeFill="background1" w:themeFillShade="F2"/>
            <w:vAlign w:val="center"/>
            <w:hideMark/>
          </w:tcPr>
          <w:p w14:paraId="39AA6982" w14:textId="7327DB43"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60,0</w:t>
            </w:r>
          </w:p>
        </w:tc>
        <w:tc>
          <w:tcPr>
            <w:tcW w:w="350" w:type="pct"/>
            <w:tcBorders>
              <w:top w:val="nil"/>
              <w:left w:val="nil"/>
              <w:bottom w:val="nil"/>
              <w:right w:val="nil"/>
            </w:tcBorders>
            <w:shd w:val="clear" w:color="auto" w:fill="F2F2F2" w:themeFill="background1" w:themeFillShade="F2"/>
            <w:vAlign w:val="center"/>
            <w:hideMark/>
          </w:tcPr>
          <w:p w14:paraId="599E73B2" w14:textId="196F2140"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61,8</w:t>
            </w:r>
          </w:p>
        </w:tc>
        <w:tc>
          <w:tcPr>
            <w:tcW w:w="350" w:type="pct"/>
            <w:tcBorders>
              <w:top w:val="nil"/>
              <w:left w:val="nil"/>
              <w:bottom w:val="nil"/>
              <w:right w:val="nil"/>
            </w:tcBorders>
            <w:shd w:val="clear" w:color="auto" w:fill="F2F2F2" w:themeFill="background1" w:themeFillShade="F2"/>
            <w:vAlign w:val="center"/>
            <w:hideMark/>
          </w:tcPr>
          <w:p w14:paraId="2EC95AD7" w14:textId="641219C8"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50,0</w:t>
            </w:r>
          </w:p>
        </w:tc>
        <w:tc>
          <w:tcPr>
            <w:tcW w:w="350" w:type="pct"/>
            <w:tcBorders>
              <w:top w:val="nil"/>
              <w:left w:val="nil"/>
              <w:bottom w:val="nil"/>
              <w:right w:val="nil"/>
            </w:tcBorders>
            <w:shd w:val="clear" w:color="auto" w:fill="F2F2F2" w:themeFill="background1" w:themeFillShade="F2"/>
            <w:vAlign w:val="center"/>
            <w:hideMark/>
          </w:tcPr>
          <w:p w14:paraId="7DAEC883" w14:textId="6FF6E615"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64,3</w:t>
            </w:r>
          </w:p>
        </w:tc>
        <w:tc>
          <w:tcPr>
            <w:tcW w:w="349" w:type="pct"/>
            <w:tcBorders>
              <w:top w:val="nil"/>
              <w:left w:val="nil"/>
              <w:bottom w:val="nil"/>
              <w:right w:val="nil"/>
            </w:tcBorders>
            <w:shd w:val="clear" w:color="auto" w:fill="F2F2F2" w:themeFill="background1" w:themeFillShade="F2"/>
            <w:vAlign w:val="center"/>
            <w:hideMark/>
          </w:tcPr>
          <w:p w14:paraId="354F44B3" w14:textId="1F8CEB93"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78,3</w:t>
            </w:r>
          </w:p>
        </w:tc>
        <w:tc>
          <w:tcPr>
            <w:tcW w:w="349" w:type="pct"/>
            <w:tcBorders>
              <w:top w:val="nil"/>
              <w:left w:val="nil"/>
              <w:bottom w:val="nil"/>
              <w:right w:val="nil"/>
            </w:tcBorders>
            <w:shd w:val="clear" w:color="auto" w:fill="F2F2F2" w:themeFill="background1" w:themeFillShade="F2"/>
            <w:vAlign w:val="center"/>
            <w:hideMark/>
          </w:tcPr>
          <w:p w14:paraId="3D0B4B4A" w14:textId="4548FEDB"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72,7</w:t>
            </w:r>
          </w:p>
        </w:tc>
        <w:tc>
          <w:tcPr>
            <w:tcW w:w="349" w:type="pct"/>
            <w:tcBorders>
              <w:top w:val="nil"/>
              <w:left w:val="nil"/>
              <w:bottom w:val="nil"/>
              <w:right w:val="nil"/>
            </w:tcBorders>
            <w:shd w:val="clear" w:color="auto" w:fill="F2F2F2" w:themeFill="background1" w:themeFillShade="F2"/>
            <w:vAlign w:val="center"/>
            <w:hideMark/>
          </w:tcPr>
          <w:p w14:paraId="75541B90" w14:textId="0CA8B63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57,1</w:t>
            </w:r>
          </w:p>
        </w:tc>
        <w:tc>
          <w:tcPr>
            <w:tcW w:w="349" w:type="pct"/>
            <w:tcBorders>
              <w:top w:val="nil"/>
              <w:left w:val="nil"/>
              <w:bottom w:val="nil"/>
              <w:right w:val="nil"/>
            </w:tcBorders>
            <w:shd w:val="clear" w:color="auto" w:fill="F2F2F2" w:themeFill="background1" w:themeFillShade="F2"/>
            <w:vAlign w:val="center"/>
            <w:hideMark/>
          </w:tcPr>
          <w:p w14:paraId="36B260AB" w14:textId="56718BE2"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63,4</w:t>
            </w:r>
          </w:p>
        </w:tc>
        <w:tc>
          <w:tcPr>
            <w:tcW w:w="731" w:type="pct"/>
            <w:tcBorders>
              <w:top w:val="nil"/>
              <w:left w:val="nil"/>
              <w:bottom w:val="nil"/>
              <w:right w:val="nil"/>
            </w:tcBorders>
            <w:shd w:val="clear" w:color="auto" w:fill="F2F2F2" w:themeFill="background1" w:themeFillShade="F2"/>
            <w:noWrap/>
            <w:vAlign w:val="center"/>
            <w:hideMark/>
          </w:tcPr>
          <w:p w14:paraId="7433559D" w14:textId="519A12EA"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w:t>
            </w:r>
            <w:r>
              <w:rPr>
                <w:rFonts w:ascii="Arial" w:eastAsia="Times New Roman" w:hAnsi="Arial" w:cs="Arial"/>
                <w:color w:val="000000"/>
                <w:sz w:val="16"/>
                <w:szCs w:val="16"/>
                <w:lang w:eastAsia="nb-NO"/>
              </w:rPr>
              <w:t>1</w:t>
            </w:r>
          </w:p>
        </w:tc>
      </w:tr>
      <w:tr w:rsidR="002610AA" w:rsidRPr="004C2CE5" w14:paraId="556AC86F" w14:textId="77777777" w:rsidTr="00343867">
        <w:trPr>
          <w:trHeight w:val="300"/>
        </w:trPr>
        <w:tc>
          <w:tcPr>
            <w:tcW w:w="771" w:type="pct"/>
            <w:tcBorders>
              <w:top w:val="nil"/>
              <w:left w:val="nil"/>
              <w:bottom w:val="nil"/>
              <w:right w:val="nil"/>
            </w:tcBorders>
            <w:shd w:val="clear" w:color="auto" w:fill="auto"/>
            <w:vAlign w:val="center"/>
            <w:hideMark/>
          </w:tcPr>
          <w:p w14:paraId="6C26CF5D" w14:textId="77777777" w:rsidR="002610AA" w:rsidRPr="004C2CE5" w:rsidRDefault="002610AA" w:rsidP="002610AA">
            <w:pPr>
              <w:spacing w:after="0" w:line="240" w:lineRule="auto"/>
              <w:rPr>
                <w:rFonts w:ascii="Arial" w:eastAsia="Times New Roman" w:hAnsi="Arial" w:cs="Arial"/>
                <w:color w:val="000000"/>
                <w:sz w:val="16"/>
                <w:szCs w:val="16"/>
                <w:lang w:eastAsia="nb-NO"/>
              </w:rPr>
            </w:pPr>
            <w:proofErr w:type="spellStart"/>
            <w:r w:rsidRPr="004C2CE5">
              <w:rPr>
                <w:rFonts w:ascii="Arial" w:eastAsia="Times New Roman" w:hAnsi="Arial" w:cs="Arial"/>
                <w:color w:val="000000"/>
                <w:sz w:val="16"/>
                <w:szCs w:val="16"/>
                <w:lang w:eastAsia="nb-NO"/>
              </w:rPr>
              <w:t>HINN</w:t>
            </w:r>
            <w:proofErr w:type="spellEnd"/>
            <w:r w:rsidRPr="004C2CE5">
              <w:rPr>
                <w:rFonts w:ascii="Arial" w:eastAsia="Times New Roman" w:hAnsi="Arial" w:cs="Arial"/>
                <w:color w:val="000000"/>
                <w:sz w:val="16"/>
                <w:szCs w:val="16"/>
                <w:lang w:eastAsia="nb-NO"/>
              </w:rPr>
              <w:t xml:space="preserve"> </w:t>
            </w:r>
          </w:p>
        </w:tc>
        <w:tc>
          <w:tcPr>
            <w:tcW w:w="351" w:type="pct"/>
            <w:tcBorders>
              <w:top w:val="nil"/>
              <w:left w:val="nil"/>
              <w:bottom w:val="nil"/>
              <w:right w:val="nil"/>
            </w:tcBorders>
            <w:shd w:val="clear" w:color="auto" w:fill="auto"/>
            <w:vAlign w:val="center"/>
            <w:hideMark/>
          </w:tcPr>
          <w:p w14:paraId="27EE01B9"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1" w:type="pct"/>
            <w:tcBorders>
              <w:top w:val="nil"/>
              <w:left w:val="nil"/>
              <w:bottom w:val="nil"/>
              <w:right w:val="nil"/>
            </w:tcBorders>
            <w:shd w:val="clear" w:color="auto" w:fill="auto"/>
            <w:vAlign w:val="center"/>
            <w:hideMark/>
          </w:tcPr>
          <w:p w14:paraId="70C4CF13"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0" w:type="pct"/>
            <w:tcBorders>
              <w:top w:val="nil"/>
              <w:left w:val="nil"/>
              <w:bottom w:val="nil"/>
              <w:right w:val="nil"/>
            </w:tcBorders>
            <w:shd w:val="clear" w:color="auto" w:fill="auto"/>
            <w:vAlign w:val="center"/>
            <w:hideMark/>
          </w:tcPr>
          <w:p w14:paraId="494906EF"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0" w:type="pct"/>
            <w:tcBorders>
              <w:top w:val="nil"/>
              <w:left w:val="nil"/>
              <w:bottom w:val="nil"/>
              <w:right w:val="nil"/>
            </w:tcBorders>
            <w:shd w:val="clear" w:color="auto" w:fill="auto"/>
            <w:vAlign w:val="center"/>
            <w:hideMark/>
          </w:tcPr>
          <w:p w14:paraId="119BE28F"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 xml:space="preserve">- </w:t>
            </w:r>
          </w:p>
        </w:tc>
        <w:tc>
          <w:tcPr>
            <w:tcW w:w="350" w:type="pct"/>
            <w:tcBorders>
              <w:top w:val="nil"/>
              <w:left w:val="nil"/>
              <w:bottom w:val="nil"/>
              <w:right w:val="nil"/>
            </w:tcBorders>
            <w:shd w:val="clear" w:color="auto" w:fill="auto"/>
            <w:vAlign w:val="center"/>
            <w:hideMark/>
          </w:tcPr>
          <w:p w14:paraId="244F325C"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40,0</w:t>
            </w:r>
          </w:p>
        </w:tc>
        <w:tc>
          <w:tcPr>
            <w:tcW w:w="350" w:type="pct"/>
            <w:tcBorders>
              <w:top w:val="nil"/>
              <w:left w:val="nil"/>
              <w:bottom w:val="nil"/>
              <w:right w:val="nil"/>
            </w:tcBorders>
            <w:shd w:val="clear" w:color="auto" w:fill="auto"/>
            <w:vAlign w:val="center"/>
            <w:hideMark/>
          </w:tcPr>
          <w:p w14:paraId="0D4BC5EC"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46,2</w:t>
            </w:r>
          </w:p>
        </w:tc>
        <w:tc>
          <w:tcPr>
            <w:tcW w:w="349" w:type="pct"/>
            <w:tcBorders>
              <w:top w:val="nil"/>
              <w:left w:val="nil"/>
              <w:bottom w:val="nil"/>
              <w:right w:val="nil"/>
            </w:tcBorders>
            <w:shd w:val="clear" w:color="auto" w:fill="auto"/>
            <w:vAlign w:val="center"/>
            <w:hideMark/>
          </w:tcPr>
          <w:p w14:paraId="2EF4A1B0"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51,7</w:t>
            </w:r>
          </w:p>
        </w:tc>
        <w:tc>
          <w:tcPr>
            <w:tcW w:w="349" w:type="pct"/>
            <w:tcBorders>
              <w:top w:val="nil"/>
              <w:left w:val="nil"/>
              <w:bottom w:val="nil"/>
              <w:right w:val="nil"/>
            </w:tcBorders>
            <w:shd w:val="clear" w:color="auto" w:fill="auto"/>
            <w:vAlign w:val="center"/>
            <w:hideMark/>
          </w:tcPr>
          <w:p w14:paraId="79EBA431"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85,7</w:t>
            </w:r>
          </w:p>
        </w:tc>
        <w:tc>
          <w:tcPr>
            <w:tcW w:w="349" w:type="pct"/>
            <w:tcBorders>
              <w:top w:val="nil"/>
              <w:left w:val="nil"/>
              <w:bottom w:val="nil"/>
              <w:right w:val="nil"/>
            </w:tcBorders>
            <w:shd w:val="clear" w:color="auto" w:fill="auto"/>
            <w:vAlign w:val="center"/>
            <w:hideMark/>
          </w:tcPr>
          <w:p w14:paraId="6006E209"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73,3</w:t>
            </w:r>
          </w:p>
        </w:tc>
        <w:tc>
          <w:tcPr>
            <w:tcW w:w="349" w:type="pct"/>
            <w:tcBorders>
              <w:top w:val="nil"/>
              <w:left w:val="nil"/>
              <w:bottom w:val="nil"/>
              <w:right w:val="nil"/>
            </w:tcBorders>
            <w:shd w:val="clear" w:color="auto" w:fill="auto"/>
            <w:vAlign w:val="center"/>
            <w:hideMark/>
          </w:tcPr>
          <w:p w14:paraId="031A6564" w14:textId="77777777"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63,6</w:t>
            </w:r>
          </w:p>
        </w:tc>
        <w:tc>
          <w:tcPr>
            <w:tcW w:w="731" w:type="pct"/>
            <w:tcBorders>
              <w:top w:val="nil"/>
              <w:left w:val="nil"/>
              <w:bottom w:val="nil"/>
              <w:right w:val="nil"/>
            </w:tcBorders>
            <w:shd w:val="clear" w:color="auto" w:fill="auto"/>
            <w:noWrap/>
            <w:vAlign w:val="center"/>
            <w:hideMark/>
          </w:tcPr>
          <w:p w14:paraId="26B052F2" w14:textId="37077855" w:rsidR="002610AA" w:rsidRPr="004C2CE5" w:rsidRDefault="002610AA" w:rsidP="002610AA">
            <w:pPr>
              <w:spacing w:after="0" w:line="240" w:lineRule="auto"/>
              <w:jc w:val="right"/>
              <w:rPr>
                <w:rFonts w:ascii="Arial" w:eastAsia="Times New Roman" w:hAnsi="Arial" w:cs="Arial"/>
                <w:color w:val="000000"/>
                <w:sz w:val="16"/>
                <w:szCs w:val="16"/>
                <w:lang w:eastAsia="nb-NO"/>
              </w:rPr>
            </w:pPr>
            <w:r w:rsidRPr="004C2CE5">
              <w:rPr>
                <w:rFonts w:ascii="Arial" w:eastAsia="Times New Roman" w:hAnsi="Arial" w:cs="Arial"/>
                <w:color w:val="000000"/>
                <w:sz w:val="16"/>
                <w:szCs w:val="16"/>
                <w:lang w:eastAsia="nb-NO"/>
              </w:rPr>
              <w:t>2</w:t>
            </w:r>
            <w:r>
              <w:rPr>
                <w:rFonts w:ascii="Arial" w:eastAsia="Times New Roman" w:hAnsi="Arial" w:cs="Arial"/>
                <w:color w:val="000000"/>
                <w:sz w:val="16"/>
                <w:szCs w:val="16"/>
                <w:lang w:eastAsia="nb-NO"/>
              </w:rPr>
              <w:t>2</w:t>
            </w:r>
          </w:p>
        </w:tc>
      </w:tr>
      <w:tr w:rsidR="002610AA" w:rsidRPr="004C2CE5" w14:paraId="05A632BD" w14:textId="77777777" w:rsidTr="00904805">
        <w:trPr>
          <w:trHeight w:val="450"/>
        </w:trPr>
        <w:tc>
          <w:tcPr>
            <w:tcW w:w="771" w:type="pct"/>
            <w:tcBorders>
              <w:top w:val="nil"/>
              <w:left w:val="nil"/>
              <w:bottom w:val="nil"/>
              <w:right w:val="nil"/>
            </w:tcBorders>
            <w:shd w:val="clear" w:color="000000" w:fill="BFBFBF"/>
            <w:vAlign w:val="center"/>
            <w:hideMark/>
          </w:tcPr>
          <w:p w14:paraId="7E5C7FAC" w14:textId="77777777" w:rsidR="002610AA" w:rsidRPr="004C2CE5" w:rsidRDefault="002610AA" w:rsidP="002610AA">
            <w:pPr>
              <w:spacing w:after="0" w:line="240" w:lineRule="auto"/>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 xml:space="preserve">Statlige </w:t>
            </w:r>
            <w:proofErr w:type="spellStart"/>
            <w:r w:rsidRPr="004C2CE5">
              <w:rPr>
                <w:rFonts w:ascii="Arial" w:eastAsia="Times New Roman" w:hAnsi="Arial" w:cs="Arial"/>
                <w:b/>
                <w:bCs/>
                <w:color w:val="000000"/>
                <w:sz w:val="16"/>
                <w:szCs w:val="16"/>
                <w:lang w:eastAsia="nb-NO"/>
              </w:rPr>
              <w:t>inst</w:t>
            </w:r>
            <w:proofErr w:type="spellEnd"/>
            <w:r w:rsidRPr="004C2CE5">
              <w:rPr>
                <w:rFonts w:ascii="Arial" w:eastAsia="Times New Roman" w:hAnsi="Arial" w:cs="Arial"/>
                <w:b/>
                <w:bCs/>
                <w:color w:val="000000"/>
                <w:sz w:val="16"/>
                <w:szCs w:val="16"/>
                <w:lang w:eastAsia="nb-NO"/>
              </w:rPr>
              <w:t>.</w:t>
            </w:r>
            <w:r w:rsidRPr="004C2CE5">
              <w:rPr>
                <w:rFonts w:ascii="Arial" w:eastAsia="Times New Roman" w:hAnsi="Arial" w:cs="Arial"/>
                <w:color w:val="000000"/>
                <w:sz w:val="16"/>
                <w:szCs w:val="16"/>
                <w:lang w:eastAsia="nb-NO"/>
              </w:rPr>
              <w:t xml:space="preserve"> </w:t>
            </w:r>
          </w:p>
        </w:tc>
        <w:tc>
          <w:tcPr>
            <w:tcW w:w="351" w:type="pct"/>
            <w:tcBorders>
              <w:top w:val="nil"/>
              <w:left w:val="nil"/>
              <w:bottom w:val="nil"/>
              <w:right w:val="nil"/>
            </w:tcBorders>
            <w:shd w:val="clear" w:color="000000" w:fill="BFBFBF"/>
            <w:vAlign w:val="center"/>
            <w:hideMark/>
          </w:tcPr>
          <w:p w14:paraId="3D9ADDA0"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64,0</w:t>
            </w:r>
          </w:p>
        </w:tc>
        <w:tc>
          <w:tcPr>
            <w:tcW w:w="351" w:type="pct"/>
            <w:tcBorders>
              <w:top w:val="nil"/>
              <w:left w:val="nil"/>
              <w:bottom w:val="nil"/>
              <w:right w:val="nil"/>
            </w:tcBorders>
            <w:shd w:val="clear" w:color="000000" w:fill="BFBFBF"/>
            <w:vAlign w:val="center"/>
            <w:hideMark/>
          </w:tcPr>
          <w:p w14:paraId="79350B94"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65,5</w:t>
            </w:r>
          </w:p>
        </w:tc>
        <w:tc>
          <w:tcPr>
            <w:tcW w:w="350" w:type="pct"/>
            <w:tcBorders>
              <w:top w:val="nil"/>
              <w:left w:val="nil"/>
              <w:bottom w:val="nil"/>
              <w:right w:val="nil"/>
            </w:tcBorders>
            <w:shd w:val="clear" w:color="000000" w:fill="BFBFBF"/>
            <w:vAlign w:val="center"/>
            <w:hideMark/>
          </w:tcPr>
          <w:p w14:paraId="030A1F69"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66,3</w:t>
            </w:r>
          </w:p>
        </w:tc>
        <w:tc>
          <w:tcPr>
            <w:tcW w:w="350" w:type="pct"/>
            <w:tcBorders>
              <w:top w:val="nil"/>
              <w:left w:val="nil"/>
              <w:bottom w:val="nil"/>
              <w:right w:val="nil"/>
            </w:tcBorders>
            <w:shd w:val="clear" w:color="000000" w:fill="BFBFBF"/>
            <w:vAlign w:val="center"/>
            <w:hideMark/>
          </w:tcPr>
          <w:p w14:paraId="3663AF53"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67,9</w:t>
            </w:r>
          </w:p>
        </w:tc>
        <w:tc>
          <w:tcPr>
            <w:tcW w:w="350" w:type="pct"/>
            <w:tcBorders>
              <w:top w:val="nil"/>
              <w:left w:val="nil"/>
              <w:bottom w:val="nil"/>
              <w:right w:val="nil"/>
            </w:tcBorders>
            <w:shd w:val="clear" w:color="000000" w:fill="BFBFBF"/>
            <w:vAlign w:val="center"/>
            <w:hideMark/>
          </w:tcPr>
          <w:p w14:paraId="2949D521"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66,0</w:t>
            </w:r>
          </w:p>
        </w:tc>
        <w:tc>
          <w:tcPr>
            <w:tcW w:w="350" w:type="pct"/>
            <w:tcBorders>
              <w:top w:val="nil"/>
              <w:left w:val="nil"/>
              <w:bottom w:val="nil"/>
              <w:right w:val="nil"/>
            </w:tcBorders>
            <w:shd w:val="clear" w:color="000000" w:fill="BFBFBF"/>
            <w:vAlign w:val="center"/>
            <w:hideMark/>
          </w:tcPr>
          <w:p w14:paraId="10821288"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68,4</w:t>
            </w:r>
          </w:p>
        </w:tc>
        <w:tc>
          <w:tcPr>
            <w:tcW w:w="349" w:type="pct"/>
            <w:tcBorders>
              <w:top w:val="nil"/>
              <w:left w:val="nil"/>
              <w:bottom w:val="nil"/>
              <w:right w:val="nil"/>
            </w:tcBorders>
            <w:shd w:val="clear" w:color="000000" w:fill="BFBFBF"/>
            <w:vAlign w:val="center"/>
            <w:hideMark/>
          </w:tcPr>
          <w:p w14:paraId="690DA014"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66,4</w:t>
            </w:r>
          </w:p>
        </w:tc>
        <w:tc>
          <w:tcPr>
            <w:tcW w:w="349" w:type="pct"/>
            <w:tcBorders>
              <w:top w:val="nil"/>
              <w:left w:val="nil"/>
              <w:bottom w:val="nil"/>
              <w:right w:val="nil"/>
            </w:tcBorders>
            <w:shd w:val="clear" w:color="000000" w:fill="BFBFBF"/>
            <w:vAlign w:val="center"/>
            <w:hideMark/>
          </w:tcPr>
          <w:p w14:paraId="4AC313B4"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70,3</w:t>
            </w:r>
          </w:p>
        </w:tc>
        <w:tc>
          <w:tcPr>
            <w:tcW w:w="349" w:type="pct"/>
            <w:tcBorders>
              <w:top w:val="nil"/>
              <w:left w:val="nil"/>
              <w:bottom w:val="nil"/>
              <w:right w:val="nil"/>
            </w:tcBorders>
            <w:shd w:val="clear" w:color="000000" w:fill="BFBFBF"/>
            <w:vAlign w:val="center"/>
            <w:hideMark/>
          </w:tcPr>
          <w:p w14:paraId="38D7C492"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67,9</w:t>
            </w:r>
          </w:p>
        </w:tc>
        <w:tc>
          <w:tcPr>
            <w:tcW w:w="349" w:type="pct"/>
            <w:tcBorders>
              <w:top w:val="nil"/>
              <w:left w:val="nil"/>
              <w:bottom w:val="nil"/>
              <w:right w:val="nil"/>
            </w:tcBorders>
            <w:shd w:val="clear" w:color="000000" w:fill="BFBFBF"/>
            <w:vAlign w:val="center"/>
            <w:hideMark/>
          </w:tcPr>
          <w:p w14:paraId="489CE942"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67,2</w:t>
            </w:r>
          </w:p>
        </w:tc>
        <w:tc>
          <w:tcPr>
            <w:tcW w:w="731" w:type="pct"/>
            <w:tcBorders>
              <w:top w:val="nil"/>
              <w:left w:val="nil"/>
              <w:bottom w:val="nil"/>
              <w:right w:val="nil"/>
            </w:tcBorders>
            <w:shd w:val="clear" w:color="000000" w:fill="BFBFBF"/>
            <w:noWrap/>
            <w:vAlign w:val="center"/>
            <w:hideMark/>
          </w:tcPr>
          <w:p w14:paraId="46AD691C" w14:textId="2493D4D3"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1</w:t>
            </w:r>
            <w:r>
              <w:rPr>
                <w:rFonts w:ascii="Arial" w:eastAsia="Times New Roman" w:hAnsi="Arial" w:cs="Arial"/>
                <w:b/>
                <w:bCs/>
                <w:color w:val="000000"/>
                <w:sz w:val="16"/>
                <w:szCs w:val="16"/>
                <w:lang w:eastAsia="nb-NO"/>
              </w:rPr>
              <w:t> </w:t>
            </w:r>
            <w:r w:rsidRPr="004C2CE5">
              <w:rPr>
                <w:rFonts w:ascii="Arial" w:eastAsia="Times New Roman" w:hAnsi="Arial" w:cs="Arial"/>
                <w:b/>
                <w:bCs/>
                <w:color w:val="000000"/>
                <w:sz w:val="16"/>
                <w:szCs w:val="16"/>
                <w:lang w:eastAsia="nb-NO"/>
              </w:rPr>
              <w:t>8</w:t>
            </w:r>
            <w:r>
              <w:rPr>
                <w:rFonts w:ascii="Arial" w:eastAsia="Times New Roman" w:hAnsi="Arial" w:cs="Arial"/>
                <w:b/>
                <w:bCs/>
                <w:color w:val="000000"/>
                <w:sz w:val="16"/>
                <w:szCs w:val="16"/>
                <w:lang w:eastAsia="nb-NO"/>
              </w:rPr>
              <w:t>79</w:t>
            </w:r>
          </w:p>
        </w:tc>
      </w:tr>
      <w:tr w:rsidR="002610AA" w:rsidRPr="004C2CE5" w14:paraId="683294FA" w14:textId="77777777" w:rsidTr="00904805">
        <w:trPr>
          <w:trHeight w:val="450"/>
        </w:trPr>
        <w:tc>
          <w:tcPr>
            <w:tcW w:w="771" w:type="pct"/>
            <w:tcBorders>
              <w:top w:val="nil"/>
              <w:left w:val="nil"/>
              <w:bottom w:val="nil"/>
              <w:right w:val="nil"/>
            </w:tcBorders>
            <w:shd w:val="clear" w:color="000000" w:fill="BFBFBF"/>
            <w:vAlign w:val="center"/>
            <w:hideMark/>
          </w:tcPr>
          <w:p w14:paraId="57F23F09" w14:textId="77777777" w:rsidR="002610AA" w:rsidRPr="004C2CE5" w:rsidRDefault="002610AA" w:rsidP="002610AA">
            <w:pPr>
              <w:spacing w:after="0" w:line="240" w:lineRule="auto"/>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 xml:space="preserve">Private </w:t>
            </w:r>
            <w:proofErr w:type="spellStart"/>
            <w:r w:rsidRPr="004C2CE5">
              <w:rPr>
                <w:rFonts w:ascii="Arial" w:eastAsia="Times New Roman" w:hAnsi="Arial" w:cs="Arial"/>
                <w:b/>
                <w:bCs/>
                <w:color w:val="000000"/>
                <w:sz w:val="16"/>
                <w:szCs w:val="16"/>
                <w:lang w:eastAsia="nb-NO"/>
              </w:rPr>
              <w:t>inst</w:t>
            </w:r>
            <w:proofErr w:type="spellEnd"/>
            <w:r w:rsidRPr="004C2CE5">
              <w:rPr>
                <w:rFonts w:ascii="Arial" w:eastAsia="Times New Roman" w:hAnsi="Arial" w:cs="Arial"/>
                <w:b/>
                <w:bCs/>
                <w:color w:val="000000"/>
                <w:sz w:val="16"/>
                <w:szCs w:val="16"/>
                <w:lang w:eastAsia="nb-NO"/>
              </w:rPr>
              <w:t>.</w:t>
            </w:r>
            <w:r w:rsidRPr="004C2CE5">
              <w:rPr>
                <w:rFonts w:ascii="Arial" w:eastAsia="Times New Roman" w:hAnsi="Arial" w:cs="Arial"/>
                <w:color w:val="000000"/>
                <w:sz w:val="16"/>
                <w:szCs w:val="16"/>
                <w:lang w:eastAsia="nb-NO"/>
              </w:rPr>
              <w:t xml:space="preserve"> </w:t>
            </w:r>
          </w:p>
        </w:tc>
        <w:tc>
          <w:tcPr>
            <w:tcW w:w="351" w:type="pct"/>
            <w:tcBorders>
              <w:top w:val="nil"/>
              <w:left w:val="nil"/>
              <w:bottom w:val="nil"/>
              <w:right w:val="nil"/>
            </w:tcBorders>
            <w:shd w:val="clear" w:color="000000" w:fill="BFBFBF"/>
            <w:vAlign w:val="center"/>
            <w:hideMark/>
          </w:tcPr>
          <w:p w14:paraId="03692074"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55,6</w:t>
            </w:r>
          </w:p>
        </w:tc>
        <w:tc>
          <w:tcPr>
            <w:tcW w:w="351" w:type="pct"/>
            <w:tcBorders>
              <w:top w:val="nil"/>
              <w:left w:val="nil"/>
              <w:bottom w:val="nil"/>
              <w:right w:val="nil"/>
            </w:tcBorders>
            <w:shd w:val="clear" w:color="000000" w:fill="BFBFBF"/>
            <w:vAlign w:val="center"/>
            <w:hideMark/>
          </w:tcPr>
          <w:p w14:paraId="730EAFFE"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52,2</w:t>
            </w:r>
          </w:p>
        </w:tc>
        <w:tc>
          <w:tcPr>
            <w:tcW w:w="350" w:type="pct"/>
            <w:tcBorders>
              <w:top w:val="nil"/>
              <w:left w:val="nil"/>
              <w:bottom w:val="nil"/>
              <w:right w:val="nil"/>
            </w:tcBorders>
            <w:shd w:val="clear" w:color="000000" w:fill="BFBFBF"/>
            <w:vAlign w:val="center"/>
            <w:hideMark/>
          </w:tcPr>
          <w:p w14:paraId="1582A9C6"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50,0</w:t>
            </w:r>
          </w:p>
        </w:tc>
        <w:tc>
          <w:tcPr>
            <w:tcW w:w="350" w:type="pct"/>
            <w:tcBorders>
              <w:top w:val="nil"/>
              <w:left w:val="nil"/>
              <w:bottom w:val="nil"/>
              <w:right w:val="nil"/>
            </w:tcBorders>
            <w:shd w:val="clear" w:color="000000" w:fill="BFBFBF"/>
            <w:vAlign w:val="center"/>
            <w:hideMark/>
          </w:tcPr>
          <w:p w14:paraId="50B7C634"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62,5</w:t>
            </w:r>
          </w:p>
        </w:tc>
        <w:tc>
          <w:tcPr>
            <w:tcW w:w="350" w:type="pct"/>
            <w:tcBorders>
              <w:top w:val="nil"/>
              <w:left w:val="nil"/>
              <w:bottom w:val="nil"/>
              <w:right w:val="nil"/>
            </w:tcBorders>
            <w:shd w:val="clear" w:color="000000" w:fill="BFBFBF"/>
            <w:vAlign w:val="center"/>
            <w:hideMark/>
          </w:tcPr>
          <w:p w14:paraId="353B985A"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78,9</w:t>
            </w:r>
          </w:p>
        </w:tc>
        <w:tc>
          <w:tcPr>
            <w:tcW w:w="350" w:type="pct"/>
            <w:tcBorders>
              <w:top w:val="nil"/>
              <w:left w:val="nil"/>
              <w:bottom w:val="nil"/>
              <w:right w:val="nil"/>
            </w:tcBorders>
            <w:shd w:val="clear" w:color="000000" w:fill="BFBFBF"/>
            <w:vAlign w:val="center"/>
            <w:hideMark/>
          </w:tcPr>
          <w:p w14:paraId="4A5077E8"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61,3</w:t>
            </w:r>
          </w:p>
        </w:tc>
        <w:tc>
          <w:tcPr>
            <w:tcW w:w="349" w:type="pct"/>
            <w:tcBorders>
              <w:top w:val="nil"/>
              <w:left w:val="nil"/>
              <w:bottom w:val="nil"/>
              <w:right w:val="nil"/>
            </w:tcBorders>
            <w:shd w:val="clear" w:color="000000" w:fill="BFBFBF"/>
            <w:vAlign w:val="center"/>
            <w:hideMark/>
          </w:tcPr>
          <w:p w14:paraId="0C14D680"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64,3</w:t>
            </w:r>
          </w:p>
        </w:tc>
        <w:tc>
          <w:tcPr>
            <w:tcW w:w="349" w:type="pct"/>
            <w:tcBorders>
              <w:top w:val="nil"/>
              <w:left w:val="nil"/>
              <w:bottom w:val="nil"/>
              <w:right w:val="nil"/>
            </w:tcBorders>
            <w:shd w:val="clear" w:color="000000" w:fill="BFBFBF"/>
            <w:vAlign w:val="center"/>
            <w:hideMark/>
          </w:tcPr>
          <w:p w14:paraId="1675B076"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55,6</w:t>
            </w:r>
          </w:p>
        </w:tc>
        <w:tc>
          <w:tcPr>
            <w:tcW w:w="349" w:type="pct"/>
            <w:tcBorders>
              <w:top w:val="nil"/>
              <w:left w:val="nil"/>
              <w:bottom w:val="nil"/>
              <w:right w:val="nil"/>
            </w:tcBorders>
            <w:shd w:val="clear" w:color="000000" w:fill="BFBFBF"/>
            <w:vAlign w:val="center"/>
            <w:hideMark/>
          </w:tcPr>
          <w:p w14:paraId="3BFF6F0B"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48,6</w:t>
            </w:r>
          </w:p>
        </w:tc>
        <w:tc>
          <w:tcPr>
            <w:tcW w:w="349" w:type="pct"/>
            <w:tcBorders>
              <w:top w:val="nil"/>
              <w:left w:val="nil"/>
              <w:bottom w:val="nil"/>
              <w:right w:val="nil"/>
            </w:tcBorders>
            <w:shd w:val="clear" w:color="000000" w:fill="BFBFBF"/>
            <w:vAlign w:val="center"/>
            <w:hideMark/>
          </w:tcPr>
          <w:p w14:paraId="5153BA1C"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53,3</w:t>
            </w:r>
          </w:p>
        </w:tc>
        <w:tc>
          <w:tcPr>
            <w:tcW w:w="731" w:type="pct"/>
            <w:tcBorders>
              <w:top w:val="nil"/>
              <w:left w:val="nil"/>
              <w:bottom w:val="nil"/>
              <w:right w:val="nil"/>
            </w:tcBorders>
            <w:shd w:val="clear" w:color="000000" w:fill="BFBFBF"/>
            <w:noWrap/>
            <w:vAlign w:val="center"/>
            <w:hideMark/>
          </w:tcPr>
          <w:p w14:paraId="14179818"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30</w:t>
            </w:r>
          </w:p>
        </w:tc>
      </w:tr>
      <w:tr w:rsidR="002610AA" w:rsidRPr="004C2CE5" w14:paraId="12C13F5F" w14:textId="77777777" w:rsidTr="00343867">
        <w:trPr>
          <w:trHeight w:val="300"/>
        </w:trPr>
        <w:tc>
          <w:tcPr>
            <w:tcW w:w="771" w:type="pct"/>
            <w:tcBorders>
              <w:top w:val="nil"/>
              <w:left w:val="nil"/>
              <w:bottom w:val="nil"/>
              <w:right w:val="nil"/>
            </w:tcBorders>
            <w:shd w:val="clear" w:color="000000" w:fill="BFBFBF"/>
            <w:vAlign w:val="center"/>
            <w:hideMark/>
          </w:tcPr>
          <w:p w14:paraId="778A26DD" w14:textId="2BEC6ADA" w:rsidR="002610AA" w:rsidRPr="006610AD" w:rsidRDefault="00763770" w:rsidP="002610AA">
            <w:pPr>
              <w:spacing w:after="0" w:line="240" w:lineRule="auto"/>
              <w:rPr>
                <w:rFonts w:ascii="Arial" w:eastAsia="Times New Roman" w:hAnsi="Arial" w:cs="Arial"/>
                <w:b/>
                <w:bCs/>
                <w:color w:val="000000"/>
                <w:sz w:val="16"/>
                <w:szCs w:val="16"/>
                <w:lang w:eastAsia="nb-NO"/>
              </w:rPr>
            </w:pPr>
            <w:r w:rsidRPr="006610AD">
              <w:rPr>
                <w:rFonts w:ascii="Arial" w:eastAsia="Times New Roman" w:hAnsi="Arial" w:cs="Arial"/>
                <w:b/>
                <w:bCs/>
                <w:color w:val="000000"/>
                <w:sz w:val="16"/>
                <w:szCs w:val="16"/>
                <w:lang w:eastAsia="nb-NO"/>
              </w:rPr>
              <w:t>I alt</w:t>
            </w:r>
            <w:r w:rsidR="002610AA" w:rsidRPr="006610AD">
              <w:rPr>
                <w:rFonts w:ascii="Arial" w:eastAsia="Times New Roman" w:hAnsi="Arial" w:cs="Arial"/>
                <w:b/>
                <w:bCs/>
                <w:color w:val="000000"/>
                <w:sz w:val="16"/>
                <w:szCs w:val="16"/>
                <w:lang w:eastAsia="nb-NO"/>
              </w:rPr>
              <w:t xml:space="preserve"> </w:t>
            </w:r>
          </w:p>
        </w:tc>
        <w:tc>
          <w:tcPr>
            <w:tcW w:w="351" w:type="pct"/>
            <w:tcBorders>
              <w:top w:val="nil"/>
              <w:left w:val="nil"/>
              <w:bottom w:val="nil"/>
              <w:right w:val="nil"/>
            </w:tcBorders>
            <w:shd w:val="clear" w:color="000000" w:fill="BFBFBF"/>
            <w:vAlign w:val="center"/>
            <w:hideMark/>
          </w:tcPr>
          <w:p w14:paraId="0A01E9A5"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64,0</w:t>
            </w:r>
          </w:p>
        </w:tc>
        <w:tc>
          <w:tcPr>
            <w:tcW w:w="351" w:type="pct"/>
            <w:tcBorders>
              <w:top w:val="nil"/>
              <w:left w:val="nil"/>
              <w:bottom w:val="nil"/>
              <w:right w:val="nil"/>
            </w:tcBorders>
            <w:shd w:val="clear" w:color="000000" w:fill="BFBFBF"/>
            <w:vAlign w:val="center"/>
            <w:hideMark/>
          </w:tcPr>
          <w:p w14:paraId="066D0E13"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65,4</w:t>
            </w:r>
          </w:p>
        </w:tc>
        <w:tc>
          <w:tcPr>
            <w:tcW w:w="350" w:type="pct"/>
            <w:tcBorders>
              <w:top w:val="nil"/>
              <w:left w:val="nil"/>
              <w:bottom w:val="nil"/>
              <w:right w:val="nil"/>
            </w:tcBorders>
            <w:shd w:val="clear" w:color="000000" w:fill="BFBFBF"/>
            <w:vAlign w:val="center"/>
            <w:hideMark/>
          </w:tcPr>
          <w:p w14:paraId="20C1AC0C"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66,0</w:t>
            </w:r>
          </w:p>
        </w:tc>
        <w:tc>
          <w:tcPr>
            <w:tcW w:w="350" w:type="pct"/>
            <w:tcBorders>
              <w:top w:val="nil"/>
              <w:left w:val="nil"/>
              <w:bottom w:val="nil"/>
              <w:right w:val="nil"/>
            </w:tcBorders>
            <w:shd w:val="clear" w:color="000000" w:fill="BFBFBF"/>
            <w:vAlign w:val="center"/>
            <w:hideMark/>
          </w:tcPr>
          <w:p w14:paraId="40F2043A"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67,8</w:t>
            </w:r>
          </w:p>
        </w:tc>
        <w:tc>
          <w:tcPr>
            <w:tcW w:w="350" w:type="pct"/>
            <w:tcBorders>
              <w:top w:val="nil"/>
              <w:left w:val="nil"/>
              <w:bottom w:val="nil"/>
              <w:right w:val="nil"/>
            </w:tcBorders>
            <w:shd w:val="clear" w:color="000000" w:fill="BFBFBF"/>
            <w:vAlign w:val="center"/>
            <w:hideMark/>
          </w:tcPr>
          <w:p w14:paraId="1F9903EF"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66,2</w:t>
            </w:r>
          </w:p>
        </w:tc>
        <w:tc>
          <w:tcPr>
            <w:tcW w:w="350" w:type="pct"/>
            <w:tcBorders>
              <w:top w:val="nil"/>
              <w:left w:val="nil"/>
              <w:bottom w:val="nil"/>
              <w:right w:val="nil"/>
            </w:tcBorders>
            <w:shd w:val="clear" w:color="000000" w:fill="BFBFBF"/>
            <w:vAlign w:val="center"/>
            <w:hideMark/>
          </w:tcPr>
          <w:p w14:paraId="4C3899A7"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68,2</w:t>
            </w:r>
          </w:p>
        </w:tc>
        <w:tc>
          <w:tcPr>
            <w:tcW w:w="349" w:type="pct"/>
            <w:tcBorders>
              <w:top w:val="nil"/>
              <w:left w:val="nil"/>
              <w:bottom w:val="nil"/>
              <w:right w:val="nil"/>
            </w:tcBorders>
            <w:shd w:val="clear" w:color="000000" w:fill="BFBFBF"/>
            <w:vAlign w:val="center"/>
            <w:hideMark/>
          </w:tcPr>
          <w:p w14:paraId="326B6D7E"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66,4</w:t>
            </w:r>
          </w:p>
        </w:tc>
        <w:tc>
          <w:tcPr>
            <w:tcW w:w="349" w:type="pct"/>
            <w:tcBorders>
              <w:top w:val="nil"/>
              <w:left w:val="nil"/>
              <w:bottom w:val="nil"/>
              <w:right w:val="nil"/>
            </w:tcBorders>
            <w:shd w:val="clear" w:color="000000" w:fill="BFBFBF"/>
            <w:vAlign w:val="center"/>
            <w:hideMark/>
          </w:tcPr>
          <w:p w14:paraId="5E543BBC"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70,0</w:t>
            </w:r>
          </w:p>
        </w:tc>
        <w:tc>
          <w:tcPr>
            <w:tcW w:w="349" w:type="pct"/>
            <w:tcBorders>
              <w:top w:val="nil"/>
              <w:left w:val="nil"/>
              <w:bottom w:val="nil"/>
              <w:right w:val="nil"/>
            </w:tcBorders>
            <w:shd w:val="clear" w:color="000000" w:fill="BFBFBF"/>
            <w:vAlign w:val="center"/>
            <w:hideMark/>
          </w:tcPr>
          <w:p w14:paraId="608487A4"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67,5</w:t>
            </w:r>
          </w:p>
        </w:tc>
        <w:tc>
          <w:tcPr>
            <w:tcW w:w="349" w:type="pct"/>
            <w:tcBorders>
              <w:top w:val="nil"/>
              <w:left w:val="nil"/>
              <w:bottom w:val="nil"/>
              <w:right w:val="nil"/>
            </w:tcBorders>
            <w:shd w:val="clear" w:color="000000" w:fill="BFBFBF"/>
            <w:vAlign w:val="center"/>
            <w:hideMark/>
          </w:tcPr>
          <w:p w14:paraId="57549171" w14:textId="77777777"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67,0</w:t>
            </w:r>
          </w:p>
        </w:tc>
        <w:tc>
          <w:tcPr>
            <w:tcW w:w="731" w:type="pct"/>
            <w:tcBorders>
              <w:top w:val="nil"/>
              <w:left w:val="nil"/>
              <w:bottom w:val="nil"/>
              <w:right w:val="nil"/>
            </w:tcBorders>
            <w:shd w:val="clear" w:color="000000" w:fill="BFBFBF"/>
            <w:noWrap/>
            <w:vAlign w:val="center"/>
            <w:hideMark/>
          </w:tcPr>
          <w:p w14:paraId="625C8759" w14:textId="565858D3" w:rsidR="002610AA" w:rsidRPr="004C2CE5" w:rsidRDefault="002610AA" w:rsidP="002610AA">
            <w:pPr>
              <w:spacing w:after="0" w:line="240" w:lineRule="auto"/>
              <w:jc w:val="right"/>
              <w:rPr>
                <w:rFonts w:ascii="Arial" w:eastAsia="Times New Roman" w:hAnsi="Arial" w:cs="Arial"/>
                <w:b/>
                <w:bCs/>
                <w:color w:val="000000"/>
                <w:sz w:val="16"/>
                <w:szCs w:val="16"/>
                <w:lang w:eastAsia="nb-NO"/>
              </w:rPr>
            </w:pPr>
            <w:r w:rsidRPr="004C2CE5">
              <w:rPr>
                <w:rFonts w:ascii="Arial" w:eastAsia="Times New Roman" w:hAnsi="Arial" w:cs="Arial"/>
                <w:b/>
                <w:bCs/>
                <w:color w:val="000000"/>
                <w:sz w:val="16"/>
                <w:szCs w:val="16"/>
                <w:lang w:eastAsia="nb-NO"/>
              </w:rPr>
              <w:t>1</w:t>
            </w:r>
            <w:r>
              <w:rPr>
                <w:rFonts w:ascii="Arial" w:eastAsia="Times New Roman" w:hAnsi="Arial" w:cs="Arial"/>
                <w:b/>
                <w:bCs/>
                <w:color w:val="000000"/>
                <w:sz w:val="16"/>
                <w:szCs w:val="16"/>
                <w:lang w:eastAsia="nb-NO"/>
              </w:rPr>
              <w:t> </w:t>
            </w:r>
            <w:r w:rsidRPr="004C2CE5">
              <w:rPr>
                <w:rFonts w:ascii="Arial" w:eastAsia="Times New Roman" w:hAnsi="Arial" w:cs="Arial"/>
                <w:b/>
                <w:bCs/>
                <w:color w:val="000000"/>
                <w:sz w:val="16"/>
                <w:szCs w:val="16"/>
                <w:lang w:eastAsia="nb-NO"/>
              </w:rPr>
              <w:t>90</w:t>
            </w:r>
            <w:r>
              <w:rPr>
                <w:rFonts w:ascii="Arial" w:eastAsia="Times New Roman" w:hAnsi="Arial" w:cs="Arial"/>
                <w:b/>
                <w:bCs/>
                <w:color w:val="000000"/>
                <w:sz w:val="16"/>
                <w:szCs w:val="16"/>
                <w:lang w:eastAsia="nb-NO"/>
              </w:rPr>
              <w:t>9</w:t>
            </w:r>
          </w:p>
        </w:tc>
      </w:tr>
    </w:tbl>
    <w:p w14:paraId="360827EE" w14:textId="271CD2E7" w:rsidR="00414EFB" w:rsidRDefault="00414EFB" w:rsidP="00414EFB">
      <w:pPr>
        <w:pStyle w:val="Merknad"/>
      </w:pPr>
      <w:r>
        <w:t xml:space="preserve">Institusjoner </w:t>
      </w:r>
      <w:r w:rsidRPr="00414EFB">
        <w:t xml:space="preserve">med færre enn </w:t>
      </w:r>
      <w:r>
        <w:t>1</w:t>
      </w:r>
      <w:r w:rsidR="008C0319">
        <w:t>5</w:t>
      </w:r>
      <w:r w:rsidRPr="00414EFB">
        <w:t xml:space="preserve"> opptatt i 2016 er ikke inkludert i tabellen</w:t>
      </w:r>
    </w:p>
    <w:p w14:paraId="2C5B7BA0" w14:textId="77777777" w:rsidR="00827118" w:rsidRPr="00827118" w:rsidRDefault="00827118" w:rsidP="00827118">
      <w:pPr>
        <w:pStyle w:val="Kilde"/>
      </w:pPr>
      <w:r w:rsidRPr="00827118">
        <w:t xml:space="preserve">Kilde: </w:t>
      </w:r>
      <w:proofErr w:type="spellStart"/>
      <w:r w:rsidRPr="00827118">
        <w:t>DBH</w:t>
      </w:r>
      <w:proofErr w:type="spellEnd"/>
    </w:p>
    <w:p w14:paraId="787A3D36" w14:textId="77777777" w:rsidR="00827118" w:rsidRDefault="00827118" w:rsidP="00414EFB">
      <w:pPr>
        <w:pStyle w:val="Merknad"/>
      </w:pPr>
    </w:p>
    <w:p w14:paraId="0E99E3A5" w14:textId="2DDA980E" w:rsidR="00BD2DE1" w:rsidRDefault="00BD2DE1" w:rsidP="007A7379">
      <w:pPr>
        <w:rPr>
          <w:rFonts w:asciiTheme="majorHAnsi" w:eastAsiaTheme="majorEastAsia" w:hAnsiTheme="majorHAnsi" w:cstheme="majorBidi"/>
          <w:b/>
          <w:color w:val="362683"/>
          <w:sz w:val="24"/>
          <w:szCs w:val="26"/>
        </w:rPr>
      </w:pPr>
      <w:r>
        <w:br w:type="page"/>
      </w:r>
    </w:p>
    <w:p w14:paraId="0B9B5430" w14:textId="58E61AAA" w:rsidR="00C32BDB" w:rsidRDefault="005B7C11" w:rsidP="00AE4B98">
      <w:pPr>
        <w:pStyle w:val="Overskrift3"/>
      </w:pPr>
      <w:bookmarkStart w:id="126" w:name="_Toc134792741"/>
      <w:r>
        <w:lastRenderedPageBreak/>
        <w:t xml:space="preserve">Hvor </w:t>
      </w:r>
      <w:r w:rsidR="0010717B">
        <w:t>er doktorandene sysselsatt?</w:t>
      </w:r>
      <w:bookmarkEnd w:id="126"/>
    </w:p>
    <w:p w14:paraId="73F39239" w14:textId="6C3F9CF2" w:rsidR="0070642D" w:rsidRDefault="00413A57" w:rsidP="3F9FB6A3">
      <w:r>
        <w:t xml:space="preserve">Forskerrekrutteringsmonitoren i SSB </w:t>
      </w:r>
      <w:r w:rsidR="00DF7610">
        <w:t xml:space="preserve">følger karriereutviklingen </w:t>
      </w:r>
      <w:r w:rsidR="0071491E">
        <w:t xml:space="preserve">i Norge for personer som er tatt </w:t>
      </w:r>
      <w:r w:rsidR="004806FB">
        <w:t>opp på et doktorgradsprogram.</w:t>
      </w:r>
      <w:r w:rsidR="0022434F">
        <w:rPr>
          <w:rStyle w:val="Fotnotereferanse"/>
        </w:rPr>
        <w:footnoteReference w:id="9"/>
      </w:r>
      <w:r w:rsidR="006A47ED">
        <w:t xml:space="preserve"> </w:t>
      </w:r>
      <w:r w:rsidR="006A47ED">
        <w:fldChar w:fldCharType="begin"/>
      </w:r>
      <w:r w:rsidR="006A47ED">
        <w:instrText xml:space="preserve"> REF _Ref133168262 \h </w:instrText>
      </w:r>
      <w:r w:rsidR="006A47ED">
        <w:fldChar w:fldCharType="separate"/>
      </w:r>
      <w:r w:rsidR="00F262EF">
        <w:t xml:space="preserve">Figur </w:t>
      </w:r>
      <w:r w:rsidR="00F262EF">
        <w:rPr>
          <w:noProof/>
        </w:rPr>
        <w:t>3</w:t>
      </w:r>
      <w:r w:rsidR="00F262EF">
        <w:t>.</w:t>
      </w:r>
      <w:r w:rsidR="00F262EF">
        <w:rPr>
          <w:noProof/>
        </w:rPr>
        <w:t>4</w:t>
      </w:r>
      <w:r w:rsidR="006A47ED">
        <w:fldChar w:fldCharType="end"/>
      </w:r>
      <w:r w:rsidR="006A47ED">
        <w:t xml:space="preserve"> </w:t>
      </w:r>
      <w:r w:rsidR="00AA79F5">
        <w:t>og</w:t>
      </w:r>
      <w:r w:rsidR="006A47ED">
        <w:t xml:space="preserve"> </w:t>
      </w:r>
      <w:r w:rsidR="006A47ED">
        <w:fldChar w:fldCharType="begin"/>
      </w:r>
      <w:r w:rsidR="006A47ED">
        <w:instrText xml:space="preserve"> REF  _Ref133168280 \* Lower \h </w:instrText>
      </w:r>
      <w:r w:rsidR="006A47ED">
        <w:fldChar w:fldCharType="separate"/>
      </w:r>
      <w:r w:rsidR="00F262EF">
        <w:t xml:space="preserve">figur </w:t>
      </w:r>
      <w:r w:rsidR="00F262EF">
        <w:rPr>
          <w:noProof/>
        </w:rPr>
        <w:t>3</w:t>
      </w:r>
      <w:r w:rsidR="00F262EF">
        <w:t>.</w:t>
      </w:r>
      <w:r w:rsidR="00F262EF">
        <w:rPr>
          <w:noProof/>
        </w:rPr>
        <w:t>5</w:t>
      </w:r>
      <w:r w:rsidR="006A47ED">
        <w:fldChar w:fldCharType="end"/>
      </w:r>
      <w:r w:rsidR="006A47ED">
        <w:t xml:space="preserve"> </w:t>
      </w:r>
      <w:r w:rsidR="00AA79F5">
        <w:t xml:space="preserve">viser </w:t>
      </w:r>
      <w:r w:rsidR="00444543">
        <w:t>arbeidssted</w:t>
      </w:r>
      <w:r w:rsidR="00C9381A">
        <w:t xml:space="preserve"> </w:t>
      </w:r>
      <w:r w:rsidR="005C6728">
        <w:t>per 1. oktober</w:t>
      </w:r>
      <w:r w:rsidR="00EC0714">
        <w:t xml:space="preserve"> 202</w:t>
      </w:r>
      <w:r w:rsidR="005C6728">
        <w:t>1</w:t>
      </w:r>
      <w:r w:rsidR="00934499">
        <w:t xml:space="preserve"> </w:t>
      </w:r>
      <w:r w:rsidR="00C9381A">
        <w:t xml:space="preserve">for henholdsvis norske og utenlandske </w:t>
      </w:r>
      <w:r w:rsidR="00AE604F">
        <w:t xml:space="preserve">statsborgere tatt opp på </w:t>
      </w:r>
      <w:r w:rsidR="00F738D2">
        <w:t xml:space="preserve">doktorgradsprogram i perioden </w:t>
      </w:r>
      <w:r w:rsidR="007215FC">
        <w:t>2005</w:t>
      </w:r>
      <w:r w:rsidR="00A16B62">
        <w:t>–</w:t>
      </w:r>
      <w:r w:rsidR="007215FC">
        <w:t xml:space="preserve">2015 og som har </w:t>
      </w:r>
      <w:r w:rsidR="00FB16C2">
        <w:t xml:space="preserve">avlagt doktorgrad </w:t>
      </w:r>
      <w:r w:rsidR="00F41C76">
        <w:t>mellom 2013 og</w:t>
      </w:r>
      <w:r w:rsidR="006A7F9A">
        <w:t xml:space="preserve"> 2021.</w:t>
      </w:r>
    </w:p>
    <w:p w14:paraId="4521E3E1" w14:textId="463C672F" w:rsidR="00320209" w:rsidRDefault="00320209" w:rsidP="00320209">
      <w:pPr>
        <w:pStyle w:val="Bildetekst"/>
        <w:keepNext/>
      </w:pPr>
      <w:bookmarkStart w:id="127" w:name="_Ref129261948"/>
      <w:bookmarkStart w:id="128" w:name="_Ref133168262"/>
      <w:bookmarkStart w:id="129" w:name="_Toc134792786"/>
      <w:r>
        <w:t xml:space="preserve">Figur </w:t>
      </w:r>
      <w:bookmarkEnd w:id="127"/>
      <w:r w:rsidR="004F2208">
        <w:fldChar w:fldCharType="begin"/>
      </w:r>
      <w:r w:rsidR="004F2208">
        <w:instrText xml:space="preserve"> STYLEREF 1 \s </w:instrText>
      </w:r>
      <w:r w:rsidR="004F2208">
        <w:fldChar w:fldCharType="separate"/>
      </w:r>
      <w:r w:rsidR="00F262EF">
        <w:rPr>
          <w:noProof/>
        </w:rPr>
        <w:t>3</w:t>
      </w:r>
      <w:r w:rsidR="004F2208">
        <w:fldChar w:fldCharType="end"/>
      </w:r>
      <w:r w:rsidR="004F2208">
        <w:t>.</w:t>
      </w:r>
      <w:r>
        <w:fldChar w:fldCharType="begin"/>
      </w:r>
      <w:r>
        <w:instrText>SEQ Figur \* ARABIC \s 1</w:instrText>
      </w:r>
      <w:r>
        <w:fldChar w:fldCharType="separate"/>
      </w:r>
      <w:r w:rsidR="00F262EF">
        <w:rPr>
          <w:noProof/>
        </w:rPr>
        <w:t>4</w:t>
      </w:r>
      <w:r>
        <w:fldChar w:fldCharType="end"/>
      </w:r>
      <w:bookmarkEnd w:id="128"/>
      <w:r>
        <w:t xml:space="preserve"> </w:t>
      </w:r>
      <w:r w:rsidR="00AA28A1" w:rsidRPr="00AA28A1">
        <w:t xml:space="preserve">Arbeidssted </w:t>
      </w:r>
      <w:r w:rsidR="001F7DCD">
        <w:t>i</w:t>
      </w:r>
      <w:r w:rsidR="00AE604F">
        <w:t xml:space="preserve"> 202</w:t>
      </w:r>
      <w:r w:rsidR="005C6728">
        <w:t>1</w:t>
      </w:r>
      <w:r w:rsidR="00AE604F">
        <w:t xml:space="preserve"> </w:t>
      </w:r>
      <w:r w:rsidR="00AA28A1" w:rsidRPr="00AA28A1">
        <w:t xml:space="preserve">for personer som har avlagt doktorgrad </w:t>
      </w:r>
      <w:r w:rsidR="00F41C76">
        <w:t>mellom 2013 og</w:t>
      </w:r>
      <w:r w:rsidR="00AA28A1" w:rsidRPr="00AA28A1">
        <w:t xml:space="preserve"> 2021. </w:t>
      </w:r>
      <w:r w:rsidR="008F5883">
        <w:t>P</w:t>
      </w:r>
      <w:r w:rsidR="00AA28A1" w:rsidRPr="00AA28A1">
        <w:t>rosentvis fordeling</w:t>
      </w:r>
      <w:r w:rsidR="005D1618">
        <w:t>. Norske statsborgere</w:t>
      </w:r>
      <w:r w:rsidR="00600CD2">
        <w:rPr>
          <w:rStyle w:val="Fotnotereferanse"/>
        </w:rPr>
        <w:footnoteReference w:id="10"/>
      </w:r>
      <w:bookmarkEnd w:id="129"/>
    </w:p>
    <w:p w14:paraId="79E58528" w14:textId="27E265B2" w:rsidR="00BD2DE1" w:rsidRPr="00BD2DE1" w:rsidRDefault="00277F10" w:rsidP="00BD2DE1">
      <w:r>
        <w:rPr>
          <w:noProof/>
        </w:rPr>
        <w:drawing>
          <wp:inline distT="0" distB="0" distL="0" distR="0" wp14:anchorId="486A40F0" wp14:editId="200E5B68">
            <wp:extent cx="4695825" cy="4173856"/>
            <wp:effectExtent l="0" t="0" r="0" b="0"/>
            <wp:docPr id="11" name="Diagram 11">
              <a:extLst xmlns:a="http://schemas.openxmlformats.org/drawingml/2006/main">
                <a:ext uri="{FF2B5EF4-FFF2-40B4-BE49-F238E27FC236}">
                  <a16:creationId xmlns:a16="http://schemas.microsoft.com/office/drawing/2014/main" id="{00B5DC92-96D8-E532-3713-0652D57ED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56D98EF" w14:textId="5F8AE544" w:rsidR="0057179E" w:rsidRDefault="005D1618" w:rsidP="004C0246">
      <w:pPr>
        <w:pStyle w:val="Kilde"/>
      </w:pPr>
      <w:r>
        <w:t>Kilde:</w:t>
      </w:r>
      <w:r w:rsidR="00E008CD">
        <w:t xml:space="preserve"> </w:t>
      </w:r>
      <w:r w:rsidR="00E008CD" w:rsidRPr="00E008CD">
        <w:t>Statistisk sentralbyrå, FoU-statistikk</w:t>
      </w:r>
    </w:p>
    <w:p w14:paraId="2C2D4A5D" w14:textId="13E7B1FD" w:rsidR="00E6454D" w:rsidRDefault="00F41E8C" w:rsidP="0057179E">
      <w:r>
        <w:t xml:space="preserve">Av de norske statsborgerne arbeidet </w:t>
      </w:r>
      <w:r w:rsidR="00AD075B">
        <w:t>om lag halvparten i univer</w:t>
      </w:r>
      <w:r w:rsidR="008F210C">
        <w:t xml:space="preserve">sitets- og høyskolesektoren eller </w:t>
      </w:r>
      <w:r w:rsidR="00432436">
        <w:t xml:space="preserve">instituttsektoren. </w:t>
      </w:r>
      <w:r w:rsidR="00BB0E59">
        <w:t xml:space="preserve">I tillegg </w:t>
      </w:r>
      <w:r w:rsidR="004A11AF">
        <w:t>arbeidet</w:t>
      </w:r>
      <w:r w:rsidR="00432436">
        <w:t xml:space="preserve"> </w:t>
      </w:r>
      <w:r w:rsidR="00EC3E35">
        <w:t>14 prosent</w:t>
      </w:r>
      <w:r w:rsidR="00BB0E59">
        <w:t xml:space="preserve"> med FoU-arbeid</w:t>
      </w:r>
      <w:r w:rsidR="00EC3E35">
        <w:t xml:space="preserve"> i </w:t>
      </w:r>
      <w:r w:rsidR="000C1AEE">
        <w:t xml:space="preserve">helseforetak og </w:t>
      </w:r>
      <w:r w:rsidR="00E16601">
        <w:t xml:space="preserve">2 prosent </w:t>
      </w:r>
      <w:r w:rsidR="00455ADB">
        <w:t xml:space="preserve">drev </w:t>
      </w:r>
      <w:r w:rsidR="00E16601">
        <w:t xml:space="preserve">med </w:t>
      </w:r>
      <w:r w:rsidR="00F522E2">
        <w:t>FoU-arbeid</w:t>
      </w:r>
      <w:r w:rsidR="00791090">
        <w:t xml:space="preserve"> andre steder, hovedsakelig</w:t>
      </w:r>
      <w:r w:rsidR="00E16601">
        <w:t xml:space="preserve"> </w:t>
      </w:r>
      <w:r w:rsidR="00791090">
        <w:t>i privat sektor</w:t>
      </w:r>
      <w:r w:rsidR="00F522E2">
        <w:t xml:space="preserve">. </w:t>
      </w:r>
      <w:r w:rsidR="00AE6553">
        <w:t>14 prosent</w:t>
      </w:r>
      <w:r w:rsidR="009D1363">
        <w:t xml:space="preserve"> er</w:t>
      </w:r>
      <w:r w:rsidR="00CC0B2A">
        <w:t xml:space="preserve"> plassert i kategorien «andre næringer»</w:t>
      </w:r>
      <w:r w:rsidR="005F6926">
        <w:t xml:space="preserve">, mens 11 prosent </w:t>
      </w:r>
      <w:r w:rsidR="00E471D8">
        <w:t>var sysselsatt innen helsetjenester.</w:t>
      </w:r>
    </w:p>
    <w:p w14:paraId="55EF776B" w14:textId="3D0EE35E" w:rsidR="005D1618" w:rsidRDefault="005D1618" w:rsidP="0057179E"/>
    <w:p w14:paraId="5EC534B6" w14:textId="11889D36" w:rsidR="005D1618" w:rsidRDefault="005D1618" w:rsidP="005D1618">
      <w:pPr>
        <w:pStyle w:val="Bildetekst"/>
        <w:keepNext/>
      </w:pPr>
      <w:bookmarkStart w:id="130" w:name="_Ref129261957"/>
      <w:bookmarkStart w:id="131" w:name="_Ref133168280"/>
      <w:bookmarkStart w:id="132" w:name="_Toc134792787"/>
      <w:r>
        <w:lastRenderedPageBreak/>
        <w:t xml:space="preserve">Figur </w:t>
      </w:r>
      <w:bookmarkEnd w:id="130"/>
      <w:r w:rsidR="004F2208">
        <w:fldChar w:fldCharType="begin"/>
      </w:r>
      <w:r w:rsidR="004F2208">
        <w:instrText xml:space="preserve"> STYLEREF 1 \s </w:instrText>
      </w:r>
      <w:r w:rsidR="004F2208">
        <w:fldChar w:fldCharType="separate"/>
      </w:r>
      <w:r w:rsidR="00F262EF">
        <w:rPr>
          <w:noProof/>
        </w:rPr>
        <w:t>3</w:t>
      </w:r>
      <w:r w:rsidR="004F2208">
        <w:fldChar w:fldCharType="end"/>
      </w:r>
      <w:r w:rsidR="004F2208">
        <w:t>.</w:t>
      </w:r>
      <w:r>
        <w:fldChar w:fldCharType="begin"/>
      </w:r>
      <w:r>
        <w:instrText>SEQ Figur \* ARABIC \s 1</w:instrText>
      </w:r>
      <w:r>
        <w:fldChar w:fldCharType="separate"/>
      </w:r>
      <w:r w:rsidR="00F262EF">
        <w:rPr>
          <w:noProof/>
        </w:rPr>
        <w:t>5</w:t>
      </w:r>
      <w:r>
        <w:fldChar w:fldCharType="end"/>
      </w:r>
      <w:bookmarkEnd w:id="131"/>
      <w:r>
        <w:t xml:space="preserve"> </w:t>
      </w:r>
      <w:r w:rsidRPr="008C6BDA">
        <w:t>Arbeidssted</w:t>
      </w:r>
      <w:r w:rsidR="001F7DCD">
        <w:t xml:space="preserve"> i 2021</w:t>
      </w:r>
      <w:r w:rsidRPr="008C6BDA">
        <w:t xml:space="preserve"> for personer som har avlagt doktorgrad </w:t>
      </w:r>
      <w:r w:rsidR="00F41C76">
        <w:t>mellom 2013 og</w:t>
      </w:r>
      <w:r w:rsidRPr="008C6BDA">
        <w:t xml:space="preserve"> 2021. Prosentvis fordeling. </w:t>
      </w:r>
      <w:r>
        <w:t>Utenlandske</w:t>
      </w:r>
      <w:r w:rsidRPr="008C6BDA">
        <w:t xml:space="preserve"> statsborgere.</w:t>
      </w:r>
      <w:r w:rsidR="008D7071">
        <w:rPr>
          <w:rStyle w:val="Fotnotereferanse"/>
        </w:rPr>
        <w:footnoteReference w:id="11"/>
      </w:r>
      <w:bookmarkEnd w:id="132"/>
    </w:p>
    <w:p w14:paraId="009C3AC5" w14:textId="1C2516FC" w:rsidR="00BD2DE1" w:rsidRDefault="004828BC" w:rsidP="006350F5">
      <w:pPr>
        <w:rPr>
          <w:rFonts w:asciiTheme="majorHAnsi" w:eastAsiaTheme="majorEastAsia" w:hAnsiTheme="majorHAnsi" w:cstheme="majorBidi"/>
          <w:b/>
          <w:color w:val="362683"/>
          <w:sz w:val="24"/>
          <w:szCs w:val="26"/>
        </w:rPr>
      </w:pPr>
      <w:r>
        <w:rPr>
          <w:noProof/>
        </w:rPr>
        <w:drawing>
          <wp:inline distT="0" distB="0" distL="0" distR="0" wp14:anchorId="62B36499" wp14:editId="616F2C5C">
            <wp:extent cx="4705350" cy="4076293"/>
            <wp:effectExtent l="0" t="0" r="0" b="635"/>
            <wp:docPr id="12" name="Diagram 12">
              <a:extLst xmlns:a="http://schemas.openxmlformats.org/drawingml/2006/main">
                <a:ext uri="{FF2B5EF4-FFF2-40B4-BE49-F238E27FC236}">
                  <a16:creationId xmlns:a16="http://schemas.microsoft.com/office/drawing/2014/main" id="{83FA206D-3011-302C-8139-292CAFC8B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03558A4" w14:textId="6237E710" w:rsidR="00540FE8" w:rsidRDefault="004C0246" w:rsidP="00713B59">
      <w:pPr>
        <w:pStyle w:val="Kilde"/>
      </w:pPr>
      <w:r w:rsidRPr="00713B59">
        <w:t xml:space="preserve">Kilde: </w:t>
      </w:r>
      <w:r w:rsidR="00E008CD" w:rsidRPr="00E008CD">
        <w:t>Statistisk sentralbyrå, FoU-statistikk</w:t>
      </w:r>
    </w:p>
    <w:p w14:paraId="28AEB3F4" w14:textId="5B8697CD" w:rsidR="007A7FAB" w:rsidRPr="00713B59" w:rsidRDefault="00540FE8">
      <w:pPr>
        <w:rPr>
          <w:rFonts w:asciiTheme="majorHAnsi" w:eastAsiaTheme="majorEastAsia" w:hAnsiTheme="majorHAnsi" w:cstheme="majorBidi"/>
          <w:color w:val="362683"/>
          <w:sz w:val="24"/>
          <w:szCs w:val="26"/>
        </w:rPr>
      </w:pPr>
      <w:r>
        <w:t xml:space="preserve">Den største forskjellen mellom norske og utenlandske statsborgere er at </w:t>
      </w:r>
      <w:r w:rsidR="00E4437A">
        <w:t xml:space="preserve">mange av de utenlandske statsborgerne har forlatt landet. </w:t>
      </w:r>
      <w:r w:rsidR="00924DDD">
        <w:t xml:space="preserve">I </w:t>
      </w:r>
      <w:r w:rsidR="002C088A">
        <w:fldChar w:fldCharType="begin"/>
      </w:r>
      <w:r w:rsidR="002C088A">
        <w:instrText xml:space="preserve"> REF  _Ref133168280 \* Lower \h </w:instrText>
      </w:r>
      <w:r w:rsidR="002C088A">
        <w:fldChar w:fldCharType="separate"/>
      </w:r>
      <w:r w:rsidR="00F262EF">
        <w:t xml:space="preserve">figur </w:t>
      </w:r>
      <w:r w:rsidR="00F262EF">
        <w:rPr>
          <w:noProof/>
        </w:rPr>
        <w:t>3</w:t>
      </w:r>
      <w:r w:rsidR="00F262EF">
        <w:t>.</w:t>
      </w:r>
      <w:r w:rsidR="00F262EF">
        <w:rPr>
          <w:noProof/>
        </w:rPr>
        <w:t>5</w:t>
      </w:r>
      <w:r w:rsidR="002C088A">
        <w:fldChar w:fldCharType="end"/>
      </w:r>
      <w:r w:rsidR="00924DDD">
        <w:t xml:space="preserve"> står nesten halvparten oppgitt med </w:t>
      </w:r>
      <w:r w:rsidR="00E4437A">
        <w:t xml:space="preserve">«ukjent» </w:t>
      </w:r>
      <w:r w:rsidR="00924DDD">
        <w:t>sysselsettingssted. Dette er personer som p</w:t>
      </w:r>
      <w:r w:rsidR="00766DAA">
        <w:t>er</w:t>
      </w:r>
      <w:r w:rsidR="00924DDD">
        <w:t xml:space="preserve"> 2021</w:t>
      </w:r>
      <w:r w:rsidR="00EC69AD">
        <w:t xml:space="preserve"> ikke </w:t>
      </w:r>
      <w:r w:rsidR="005D21EE">
        <w:t>er</w:t>
      </w:r>
      <w:r w:rsidR="00EC69AD">
        <w:t xml:space="preserve"> registrert som sysselsatte i Norge, </w:t>
      </w:r>
      <w:r w:rsidR="00C95719">
        <w:t xml:space="preserve">og </w:t>
      </w:r>
      <w:r w:rsidR="006664AB">
        <w:t xml:space="preserve">SSB antar at de fleste av disse har </w:t>
      </w:r>
      <w:r w:rsidR="00090D2F">
        <w:t xml:space="preserve">flyttet ut av </w:t>
      </w:r>
      <w:r w:rsidR="003A6686">
        <w:t>Norge</w:t>
      </w:r>
      <w:r w:rsidR="006664AB" w:rsidDel="005D3E73">
        <w:t>.</w:t>
      </w:r>
      <w:r>
        <w:t xml:space="preserve"> </w:t>
      </w:r>
      <w:r w:rsidR="0039698A">
        <w:t>For</w:t>
      </w:r>
      <w:r w:rsidR="005D3E73">
        <w:t xml:space="preserve"> utenlandske statsborgere</w:t>
      </w:r>
      <w:r w:rsidR="00F52E7A">
        <w:t xml:space="preserve"> </w:t>
      </w:r>
      <w:r w:rsidR="00192B7E">
        <w:t xml:space="preserve">i denne statistikken </w:t>
      </w:r>
      <w:r w:rsidR="00D131D0">
        <w:t xml:space="preserve">som var i </w:t>
      </w:r>
      <w:r w:rsidR="00805927">
        <w:t>arbeid i Norge i 2021</w:t>
      </w:r>
      <w:r w:rsidR="00D1148A">
        <w:t>,</w:t>
      </w:r>
      <w:r w:rsidR="0039698A">
        <w:t xml:space="preserve"> var sysselsettingsmønsteret</w:t>
      </w:r>
      <w:r w:rsidR="0039698A" w:rsidDel="00C76DEB">
        <w:t xml:space="preserve"> </w:t>
      </w:r>
      <w:r w:rsidR="00893176" w:rsidDel="00C76DEB">
        <w:t>ikke</w:t>
      </w:r>
      <w:r w:rsidR="00893176">
        <w:t xml:space="preserve"> svært ulikt det vi så for norske statsborgere. </w:t>
      </w:r>
      <w:r w:rsidR="00381203">
        <w:t>Den største forskjellen er at</w:t>
      </w:r>
      <w:r w:rsidR="00894182">
        <w:t xml:space="preserve"> andelen</w:t>
      </w:r>
      <w:r w:rsidR="00381203" w:rsidDel="00894182">
        <w:t xml:space="preserve"> </w:t>
      </w:r>
      <w:r w:rsidR="00C76DEB">
        <w:t xml:space="preserve">utenlandske statsborgere </w:t>
      </w:r>
      <w:r w:rsidR="00381203">
        <w:t>sysselsatt i helseforetak med FoU-arbeid eller inne</w:t>
      </w:r>
      <w:r w:rsidR="00927706">
        <w:t>n</w:t>
      </w:r>
      <w:r w:rsidR="00381203">
        <w:t xml:space="preserve"> helsetjenester</w:t>
      </w:r>
      <w:r w:rsidR="00927706">
        <w:t xml:space="preserve"> er lavere</w:t>
      </w:r>
      <w:r w:rsidR="00381203">
        <w:t>.</w:t>
      </w:r>
      <w:r w:rsidR="00652E58">
        <w:t xml:space="preserve"> Motsatt er </w:t>
      </w:r>
      <w:r w:rsidR="007157EB">
        <w:t>en</w:t>
      </w:r>
      <w:r w:rsidR="00652E58">
        <w:t xml:space="preserve"> noe</w:t>
      </w:r>
      <w:r w:rsidR="00E604C6">
        <w:t xml:space="preserve"> større andel</w:t>
      </w:r>
      <w:r w:rsidR="00652E58" w:rsidDel="00E604C6">
        <w:t xml:space="preserve"> </w:t>
      </w:r>
      <w:r w:rsidR="00652E58">
        <w:t xml:space="preserve">ansatt i universitets- og høyskolesektoren, i </w:t>
      </w:r>
      <w:r w:rsidR="007777B1">
        <w:t xml:space="preserve">instituttsektoren </w:t>
      </w:r>
      <w:r w:rsidR="000F7AE8">
        <w:t>og i andre næringer.</w:t>
      </w:r>
    </w:p>
    <w:p w14:paraId="438F1ADB" w14:textId="77777777" w:rsidR="00805927" w:rsidRDefault="00805927">
      <w:pPr>
        <w:rPr>
          <w:rFonts w:asciiTheme="majorHAnsi" w:eastAsiaTheme="majorEastAsia" w:hAnsiTheme="majorHAnsi" w:cstheme="majorBidi"/>
          <w:b/>
          <w:color w:val="362683"/>
          <w:sz w:val="24"/>
          <w:szCs w:val="26"/>
        </w:rPr>
      </w:pPr>
      <w:r>
        <w:br w:type="page"/>
      </w:r>
    </w:p>
    <w:p w14:paraId="17B53B4C" w14:textId="6C9DF9EC" w:rsidR="006B4AFB" w:rsidRDefault="000D0A77" w:rsidP="00AE4B98">
      <w:pPr>
        <w:pStyle w:val="Overskrift3"/>
      </w:pPr>
      <w:bookmarkStart w:id="133" w:name="_Ref133159914"/>
      <w:bookmarkStart w:id="134" w:name="_Toc134792742"/>
      <w:r w:rsidRPr="000D0A77">
        <w:lastRenderedPageBreak/>
        <w:t xml:space="preserve">Publiseringspoeng </w:t>
      </w:r>
      <w:r w:rsidR="00751609">
        <w:t>–</w:t>
      </w:r>
      <w:r w:rsidRPr="000D0A77">
        <w:t xml:space="preserve"> nasjonal styringsparameter</w:t>
      </w:r>
      <w:bookmarkEnd w:id="133"/>
      <w:bookmarkEnd w:id="134"/>
    </w:p>
    <w:p w14:paraId="12D6BBDC" w14:textId="32E1F582" w:rsidR="00657816" w:rsidRDefault="00342631">
      <w:r>
        <w:t>For sektoren som helhet sank antall publiseringsp</w:t>
      </w:r>
      <w:r w:rsidR="00665AB2">
        <w:t>oe</w:t>
      </w:r>
      <w:r>
        <w:t>ng</w:t>
      </w:r>
      <w:r w:rsidR="00C23415">
        <w:t xml:space="preserve"> </w:t>
      </w:r>
      <w:r w:rsidR="007F5651">
        <w:t>i 2022</w:t>
      </w:r>
      <w:r w:rsidR="00823C13">
        <w:t xml:space="preserve"> for første gang</w:t>
      </w:r>
      <w:r>
        <w:t xml:space="preserve"> </w:t>
      </w:r>
      <w:r w:rsidR="00017A60">
        <w:t xml:space="preserve">i tiårsperioden. </w:t>
      </w:r>
      <w:r w:rsidR="00F81C7D">
        <w:t xml:space="preserve">Det </w:t>
      </w:r>
      <w:r w:rsidR="00F2540C">
        <w:t xml:space="preserve">henger trolig sammen med </w:t>
      </w:r>
      <w:r w:rsidR="00707687">
        <w:t>pandemi</w:t>
      </w:r>
      <w:r w:rsidR="00F2540C">
        <w:t>en</w:t>
      </w:r>
      <w:r w:rsidR="00707687">
        <w:t>.</w:t>
      </w:r>
      <w:r w:rsidR="00BA1027">
        <w:t xml:space="preserve"> </w:t>
      </w:r>
      <w:r w:rsidR="001F7D87">
        <w:t xml:space="preserve">En studie av NIFU i </w:t>
      </w:r>
      <w:r w:rsidR="00411F3B">
        <w:t xml:space="preserve">2021 konkluderte at </w:t>
      </w:r>
      <w:r w:rsidR="002C5299">
        <w:t>«faglig ansatte har brukt vesentlig mindre tid på forskning og mye mer tid på undervisning»</w:t>
      </w:r>
      <w:r w:rsidR="00EC0E27">
        <w:t xml:space="preserve"> </w:t>
      </w:r>
      <w:r w:rsidR="00F5165C">
        <w:fldChar w:fldCharType="begin"/>
      </w:r>
      <w:r w:rsidR="00F5165C">
        <w:instrText xml:space="preserve"> ADDIN EN.CITE &lt;EndNote&gt;&lt;Cite&gt;&lt;Author&gt;Solberg&lt;/Author&gt;&lt;Year&gt;2021&lt;/Year&gt;&lt;RecNum&gt;1477&lt;/RecNum&gt;&lt;DisplayText&gt;(Solberg et al., 2021)&lt;/DisplayText&gt;&lt;record&gt;&lt;rec-number&gt;1477&lt;/rec-number&gt;&lt;foreign-keys&gt;&lt;key app="EN" db-id="s09wp0wxtwz9aue509w52eagvset90vxefrw" timestamp="1683212898" guid="3a7d3f71-8aa9-456c-94fe-2a3515660bf7"&gt;1477&lt;/key&gt;&lt;/foreign-keys&gt;&lt;ref-type name="Report"&gt;27&lt;/ref-type&gt;&lt;contributors&gt;&lt;authors&gt;&lt;author&gt;Solberg, Espen &lt;/author&gt;&lt;author&gt;Hovdhaugen, Elisabeth&lt;/author&gt;&lt;author&gt;Gulbrandsen, Magnus&lt;/author&gt;&lt;author&gt;Scordato, Lisa&lt;/author&gt;&lt;author&gt;Svartefoss, Silje Marie&lt;/author&gt;&lt;author&gt;Eide, Thea&lt;/author&gt;&lt;/authors&gt;&lt;tertiary-authors&gt;&lt;author&gt;NIFU&lt;/author&gt;&lt;/tertiary-authors&gt;&lt;/contributors&gt;&lt;titles&gt;&lt;title&gt;Et akademisk annerledesår: Konsekvenser og håndtering av koronapandemien ved norske universiteter og høgskoler&lt;/title&gt;&lt;/titles&gt;&lt;dates&gt;&lt;year&gt;2021&lt;/year&gt;&lt;/dates&gt;&lt;publisher&gt;NIFU&lt;/publisher&gt;&lt;isbn&gt;NIFU-rapport 2021:9&lt;/isbn&gt;&lt;urls&gt;&lt;related-urls&gt;&lt;url&gt;https://nifu.brage.unit.no/nifu-xmlui/handle/11250/2737339&lt;/url&gt;&lt;/related-urls&gt;&lt;/urls&gt;&lt;/record&gt;&lt;/Cite&gt;&lt;/EndNote&gt;</w:instrText>
      </w:r>
      <w:r w:rsidR="00F5165C">
        <w:fldChar w:fldCharType="separate"/>
      </w:r>
      <w:r w:rsidR="00F5165C">
        <w:rPr>
          <w:noProof/>
        </w:rPr>
        <w:t>(Solberg et al., 2021)</w:t>
      </w:r>
      <w:r w:rsidR="00F5165C">
        <w:fldChar w:fldCharType="end"/>
      </w:r>
      <w:r w:rsidR="002C5299">
        <w:t>.</w:t>
      </w:r>
      <w:r w:rsidR="0092621B">
        <w:t xml:space="preserve"> </w:t>
      </w:r>
      <w:r w:rsidR="00687CA9">
        <w:t>Det</w:t>
      </w:r>
      <w:r w:rsidR="00EA4A18">
        <w:t xml:space="preserve"> er sannsynlig at dette </w:t>
      </w:r>
      <w:r w:rsidR="00687CA9">
        <w:t xml:space="preserve">fikk </w:t>
      </w:r>
      <w:r w:rsidR="00EA4A18">
        <w:t xml:space="preserve">følger </w:t>
      </w:r>
      <w:r w:rsidR="00687CA9">
        <w:t xml:space="preserve">også </w:t>
      </w:r>
      <w:r w:rsidR="003F3CEC">
        <w:t>vitenskapelig publisering</w:t>
      </w:r>
      <w:r w:rsidR="00010795">
        <w:t xml:space="preserve">, men </w:t>
      </w:r>
      <w:r w:rsidR="00666EE3">
        <w:t>publisering</w:t>
      </w:r>
      <w:r w:rsidR="005C419E">
        <w:t xml:space="preserve">sprosessen tar </w:t>
      </w:r>
      <w:r w:rsidR="0046777D">
        <w:t xml:space="preserve">lang tid, så </w:t>
      </w:r>
      <w:r w:rsidR="000E01FB">
        <w:t xml:space="preserve">det blir stor </w:t>
      </w:r>
      <w:r w:rsidR="00CD078E">
        <w:t>forsinkelse</w:t>
      </w:r>
      <w:r w:rsidR="00322CE5">
        <w:t xml:space="preserve"> mellom årsak og effekt.</w:t>
      </w:r>
      <w:r w:rsidR="00882464">
        <w:t xml:space="preserve"> </w:t>
      </w:r>
      <w:r w:rsidR="00377033">
        <w:t>I</w:t>
      </w:r>
      <w:r w:rsidR="007B1A54">
        <w:t xml:space="preserve"> </w:t>
      </w:r>
      <w:r w:rsidR="00FB68C2">
        <w:t>2022 sank</w:t>
      </w:r>
      <w:r w:rsidR="00656545">
        <w:t xml:space="preserve"> </w:t>
      </w:r>
      <w:r w:rsidR="006B1948">
        <w:t xml:space="preserve">det totale antallet publiseringspoeng </w:t>
      </w:r>
      <w:r w:rsidR="003E3703">
        <w:t xml:space="preserve">til </w:t>
      </w:r>
      <w:r w:rsidR="006C7EB1">
        <w:t xml:space="preserve">noe over </w:t>
      </w:r>
      <w:r w:rsidR="003838EB">
        <w:t>nivået for 2020.</w:t>
      </w:r>
    </w:p>
    <w:p w14:paraId="0A4F8C79" w14:textId="55E5A8EE" w:rsidR="004B5A75" w:rsidRDefault="003838EB">
      <w:proofErr w:type="spellStart"/>
      <w:r>
        <w:t>Vedleggstabell</w:t>
      </w:r>
      <w:proofErr w:type="spellEnd"/>
      <w:r>
        <w:t xml:space="preserve"> </w:t>
      </w:r>
      <w:hyperlink r:id="rId95" w:history="1">
        <w:r w:rsidRPr="00F86B31">
          <w:rPr>
            <w:rStyle w:val="Hyperkobling"/>
          </w:rPr>
          <w:t>V3.16</w:t>
        </w:r>
      </w:hyperlink>
      <w:r>
        <w:t xml:space="preserve"> viser </w:t>
      </w:r>
      <w:r w:rsidR="006B52E4">
        <w:t>publiseringspoeng per institusjon.</w:t>
      </w:r>
      <w:r w:rsidR="00657816">
        <w:t xml:space="preserve"> </w:t>
      </w:r>
      <w:r w:rsidR="00A92480">
        <w:t xml:space="preserve">Samlet sett var nedgangen fra 2021 til 2022 </w:t>
      </w:r>
      <w:r w:rsidR="00697788">
        <w:t xml:space="preserve">på </w:t>
      </w:r>
      <w:r w:rsidR="000063C3">
        <w:t>7 prosent, men d</w:t>
      </w:r>
      <w:r w:rsidR="00974A09">
        <w:t>et er stor forskjell mellom instit</w:t>
      </w:r>
      <w:r w:rsidR="00671B4D">
        <w:t xml:space="preserve">usjonene. </w:t>
      </w:r>
      <w:r w:rsidR="005C7A7A">
        <w:t xml:space="preserve">Mens </w:t>
      </w:r>
      <w:proofErr w:type="spellStart"/>
      <w:r w:rsidR="005C7A7A">
        <w:t>HiM</w:t>
      </w:r>
      <w:proofErr w:type="spellEnd"/>
      <w:r w:rsidR="005C7A7A">
        <w:t xml:space="preserve"> og NIH begge hadde en nedgang på mer enn 20 prosent</w:t>
      </w:r>
      <w:r w:rsidR="00BD6C51">
        <w:t xml:space="preserve">, </w:t>
      </w:r>
      <w:r w:rsidR="004F412D">
        <w:t>hadde</w:t>
      </w:r>
      <w:r w:rsidR="005378AC">
        <w:t xml:space="preserve"> SH,</w:t>
      </w:r>
      <w:r w:rsidR="004F412D">
        <w:t xml:space="preserve"> </w:t>
      </w:r>
      <w:proofErr w:type="spellStart"/>
      <w:r w:rsidR="00B43915">
        <w:t>HINN</w:t>
      </w:r>
      <w:proofErr w:type="spellEnd"/>
      <w:r w:rsidR="00B43915">
        <w:t xml:space="preserve">, </w:t>
      </w:r>
      <w:proofErr w:type="spellStart"/>
      <w:r w:rsidR="00B43915">
        <w:t>H</w:t>
      </w:r>
      <w:r w:rsidR="00AF50B3">
        <w:t>VL</w:t>
      </w:r>
      <w:proofErr w:type="spellEnd"/>
      <w:r w:rsidR="00AF50B3">
        <w:t xml:space="preserve">, </w:t>
      </w:r>
      <w:proofErr w:type="spellStart"/>
      <w:r w:rsidR="00AF50B3">
        <w:t>UiS</w:t>
      </w:r>
      <w:proofErr w:type="spellEnd"/>
      <w:r w:rsidR="00AF50B3">
        <w:t xml:space="preserve"> og HVO </w:t>
      </w:r>
      <w:r w:rsidR="00FA4FBA">
        <w:t>økning i antall publiseringspoeng.</w:t>
      </w:r>
      <w:r w:rsidR="00523E01">
        <w:t xml:space="preserve"> </w:t>
      </w:r>
      <w:r w:rsidR="006918FF">
        <w:t>Institusjoner med eksplisitte mål om å øke omfanget av publisering</w:t>
      </w:r>
      <w:r w:rsidR="007E1A3C">
        <w:t xml:space="preserve"> ser ut til å være overrepresentert blant institusjoner som unngikk nedgang i publiseringspoeng.</w:t>
      </w:r>
      <w:r w:rsidR="009E6DC5">
        <w:t xml:space="preserve"> </w:t>
      </w:r>
      <w:r w:rsidR="007B432C">
        <w:t>Alle de mest forskningstunge institusjonene hadde tilbakegang, men forskjellen var stor m</w:t>
      </w:r>
      <w:r w:rsidR="00ED7EFD">
        <w:t xml:space="preserve">ellom </w:t>
      </w:r>
      <w:proofErr w:type="spellStart"/>
      <w:r w:rsidR="00465AB0">
        <w:t>UiT</w:t>
      </w:r>
      <w:r w:rsidR="003E0E7A">
        <w:t>s</w:t>
      </w:r>
      <w:proofErr w:type="spellEnd"/>
      <w:r w:rsidR="003E0E7A">
        <w:t xml:space="preserve"> </w:t>
      </w:r>
      <w:r w:rsidR="003E0E7A" w:rsidDel="00093E32">
        <w:t xml:space="preserve">reduksjon på </w:t>
      </w:r>
      <w:r w:rsidR="00BC1807">
        <w:t>1 prosent og NTNU</w:t>
      </w:r>
      <w:r w:rsidR="00301263">
        <w:t>s</w:t>
      </w:r>
      <w:r w:rsidR="00BC1807">
        <w:t xml:space="preserve"> og UiB</w:t>
      </w:r>
      <w:r w:rsidR="00301263">
        <w:t>s</w:t>
      </w:r>
      <w:r w:rsidR="0081784B">
        <w:t xml:space="preserve"> nedgang på</w:t>
      </w:r>
      <w:r w:rsidR="00BC1807" w:rsidDel="0081784B">
        <w:t xml:space="preserve"> </w:t>
      </w:r>
      <w:r w:rsidR="009B0E32">
        <w:t>henholdsvis</w:t>
      </w:r>
      <w:r w:rsidR="00D91200">
        <w:t xml:space="preserve"> </w:t>
      </w:r>
      <w:r w:rsidR="009B0E32">
        <w:t>11 og 12 prosent</w:t>
      </w:r>
      <w:r w:rsidR="0019581E">
        <w:t>.</w:t>
      </w:r>
    </w:p>
    <w:p w14:paraId="3675AE7E" w14:textId="22A95B5C" w:rsidR="0019581E" w:rsidRDefault="0081036F">
      <w:r>
        <w:t xml:space="preserve">De private institusjonene sto for </w:t>
      </w:r>
      <w:r w:rsidR="00CD318F">
        <w:t xml:space="preserve">i underkant av 5 prosent av alle </w:t>
      </w:r>
      <w:r w:rsidR="00361F9C">
        <w:t xml:space="preserve">publiseringspoeng i </w:t>
      </w:r>
      <w:r w:rsidR="003704FD">
        <w:t>sektoren.</w:t>
      </w:r>
      <w:r w:rsidR="007154AA">
        <w:t xml:space="preserve"> </w:t>
      </w:r>
      <w:r w:rsidR="00316A61">
        <w:t>BI, VID og HK ha</w:t>
      </w:r>
      <w:r w:rsidR="00346DE7">
        <w:t>dde flest publiseringspoeng i 2022 blant de privat</w:t>
      </w:r>
      <w:r w:rsidR="008226A2">
        <w:t>e</w:t>
      </w:r>
      <w:r w:rsidR="006725A2">
        <w:t xml:space="preserve">, mens NLA utmerket seg med betydelig vekst. </w:t>
      </w:r>
      <w:r w:rsidR="0096703E">
        <w:t xml:space="preserve">Nedgangen </w:t>
      </w:r>
      <w:r w:rsidR="003704FD">
        <w:t>i 2022 for de private var noe lavere enn for de statlige</w:t>
      </w:r>
      <w:r w:rsidR="00EF4C37">
        <w:t>.</w:t>
      </w:r>
    </w:p>
    <w:p w14:paraId="19D7CA0F" w14:textId="5485D8C8" w:rsidR="00B547C8" w:rsidRDefault="00B547C8" w:rsidP="00B547C8">
      <w:pPr>
        <w:pStyle w:val="Bildetekst"/>
        <w:keepNext/>
      </w:pPr>
      <w:bookmarkStart w:id="135" w:name="_Ref133168402"/>
      <w:bookmarkStart w:id="136" w:name="_Toc134792788"/>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6</w:t>
      </w:r>
      <w:r>
        <w:fldChar w:fldCharType="end"/>
      </w:r>
      <w:bookmarkEnd w:id="135"/>
      <w:r>
        <w:t xml:space="preserve"> </w:t>
      </w:r>
      <w:r w:rsidRPr="00021B49">
        <w:t>Publiseringspoeng per faglig årsverk 2013–22. Antall</w:t>
      </w:r>
      <w:bookmarkEnd w:id="136"/>
    </w:p>
    <w:p w14:paraId="487AB235" w14:textId="571EB8DB" w:rsidR="00EF2C5E" w:rsidRDefault="00966AEB">
      <w:r>
        <w:rPr>
          <w:noProof/>
        </w:rPr>
        <w:drawing>
          <wp:inline distT="0" distB="0" distL="0" distR="0" wp14:anchorId="50A6886B" wp14:editId="030847FB">
            <wp:extent cx="5306096" cy="3026535"/>
            <wp:effectExtent l="0" t="0" r="8890" b="2540"/>
            <wp:docPr id="1635938840" name="Diagram 1">
              <a:extLst xmlns:a="http://schemas.openxmlformats.org/drawingml/2006/main">
                <a:ext uri="{FF2B5EF4-FFF2-40B4-BE49-F238E27FC236}">
                  <a16:creationId xmlns:a16="http://schemas.microsoft.com/office/drawing/2014/main" id="{EAFD387F-1298-404A-8D32-7638B67B5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68995D4" w14:textId="77777777" w:rsidR="00522932" w:rsidRPr="00522932" w:rsidRDefault="00522932" w:rsidP="001A4BFC">
      <w:pPr>
        <w:pStyle w:val="Merknad"/>
      </w:pPr>
      <w:r w:rsidRPr="00522932">
        <w:rPr>
          <w:lang w:eastAsia="nb-NO"/>
        </w:rPr>
        <w:t>Basert på ny beregning av publiseringspoeng.</w:t>
      </w:r>
    </w:p>
    <w:p w14:paraId="64633F7E" w14:textId="77777777" w:rsidR="001A4BFC" w:rsidRDefault="001A4BFC" w:rsidP="006B0661">
      <w:pPr>
        <w:pStyle w:val="Kilde"/>
      </w:pPr>
      <w:r>
        <w:t xml:space="preserve">Kilde: </w:t>
      </w:r>
      <w:proofErr w:type="spellStart"/>
      <w:r>
        <w:t>DBH</w:t>
      </w:r>
      <w:proofErr w:type="spellEnd"/>
    </w:p>
    <w:p w14:paraId="1E50A4F3" w14:textId="77777777" w:rsidR="00D440B4" w:rsidRDefault="00D440B4"/>
    <w:p w14:paraId="396C1E3F" w14:textId="77777777" w:rsidR="0082741E" w:rsidRDefault="0082741E">
      <w:r>
        <w:br w:type="page"/>
      </w:r>
    </w:p>
    <w:p w14:paraId="7CE4CF4F" w14:textId="05501722" w:rsidR="00D440B4" w:rsidRDefault="00D440B4" w:rsidP="00D440B4">
      <w:r>
        <w:lastRenderedPageBreak/>
        <w:fldChar w:fldCharType="begin"/>
      </w:r>
      <w:r>
        <w:instrText xml:space="preserve"> REF _Ref133168402 \h </w:instrText>
      </w:r>
      <w:r>
        <w:fldChar w:fldCharType="separate"/>
      </w:r>
      <w:r w:rsidR="00F262EF">
        <w:t xml:space="preserve">Figur </w:t>
      </w:r>
      <w:r w:rsidR="00F262EF">
        <w:rPr>
          <w:noProof/>
        </w:rPr>
        <w:t>3</w:t>
      </w:r>
      <w:r w:rsidR="00F262EF">
        <w:t>.</w:t>
      </w:r>
      <w:r w:rsidR="00F262EF">
        <w:rPr>
          <w:noProof/>
        </w:rPr>
        <w:t>6</w:t>
      </w:r>
      <w:r>
        <w:fldChar w:fldCharType="end"/>
      </w:r>
      <w:r>
        <w:t xml:space="preserve"> viser utviklingen i publiseringspoeng per faglig årsverk</w:t>
      </w:r>
      <w:r w:rsidRPr="00F15950">
        <w:t xml:space="preserve"> </w:t>
      </w:r>
      <w:r>
        <w:t xml:space="preserve">for sektoren som helhet, og reflekterer den reduserte publiseringen fra 2021 til 2022. Nedgangen bringer publiseringspoeng per faglig årsverk tilbake til nivået for 2018 etter en nokså jevn vekst de foregående årene. </w:t>
      </w:r>
      <w:r w:rsidR="00E1018F">
        <w:t xml:space="preserve">På grunn av pandemien er det </w:t>
      </w:r>
      <w:r>
        <w:t xml:space="preserve">vanskelig å se </w:t>
      </w:r>
      <w:r w:rsidR="00E1018F">
        <w:t xml:space="preserve">2022-tallene </w:t>
      </w:r>
      <w:r>
        <w:t>i et lengre perspektiv.</w:t>
      </w:r>
    </w:p>
    <w:p w14:paraId="70F1FDC3" w14:textId="0B435D73" w:rsidR="00D440B4" w:rsidRDefault="00D440B4" w:rsidP="00D440B4">
      <w:proofErr w:type="spellStart"/>
      <w:r>
        <w:t>Vedleggstabell</w:t>
      </w:r>
      <w:proofErr w:type="spellEnd"/>
      <w:r>
        <w:t xml:space="preserve"> </w:t>
      </w:r>
      <w:hyperlink r:id="rId97" w:history="1">
        <w:r w:rsidRPr="00F86B31">
          <w:rPr>
            <w:rStyle w:val="Hyperkobling"/>
          </w:rPr>
          <w:t>V3.15</w:t>
        </w:r>
      </w:hyperlink>
      <w:r>
        <w:t xml:space="preserve"> viser utviklingen per institusjon. Flest publiseringspoeng per faglig årsverk har de forskningstunge universitetene UiO, UiB og NTNU samt spesialiserte institusjoner som MF og NIH og BI. I tillegg ligger også </w:t>
      </w:r>
      <w:proofErr w:type="spellStart"/>
      <w:r>
        <w:t>UiS</w:t>
      </w:r>
      <w:proofErr w:type="spellEnd"/>
      <w:r>
        <w:t xml:space="preserve"> og </w:t>
      </w:r>
      <w:proofErr w:type="spellStart"/>
      <w:r>
        <w:t>UiA</w:t>
      </w:r>
      <w:proofErr w:type="spellEnd"/>
      <w:r>
        <w:t xml:space="preserve"> over gjennomsnittet for sektoren i publiseringspoeng per faglig årsverk.</w:t>
      </w:r>
    </w:p>
    <w:p w14:paraId="45E49E1C" w14:textId="09C32434" w:rsidR="007A7FAB" w:rsidRDefault="007A7FAB">
      <w:pPr>
        <w:rPr>
          <w:rFonts w:asciiTheme="majorHAnsi" w:eastAsiaTheme="majorEastAsia" w:hAnsiTheme="majorHAnsi" w:cstheme="majorBidi"/>
          <w:b/>
          <w:color w:val="362683"/>
          <w:sz w:val="24"/>
          <w:szCs w:val="26"/>
        </w:rPr>
      </w:pPr>
      <w:r>
        <w:br w:type="page"/>
      </w:r>
    </w:p>
    <w:p w14:paraId="132CDB75" w14:textId="513A553B" w:rsidR="000D0A77" w:rsidRPr="00465C9E" w:rsidRDefault="00485402" w:rsidP="00AE4B98">
      <w:pPr>
        <w:pStyle w:val="Overskrift3"/>
      </w:pPr>
      <w:bookmarkStart w:id="137" w:name="_Toc134792743"/>
      <w:r w:rsidRPr="00485402">
        <w:lastRenderedPageBreak/>
        <w:t>Publisering på nivå 2 i de vitenskapelige publiseringskanalene</w:t>
      </w:r>
      <w:bookmarkEnd w:id="137"/>
    </w:p>
    <w:p w14:paraId="6DE77590" w14:textId="08146840" w:rsidR="00767035" w:rsidRDefault="00A971FE" w:rsidP="00A971FE">
      <w:r w:rsidRPr="00A971FE">
        <w:t xml:space="preserve">Siden 2006 har vitenskapelig publisering vært en del av grunnlaget for den resultatbaserte komponenten i finansieringen av høyere utdanningsinstitusjoner. Tidsskrifter, serier og forlag er inndelt i to nivåer for å skape et insentiv til å publisere i de mest prestisjefylte kanalene innenfor de ulike fagområdene. Nivå 2 skal romme </w:t>
      </w:r>
      <w:r w:rsidR="00C341B2">
        <w:t>publiserings</w:t>
      </w:r>
      <w:r w:rsidR="00C341B2" w:rsidRPr="00A971FE">
        <w:t xml:space="preserve">kanaler </w:t>
      </w:r>
      <w:r w:rsidRPr="00A971FE">
        <w:t xml:space="preserve">som oppfattes som ledende og mest prestisjetunge innenfor de respektive fagene. I tillegg skal inndelingen mellom nivå 1 og 2 gjøres slik at nivå 2 utgjør om lag 20 prosent av fagets vitenskapelige publikasjoner. Det er etablert fagorganer som foreslår nivåinndeling for </w:t>
      </w:r>
      <w:r w:rsidR="00C341B2">
        <w:t>publiserings</w:t>
      </w:r>
      <w:r w:rsidR="00C341B2" w:rsidRPr="00A971FE">
        <w:t>kanaler</w:t>
      </w:r>
      <w:r w:rsidRPr="00A971FE">
        <w:t xml:space="preserve">, mens fastsetting av nivå foretas av det nasjonale publiseringsutvalget </w:t>
      </w:r>
      <w:r w:rsidR="00CB4C82">
        <w:t>med mandat fra Kunnskapsdepartementet</w:t>
      </w:r>
      <w:r w:rsidR="00CA799B">
        <w:t xml:space="preserve">. Sekretariatsansvaret </w:t>
      </w:r>
      <w:r w:rsidR="0062387B">
        <w:t xml:space="preserve">for utvalget ligger </w:t>
      </w:r>
      <w:r w:rsidR="00B65DFA">
        <w:t xml:space="preserve">i </w:t>
      </w:r>
      <w:r w:rsidRPr="00A971FE">
        <w:t>Universitets- og høgskolerådet (</w:t>
      </w:r>
      <w:proofErr w:type="spellStart"/>
      <w:r w:rsidRPr="00A971FE">
        <w:t>UHR</w:t>
      </w:r>
      <w:proofErr w:type="spellEnd"/>
      <w:r w:rsidRPr="00A971FE">
        <w:t xml:space="preserve">) </w:t>
      </w:r>
      <w:r w:rsidR="00CB4C82">
        <w:t>og fra 2021</w:t>
      </w:r>
      <w:r w:rsidR="0062387B">
        <w:t xml:space="preserve"> er u</w:t>
      </w:r>
      <w:r w:rsidR="00AF2B4D">
        <w:t>tvalget</w:t>
      </w:r>
      <w:r w:rsidR="00CB4C82">
        <w:t xml:space="preserve"> oppnevnt av HK-dir.</w:t>
      </w:r>
    </w:p>
    <w:p w14:paraId="5302CC4C" w14:textId="63F30BD4" w:rsidR="00797711" w:rsidRDefault="00570E0F" w:rsidP="00A971FE">
      <w:r>
        <w:fldChar w:fldCharType="begin"/>
      </w:r>
      <w:r>
        <w:instrText xml:space="preserve"> REF _Ref133051868 \h </w:instrText>
      </w:r>
      <w:r>
        <w:fldChar w:fldCharType="separate"/>
      </w:r>
      <w:r w:rsidR="00F262EF">
        <w:t xml:space="preserve">Figur </w:t>
      </w:r>
      <w:r w:rsidR="00F262EF">
        <w:rPr>
          <w:noProof/>
        </w:rPr>
        <w:t>3</w:t>
      </w:r>
      <w:r w:rsidR="00F262EF">
        <w:t>.</w:t>
      </w:r>
      <w:r w:rsidR="00F262EF">
        <w:rPr>
          <w:noProof/>
        </w:rPr>
        <w:t>7</w:t>
      </w:r>
      <w:r>
        <w:fldChar w:fldCharType="end"/>
      </w:r>
      <w:r w:rsidR="009D4BAC">
        <w:t xml:space="preserve"> viser </w:t>
      </w:r>
      <w:r w:rsidR="00EB3C1E">
        <w:t xml:space="preserve">hvordan </w:t>
      </w:r>
      <w:r w:rsidR="00A824EF">
        <w:t>vitenskapelig publisering har fordelt seg på de to publiserings</w:t>
      </w:r>
      <w:r w:rsidR="007F57E9">
        <w:softHyphen/>
      </w:r>
      <w:r w:rsidR="00A824EF">
        <w:t>nivåene siden 2013</w:t>
      </w:r>
      <w:r w:rsidR="00BE2132">
        <w:t xml:space="preserve"> for statlige og private institusjoner. </w:t>
      </w:r>
      <w:r w:rsidR="00062CE0">
        <w:t>For de private e</w:t>
      </w:r>
      <w:r w:rsidR="001706A8">
        <w:t>r</w:t>
      </w:r>
      <w:r w:rsidR="00062CE0">
        <w:t xml:space="preserve"> utviklingen preget av vekst i andelen publisering på nivå 2, </w:t>
      </w:r>
      <w:r w:rsidR="00CC6D42">
        <w:t>men også a</w:t>
      </w:r>
      <w:r w:rsidR="001706A8">
        <w:t>v</w:t>
      </w:r>
      <w:r w:rsidR="00CC6D42">
        <w:t xml:space="preserve"> større årlig fluktuasjon som følge av et langt lavere publiseringsvolum</w:t>
      </w:r>
      <w:r w:rsidR="001706A8">
        <w:t xml:space="preserve"> enn</w:t>
      </w:r>
      <w:r w:rsidR="006357B5">
        <w:t xml:space="preserve"> det</w:t>
      </w:r>
      <w:r w:rsidR="001706A8">
        <w:t xml:space="preserve"> </w:t>
      </w:r>
      <w:r w:rsidR="004E38AA">
        <w:t>de statlige</w:t>
      </w:r>
      <w:r w:rsidR="006357B5">
        <w:t xml:space="preserve"> har</w:t>
      </w:r>
      <w:r w:rsidR="004E38AA">
        <w:t>.</w:t>
      </w:r>
      <w:r w:rsidR="006A7DEF">
        <w:t xml:space="preserve"> For de statlige har andelen </w:t>
      </w:r>
      <w:r w:rsidR="00FA7A33">
        <w:t>ligget mer stabilt, og endringen</w:t>
      </w:r>
      <w:r w:rsidR="00EC63FE">
        <w:t>e</w:t>
      </w:r>
      <w:r w:rsidR="00FA7A33">
        <w:t xml:space="preserve"> har vært små de siste årene.</w:t>
      </w:r>
    </w:p>
    <w:p w14:paraId="204C0C53" w14:textId="544D224D" w:rsidR="00570E0F" w:rsidRDefault="00570E0F" w:rsidP="00570E0F">
      <w:pPr>
        <w:pStyle w:val="Bildetekst"/>
        <w:keepNext/>
      </w:pPr>
      <w:bookmarkStart w:id="138" w:name="_Ref133051868"/>
      <w:bookmarkStart w:id="139" w:name="_Toc134792789"/>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7</w:t>
      </w:r>
      <w:r>
        <w:fldChar w:fldCharType="end"/>
      </w:r>
      <w:bookmarkEnd w:id="138"/>
      <w:r>
        <w:t xml:space="preserve"> </w:t>
      </w:r>
      <w:r w:rsidRPr="006B6853">
        <w:t>Publikasjoner på nivå 2, 2013–22. Prosent</w:t>
      </w:r>
      <w:bookmarkEnd w:id="139"/>
    </w:p>
    <w:p w14:paraId="12F53FE8" w14:textId="77777777" w:rsidR="00894EB4" w:rsidRDefault="00797711" w:rsidP="00A971FE">
      <w:r>
        <w:rPr>
          <w:noProof/>
        </w:rPr>
        <w:drawing>
          <wp:inline distT="0" distB="0" distL="0" distR="0" wp14:anchorId="47D7D91C" wp14:editId="0BE8D5A0">
            <wp:extent cx="5184140" cy="2929255"/>
            <wp:effectExtent l="0" t="0" r="16510" b="4445"/>
            <wp:docPr id="932163428" name="Diagram 1">
              <a:extLst xmlns:a="http://schemas.openxmlformats.org/drawingml/2006/main">
                <a:ext uri="{FF2B5EF4-FFF2-40B4-BE49-F238E27FC236}">
                  <a16:creationId xmlns:a16="http://schemas.microsoft.com/office/drawing/2014/main" id="{F631AAC2-C187-4913-90D0-DAFC301D4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A971FE">
        <w:t xml:space="preserve"> </w:t>
      </w:r>
    </w:p>
    <w:p w14:paraId="28603849" w14:textId="77777777" w:rsidR="00AA5E27" w:rsidRDefault="00894EB4" w:rsidP="00AA5E27">
      <w:pPr>
        <w:pStyle w:val="Kilde"/>
      </w:pPr>
      <w:r>
        <w:t xml:space="preserve">Kilde: </w:t>
      </w:r>
      <w:proofErr w:type="spellStart"/>
      <w:r>
        <w:t>DBH</w:t>
      </w:r>
      <w:proofErr w:type="spellEnd"/>
    </w:p>
    <w:p w14:paraId="7AACB519" w14:textId="4F2A648C" w:rsidR="008835F9" w:rsidRPr="00A971FE" w:rsidRDefault="008835F9" w:rsidP="00AA5E27">
      <w:r w:rsidRPr="00A971FE">
        <w:br w:type="page"/>
      </w:r>
    </w:p>
    <w:p w14:paraId="4001ECBD" w14:textId="5455CD2A" w:rsidR="000D0A77" w:rsidRDefault="00B515C8" w:rsidP="00AE4B98">
      <w:pPr>
        <w:pStyle w:val="Overskrift3"/>
      </w:pPr>
      <w:bookmarkStart w:id="140" w:name="_Toc134792744"/>
      <w:r>
        <w:lastRenderedPageBreak/>
        <w:t>Å</w:t>
      </w:r>
      <w:r w:rsidR="000D0A77" w:rsidRPr="000D0A77">
        <w:t>pen</w:t>
      </w:r>
      <w:r w:rsidR="00F32264">
        <w:t xml:space="preserve"> tilgang</w:t>
      </w:r>
      <w:bookmarkEnd w:id="140"/>
    </w:p>
    <w:p w14:paraId="25621CE6" w14:textId="08172CDD" w:rsidR="00F25EEC" w:rsidRDefault="00F25EEC" w:rsidP="00F25EEC">
      <w:r>
        <w:t xml:space="preserve">Regjeringen har </w:t>
      </w:r>
      <w:r w:rsidR="00832EB7">
        <w:t>som</w:t>
      </w:r>
      <w:r>
        <w:t xml:space="preserve"> mål at alle forskningsartikler som publiseres av forskere ved norske institusjoner fra og med utgangen av 2024</w:t>
      </w:r>
      <w:r w:rsidR="00F95712">
        <w:t>,</w:t>
      </w:r>
      <w:r>
        <w:t xml:space="preserve"> skal være åpent tilgjengelige. Åpen tilgang medfører økt nytteverdi internt i forskningssektorene, blant annet gjennom bedre flyt av informasjon og forskningsresultater. Allmenn tilgang øker også potensialet for mer utstrakt bruk av forskning i offentlig og privat sektor, noe som kan føre til økt innovasjon og samfunnsmessig nytte. I tillegg kommer et potensial for kostnadsbesparelser</w:t>
      </w:r>
      <w:r w:rsidR="00756E75">
        <w:t xml:space="preserve"> for dem som i dag betaler </w:t>
      </w:r>
      <w:r w:rsidR="00F75A3E">
        <w:t xml:space="preserve">for å lese </w:t>
      </w:r>
      <w:r w:rsidR="002B7EC8">
        <w:t>tidsskriftartikler</w:t>
      </w:r>
      <w:r>
        <w:t>.</w:t>
      </w:r>
    </w:p>
    <w:p w14:paraId="3FFB5888" w14:textId="7FEC92BC" w:rsidR="00F25EEC" w:rsidRDefault="00F25EEC" w:rsidP="00F25EEC">
      <w:pPr>
        <w:spacing w:after="0"/>
      </w:pPr>
      <w:r>
        <w:rPr>
          <w:rStyle w:val="ui-provider"/>
        </w:rPr>
        <w:t xml:space="preserve">En måte å sikre åpen tilgang på er såkalte «publiser og les»-avtaler med forlag. Dette er avtaler </w:t>
      </w:r>
      <w:r w:rsidR="00F23691">
        <w:rPr>
          <w:rStyle w:val="ui-provider"/>
        </w:rPr>
        <w:t xml:space="preserve">der </w:t>
      </w:r>
      <w:r w:rsidR="00C272B8">
        <w:rPr>
          <w:rStyle w:val="ui-provider"/>
        </w:rPr>
        <w:t xml:space="preserve">en </w:t>
      </w:r>
      <w:r w:rsidR="00F23691">
        <w:rPr>
          <w:rStyle w:val="ui-provider"/>
        </w:rPr>
        <w:t xml:space="preserve">institusjon abonnerer på et tidsskrift </w:t>
      </w:r>
      <w:r w:rsidR="00704825">
        <w:rPr>
          <w:rStyle w:val="ui-provider"/>
        </w:rPr>
        <w:t>mot at</w:t>
      </w:r>
      <w:r w:rsidR="00F23691">
        <w:rPr>
          <w:rStyle w:val="ui-provider"/>
        </w:rPr>
        <w:t xml:space="preserve"> tidsskriftet</w:t>
      </w:r>
      <w:r w:rsidR="00935A0E">
        <w:rPr>
          <w:rStyle w:val="ui-provider"/>
        </w:rPr>
        <w:t xml:space="preserve"> </w:t>
      </w:r>
      <w:r w:rsidR="00682296">
        <w:rPr>
          <w:rStyle w:val="ui-provider"/>
        </w:rPr>
        <w:t>gjø</w:t>
      </w:r>
      <w:r w:rsidR="0061740F">
        <w:rPr>
          <w:rStyle w:val="ui-provider"/>
        </w:rPr>
        <w:t>r</w:t>
      </w:r>
      <w:r w:rsidR="00682296">
        <w:rPr>
          <w:rStyle w:val="ui-provider"/>
        </w:rPr>
        <w:t xml:space="preserve"> artikler </w:t>
      </w:r>
      <w:r w:rsidR="00AA7F4A">
        <w:rPr>
          <w:rStyle w:val="ui-provider"/>
        </w:rPr>
        <w:t>publisert av forskere ved institusjonen</w:t>
      </w:r>
      <w:r w:rsidR="0061740F">
        <w:rPr>
          <w:rStyle w:val="ui-provider"/>
        </w:rPr>
        <w:t xml:space="preserve"> åpent tilgjengelige. </w:t>
      </w:r>
      <w:r>
        <w:rPr>
          <w:rStyle w:val="ui-provider"/>
        </w:rPr>
        <w:t xml:space="preserve">Denne type </w:t>
      </w:r>
      <w:r>
        <w:t xml:space="preserve">avtaler er et strategisk grep </w:t>
      </w:r>
      <w:r w:rsidRPr="0025269F">
        <w:t>i tråd med Plan S</w:t>
      </w:r>
      <w:r w:rsidR="00C83737">
        <w:t xml:space="preserve">, </w:t>
      </w:r>
      <w:r w:rsidR="00CD644F">
        <w:t>der målet er</w:t>
      </w:r>
      <w:r>
        <w:t xml:space="preserve"> å transformere </w:t>
      </w:r>
      <w:r w:rsidRPr="0025269F">
        <w:t xml:space="preserve">tidsskrift til </w:t>
      </w:r>
      <w:r>
        <w:t>rene</w:t>
      </w:r>
      <w:r w:rsidRPr="0025269F">
        <w:t xml:space="preserve"> </w:t>
      </w:r>
      <w:r>
        <w:t>tilgangs</w:t>
      </w:r>
      <w:r w:rsidRPr="0025269F">
        <w:t>åp</w:t>
      </w:r>
      <w:r>
        <w:t>ne</w:t>
      </w:r>
      <w:r w:rsidRPr="0025269F">
        <w:t xml:space="preserve"> </w:t>
      </w:r>
      <w:r>
        <w:t xml:space="preserve">tidsskrift. </w:t>
      </w:r>
      <w:r w:rsidRPr="00445E25">
        <w:t>Denne transformasjonen skal skje ved å øke andelen åpne artikler publisert i det aktuelle tidsskriftet.</w:t>
      </w:r>
      <w:r>
        <w:t xml:space="preserve"> </w:t>
      </w:r>
      <w:r w:rsidRPr="0025269F">
        <w:t>I 2022 var det inngått «publiser og les»-avtaler med totalt 11 forlag, inkludert alle de største.</w:t>
      </w:r>
      <w:r w:rsidRPr="0025269F">
        <w:br/>
      </w:r>
    </w:p>
    <w:p w14:paraId="01FBF12C" w14:textId="2550B423" w:rsidR="00954B19" w:rsidRDefault="00954B19" w:rsidP="00954B19">
      <w:pPr>
        <w:pStyle w:val="Bildetekst"/>
        <w:keepNext/>
      </w:pPr>
      <w:bookmarkStart w:id="141" w:name="_Ref132707478"/>
      <w:bookmarkStart w:id="142" w:name="_Toc134792790"/>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8</w:t>
      </w:r>
      <w:r>
        <w:fldChar w:fldCharType="end"/>
      </w:r>
      <w:bookmarkEnd w:id="141"/>
      <w:r>
        <w:t xml:space="preserve"> </w:t>
      </w:r>
      <w:r w:rsidRPr="00741C05">
        <w:t>Åpen tilgang</w:t>
      </w:r>
      <w:r w:rsidR="00E45475">
        <w:rPr>
          <w:rStyle w:val="Fotnotereferanse"/>
        </w:rPr>
        <w:footnoteReference w:id="12"/>
      </w:r>
      <w:r w:rsidRPr="00741C05">
        <w:t xml:space="preserve"> i UH-sektoren 2013–2022</w:t>
      </w:r>
      <w:r>
        <w:t>. Andel og antall</w:t>
      </w:r>
      <w:bookmarkEnd w:id="142"/>
    </w:p>
    <w:p w14:paraId="613F0412" w14:textId="498C10B6" w:rsidR="008F4BE1" w:rsidRDefault="008F4BE1" w:rsidP="00F25EEC">
      <w:r>
        <w:rPr>
          <w:noProof/>
        </w:rPr>
        <w:drawing>
          <wp:inline distT="0" distB="0" distL="0" distR="0" wp14:anchorId="1D69FEB8" wp14:editId="282FCF70">
            <wp:extent cx="5080000" cy="2460413"/>
            <wp:effectExtent l="0" t="0" r="6350" b="1651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29977CC" w14:textId="77777777" w:rsidR="00A654E2" w:rsidRDefault="00A654E2" w:rsidP="00A654E2">
      <w:pPr>
        <w:pStyle w:val="Merknad"/>
      </w:pPr>
      <w:r w:rsidRPr="000147FF">
        <w:t xml:space="preserve">Figuren omfatter alle UH-institusjoner, også Politihøgskolen og Forsvarets høgskole. Datagrunnlaget er hentet fra </w:t>
      </w:r>
      <w:proofErr w:type="spellStart"/>
      <w:r w:rsidRPr="000147FF">
        <w:t>Cristin</w:t>
      </w:r>
      <w:proofErr w:type="spellEnd"/>
      <w:r w:rsidRPr="000147FF">
        <w:t xml:space="preserve"> og data er kryssjekket mot en rekke datakilder. Avvik kan forekomme, se fotnote for mer informasjon.</w:t>
      </w:r>
    </w:p>
    <w:p w14:paraId="6E843666" w14:textId="1A657DD8" w:rsidR="00A66C99" w:rsidRDefault="00A654E2" w:rsidP="00A654E2">
      <w:pPr>
        <w:pStyle w:val="Kilde"/>
      </w:pPr>
      <w:r w:rsidRPr="000147FF">
        <w:t>Kilde: Sikt</w:t>
      </w:r>
    </w:p>
    <w:p w14:paraId="1C40AF1E" w14:textId="2D3D47AA" w:rsidR="00FE1281" w:rsidRDefault="00FE1281" w:rsidP="00FE1281">
      <w:r>
        <w:fldChar w:fldCharType="begin"/>
      </w:r>
      <w:r>
        <w:instrText xml:space="preserve"> REF _Ref132707478 \h </w:instrText>
      </w:r>
      <w:r>
        <w:fldChar w:fldCharType="separate"/>
      </w:r>
      <w:r w:rsidR="00F262EF">
        <w:t xml:space="preserve">Figur </w:t>
      </w:r>
      <w:r w:rsidR="00F262EF">
        <w:rPr>
          <w:noProof/>
        </w:rPr>
        <w:t>3</w:t>
      </w:r>
      <w:r w:rsidR="00F262EF">
        <w:t>.</w:t>
      </w:r>
      <w:r w:rsidR="00F262EF">
        <w:rPr>
          <w:noProof/>
        </w:rPr>
        <w:t>8</w:t>
      </w:r>
      <w:r>
        <w:fldChar w:fldCharType="end"/>
      </w:r>
      <w:r>
        <w:t xml:space="preserve"> </w:t>
      </w:r>
      <w:r w:rsidRPr="0025269F">
        <w:t>viser</w:t>
      </w:r>
      <w:r>
        <w:t xml:space="preserve"> hvor mange artikler som er publisert i et åpent tilgjengelig tidsskrift henholdsvis med og uten artikkelavgift (kategori </w:t>
      </w:r>
      <w:r w:rsidRPr="00F969F0">
        <w:rPr>
          <w:i/>
        </w:rPr>
        <w:t>diamant</w:t>
      </w:r>
      <w:r w:rsidRPr="00F969F0">
        <w:t>, som er ny i år</w:t>
      </w:r>
      <w:r>
        <w:t>,</w:t>
      </w:r>
      <w:r w:rsidRPr="0007300D">
        <w:t xml:space="preserve"> </w:t>
      </w:r>
      <w:r>
        <w:t xml:space="preserve">og </w:t>
      </w:r>
      <w:r w:rsidRPr="00F969F0">
        <w:rPr>
          <w:i/>
        </w:rPr>
        <w:t>gull</w:t>
      </w:r>
      <w:r>
        <w:t xml:space="preserve">), hvor mange artikler som er publisert i et abonnementsbasert tidsskrift og kjøpt fri (kategori </w:t>
      </w:r>
      <w:r w:rsidRPr="00F969F0">
        <w:rPr>
          <w:i/>
        </w:rPr>
        <w:t>hybrid</w:t>
      </w:r>
      <w:r>
        <w:t xml:space="preserve">) innenfor eller utenfor avtaler, samt hvor mange abonnementsbaserte artikler som er gjort åpent tilgjengelig i et vitenarkiv (kategori </w:t>
      </w:r>
      <w:r w:rsidRPr="00F969F0">
        <w:rPr>
          <w:i/>
        </w:rPr>
        <w:t>grønn</w:t>
      </w:r>
      <w:r>
        <w:t xml:space="preserve">). I det siste tilfellet er det ofte snakk om en tidligere versjon av artikkelen, og ikke den endelige versjonen som har stått på trykk i et tidsskrift. Med den totale andelen åpne artikler siktes det til summen av artikler i kategoriene </w:t>
      </w:r>
      <w:r w:rsidRPr="00CD21F7">
        <w:rPr>
          <w:i/>
          <w:iCs/>
        </w:rPr>
        <w:t>diamant</w:t>
      </w:r>
      <w:r>
        <w:t xml:space="preserve">, </w:t>
      </w:r>
      <w:r w:rsidRPr="00143D97">
        <w:rPr>
          <w:i/>
          <w:iCs/>
        </w:rPr>
        <w:t>gull</w:t>
      </w:r>
      <w:r>
        <w:t xml:space="preserve">, </w:t>
      </w:r>
      <w:r w:rsidRPr="00143D97">
        <w:rPr>
          <w:i/>
          <w:iCs/>
        </w:rPr>
        <w:t>hybrid</w:t>
      </w:r>
      <w:r>
        <w:t xml:space="preserve">, </w:t>
      </w:r>
      <w:proofErr w:type="spellStart"/>
      <w:r w:rsidRPr="00C96704">
        <w:rPr>
          <w:i/>
          <w:iCs/>
        </w:rPr>
        <w:t>hybrid</w:t>
      </w:r>
      <w:r w:rsidR="001D37C1">
        <w:rPr>
          <w:i/>
          <w:iCs/>
        </w:rPr>
        <w:t>_</w:t>
      </w:r>
      <w:r w:rsidRPr="00C96704">
        <w:rPr>
          <w:i/>
          <w:iCs/>
        </w:rPr>
        <w:t>avtale</w:t>
      </w:r>
      <w:proofErr w:type="spellEnd"/>
      <w:r>
        <w:t xml:space="preserve"> og </w:t>
      </w:r>
      <w:r w:rsidRPr="00C96704">
        <w:rPr>
          <w:i/>
          <w:iCs/>
        </w:rPr>
        <w:t>grønn</w:t>
      </w:r>
      <w:r>
        <w:t>.</w:t>
      </w:r>
    </w:p>
    <w:p w14:paraId="0FCBD210" w14:textId="431ED98D" w:rsidR="00094A2A" w:rsidRDefault="00094A2A" w:rsidP="00094A2A">
      <w:r>
        <w:t xml:space="preserve">Utviklingen de siste ti årene viser en betydelig reduksjon i antall og andel lukkede artikler. Normalt vil mange deponerte artikler åpnes i ettertid, som regel når sperrefrister utløper innen et år etter publisering. </w:t>
      </w:r>
      <w:r w:rsidR="00F627B7">
        <w:t xml:space="preserve">I tillegg blir </w:t>
      </w:r>
      <w:r w:rsidR="009A1702">
        <w:t>en del artikler</w:t>
      </w:r>
      <w:r w:rsidR="00410CAC">
        <w:t xml:space="preserve"> </w:t>
      </w:r>
      <w:proofErr w:type="spellStart"/>
      <w:r w:rsidR="00410CAC">
        <w:t>etterdeponert</w:t>
      </w:r>
      <w:proofErr w:type="spellEnd"/>
      <w:r w:rsidR="00410CAC">
        <w:t xml:space="preserve"> etter noen år.</w:t>
      </w:r>
      <w:r>
        <w:t xml:space="preserve"> Dette </w:t>
      </w:r>
      <w:r>
        <w:lastRenderedPageBreak/>
        <w:t>bidra</w:t>
      </w:r>
      <w:r w:rsidR="00E45854">
        <w:t>r samlet</w:t>
      </w:r>
      <w:r>
        <w:t xml:space="preserve"> til at </w:t>
      </w:r>
      <w:r w:rsidR="00DE39B9">
        <w:t>mange</w:t>
      </w:r>
      <w:r w:rsidR="00E45854">
        <w:t xml:space="preserve"> artikl</w:t>
      </w:r>
      <w:r w:rsidR="00F92F18">
        <w:t>er</w:t>
      </w:r>
      <w:r w:rsidR="00E45854">
        <w:t xml:space="preserve"> </w:t>
      </w:r>
      <w:r>
        <w:t xml:space="preserve">åpnes </w:t>
      </w:r>
      <w:r w:rsidR="00E62628">
        <w:t xml:space="preserve">opptil </w:t>
      </w:r>
      <w:r w:rsidRPr="00CB3506">
        <w:t>flere år etter at de har blitt publisert</w:t>
      </w:r>
      <w:r>
        <w:t>.</w:t>
      </w:r>
      <w:r w:rsidR="00451D93">
        <w:t xml:space="preserve"> Det forventes derfor at </w:t>
      </w:r>
      <w:r w:rsidR="0037315E">
        <w:t xml:space="preserve">antall åpne artikler fra 2022 vil øke med tiden. </w:t>
      </w:r>
    </w:p>
    <w:p w14:paraId="194671C1" w14:textId="32489338" w:rsidR="00094A2A" w:rsidRDefault="00094A2A" w:rsidP="00094A2A">
      <w:r>
        <w:t xml:space="preserve">Derfor må særlig den totale andelen åpne artikler for 2022 </w:t>
      </w:r>
      <w:r w:rsidR="003570A9">
        <w:t>i</w:t>
      </w:r>
      <w:r>
        <w:t xml:space="preserve"> </w:t>
      </w:r>
      <w:r w:rsidR="002C088A">
        <w:fldChar w:fldCharType="begin"/>
      </w:r>
      <w:r w:rsidR="002C088A">
        <w:instrText xml:space="preserve"> REF  _Ref132707478 \* Lower \h </w:instrText>
      </w:r>
      <w:r w:rsidR="002C088A">
        <w:fldChar w:fldCharType="separate"/>
      </w:r>
      <w:r w:rsidR="00F262EF">
        <w:t xml:space="preserve">figur </w:t>
      </w:r>
      <w:r w:rsidR="00F262EF">
        <w:rPr>
          <w:noProof/>
        </w:rPr>
        <w:t>3</w:t>
      </w:r>
      <w:r w:rsidR="00F262EF">
        <w:t>.</w:t>
      </w:r>
      <w:r w:rsidR="00F262EF">
        <w:rPr>
          <w:noProof/>
        </w:rPr>
        <w:t>8</w:t>
      </w:r>
      <w:r w:rsidR="002C088A">
        <w:fldChar w:fldCharType="end"/>
      </w:r>
      <w:r>
        <w:t xml:space="preserve"> behandles som foreløpig. Når vi sammenlikner 2022-tallene med hvordan 2021-tallene så ut i fjor, altså før utløpte sperrefrister for deponerte artikler, ser vi en liten vekst. Etter flere år med kraftig vekst i andelen åpne artikler, ser det nå ut til at </w:t>
      </w:r>
      <w:r w:rsidR="00C0732D">
        <w:t>trenden</w:t>
      </w:r>
      <w:r>
        <w:t xml:space="preserve"> er i ferd med å flate ut </w:t>
      </w:r>
      <w:r w:rsidR="000932BA">
        <w:t>med en andel</w:t>
      </w:r>
      <w:r w:rsidR="00F1697E">
        <w:t xml:space="preserve"> </w:t>
      </w:r>
      <w:r w:rsidR="0000619D">
        <w:t>rundt</w:t>
      </w:r>
      <w:r>
        <w:t xml:space="preserve"> 80 prosent. Sannsynligvis vil 2022-tallene også ligge noe over dette nivået ved oppdatering til neste år. </w:t>
      </w:r>
    </w:p>
    <w:p w14:paraId="6A8977FA" w14:textId="694CC6C6" w:rsidR="00951E8E" w:rsidRDefault="00951E8E" w:rsidP="00951E8E">
      <w:r>
        <w:t>Det finnes likevel et potensial for at enda flere av de siste års artikler kan gjøres åpent tilgjengelige. Tidligere undersøkelser anslår at over halvparten av de lukkede artiklene (farge lys grå i</w:t>
      </w:r>
      <w:r w:rsidR="002C088A">
        <w:t xml:space="preserve"> </w:t>
      </w:r>
      <w:r w:rsidR="002C088A">
        <w:fldChar w:fldCharType="begin"/>
      </w:r>
      <w:r w:rsidR="002C088A">
        <w:instrText xml:space="preserve"> REF  _Ref132707478 \* Lower \h </w:instrText>
      </w:r>
      <w:r w:rsidR="002C088A">
        <w:fldChar w:fldCharType="separate"/>
      </w:r>
      <w:r w:rsidR="00F262EF">
        <w:t xml:space="preserve">figur </w:t>
      </w:r>
      <w:r w:rsidR="00F262EF">
        <w:rPr>
          <w:noProof/>
        </w:rPr>
        <w:t>3</w:t>
      </w:r>
      <w:r w:rsidR="00F262EF">
        <w:t>.</w:t>
      </w:r>
      <w:r w:rsidR="00F262EF">
        <w:rPr>
          <w:noProof/>
        </w:rPr>
        <w:t>8</w:t>
      </w:r>
      <w:r w:rsidR="002C088A">
        <w:fldChar w:fldCharType="end"/>
      </w:r>
      <w:r>
        <w:t>) er publisert i abonnementstidsskrift som tillater egenarkivering</w:t>
      </w:r>
      <w:r w:rsidR="00EB0B41">
        <w:t>,</w:t>
      </w:r>
      <w:r>
        <w:t xml:space="preserve"> d</w:t>
      </w:r>
      <w:r w:rsidR="00EB0B41">
        <w:t>et vil si</w:t>
      </w:r>
      <w:r>
        <w:t xml:space="preserve"> at en versjon av artikkelen kan deponeres og gjøres tilgjengelig i et vitenarkiv.</w:t>
      </w:r>
      <w:r>
        <w:rPr>
          <w:rStyle w:val="Fotnotereferanse"/>
        </w:rPr>
        <w:footnoteReference w:id="13"/>
      </w:r>
      <w:r>
        <w:t xml:space="preserve"> Et eksempel på realisering av dette potensialet </w:t>
      </w:r>
      <w:r w:rsidR="00B90757">
        <w:t>er</w:t>
      </w:r>
      <w:r>
        <w:t xml:space="preserve"> at antallet artikler fra 2013 </w:t>
      </w:r>
      <w:r w:rsidDel="00FA5E6D">
        <w:t xml:space="preserve">som </w:t>
      </w:r>
      <w:r>
        <w:t xml:space="preserve">er åpent tilgjengelig i et vitenarkiv (grønn kategori) </w:t>
      </w:r>
      <w:r w:rsidR="00543522">
        <w:t xml:space="preserve">er </w:t>
      </w:r>
      <w:r>
        <w:t>nesten er doblet siden 2018. Måten disse artiklene blir gjort tilgjengelige på</w:t>
      </w:r>
      <w:r w:rsidR="00387E6E">
        <w:t>,</w:t>
      </w:r>
      <w:r>
        <w:t xml:space="preserve"> er at de etter-deponeres i vitenarkiv tilhørende norske institusjoner</w:t>
      </w:r>
      <w:r w:rsidR="000D7CB6">
        <w:t>,</w:t>
      </w:r>
      <w:r>
        <w:t xml:space="preserve"> eller </w:t>
      </w:r>
      <w:r w:rsidDel="00905496">
        <w:t xml:space="preserve">at </w:t>
      </w:r>
      <w:r>
        <w:t>de blir gjort åpent tilgjengelig i vitenarkiv i et annet land. Det siste er aktuelt for artikler som er skrevet i samarbeid mellom forskere ved norske og</w:t>
      </w:r>
      <w:r w:rsidDel="00E71715">
        <w:t xml:space="preserve"> </w:t>
      </w:r>
      <w:r>
        <w:t>utenlandske institusjoner. Mange institusjoner har innført krav om deponering av alle institusjonens vitenskapelige artikler, men det er ingen automatikk i at deponerte artikler blir gjort tilgjengelige selv etter sperrefristens utløp.</w:t>
      </w:r>
    </w:p>
    <w:p w14:paraId="241A15A5" w14:textId="07EF5442" w:rsidR="00A720AD" w:rsidRDefault="00A720AD" w:rsidP="00A720AD">
      <w:pPr>
        <w:pStyle w:val="Bildetekst"/>
        <w:keepNext/>
      </w:pPr>
      <w:bookmarkStart w:id="143" w:name="_Ref133168546"/>
      <w:bookmarkStart w:id="144" w:name="_Toc134792791"/>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9</w:t>
      </w:r>
      <w:r>
        <w:fldChar w:fldCharType="end"/>
      </w:r>
      <w:bookmarkEnd w:id="143"/>
      <w:r>
        <w:t xml:space="preserve"> </w:t>
      </w:r>
      <w:r w:rsidRPr="00AC63B1">
        <w:t>Åpen tilgang i UH-sektoren 202</w:t>
      </w:r>
      <w:r>
        <w:t>2</w:t>
      </w:r>
      <w:r w:rsidRPr="00AC63B1">
        <w:t>. De ti største institusjonene</w:t>
      </w:r>
      <w:r>
        <w:t>. Andel og antall</w:t>
      </w:r>
      <w:bookmarkEnd w:id="144"/>
    </w:p>
    <w:p w14:paraId="12A9CEBD" w14:textId="77777777" w:rsidR="00D9104D" w:rsidRDefault="00D9104D">
      <w:r>
        <w:rPr>
          <w:noProof/>
        </w:rPr>
        <w:drawing>
          <wp:inline distT="0" distB="0" distL="0" distR="0" wp14:anchorId="1B0B1B78" wp14:editId="4D35CC76">
            <wp:extent cx="5204178" cy="2494844"/>
            <wp:effectExtent l="0" t="0" r="15875" b="127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5393CC0" w14:textId="317C38E9" w:rsidR="0084202D" w:rsidRDefault="00383FB6" w:rsidP="007B44CC">
      <w:pPr>
        <w:pStyle w:val="Merknad"/>
      </w:pPr>
      <w:r>
        <w:t>S</w:t>
      </w:r>
      <w:r w:rsidR="0084202D" w:rsidRPr="0084202D">
        <w:t xml:space="preserve">e fotnote til </w:t>
      </w:r>
      <w:r w:rsidR="003D4B6D">
        <w:fldChar w:fldCharType="begin"/>
      </w:r>
      <w:r w:rsidR="003D4B6D">
        <w:instrText xml:space="preserve"> REF  _Ref132707478 \* Lower \h </w:instrText>
      </w:r>
      <w:r w:rsidR="003D4B6D">
        <w:fldChar w:fldCharType="separate"/>
      </w:r>
      <w:r w:rsidR="00F262EF">
        <w:t xml:space="preserve">figur </w:t>
      </w:r>
      <w:r w:rsidR="00F262EF">
        <w:rPr>
          <w:noProof/>
        </w:rPr>
        <w:t>3</w:t>
      </w:r>
      <w:r w:rsidR="00F262EF">
        <w:t>.</w:t>
      </w:r>
      <w:r w:rsidR="00F262EF">
        <w:rPr>
          <w:noProof/>
        </w:rPr>
        <w:t>8</w:t>
      </w:r>
      <w:r w:rsidR="003D4B6D">
        <w:fldChar w:fldCharType="end"/>
      </w:r>
      <w:r w:rsidR="0084202D">
        <w:t xml:space="preserve"> </w:t>
      </w:r>
      <w:r w:rsidR="0084202D" w:rsidRPr="0084202D">
        <w:t>for informasjon</w:t>
      </w:r>
      <w:r w:rsidR="005E7264">
        <w:t xml:space="preserve"> om datagrunnlaget</w:t>
      </w:r>
    </w:p>
    <w:p w14:paraId="1763A370" w14:textId="77777777" w:rsidR="00E2725B" w:rsidRDefault="0084202D" w:rsidP="007B44CC">
      <w:pPr>
        <w:pStyle w:val="Kilde"/>
      </w:pPr>
      <w:r w:rsidRPr="0084202D">
        <w:t xml:space="preserve">Kilde: Sikt </w:t>
      </w:r>
    </w:p>
    <w:p w14:paraId="083505A6" w14:textId="425BDC74" w:rsidR="00FE1281" w:rsidRDefault="00FE1281" w:rsidP="00FE1281">
      <w:r>
        <w:fldChar w:fldCharType="begin"/>
      </w:r>
      <w:r>
        <w:instrText xml:space="preserve"> REF _Ref133168546 \h </w:instrText>
      </w:r>
      <w:r>
        <w:fldChar w:fldCharType="separate"/>
      </w:r>
      <w:r w:rsidR="00F262EF">
        <w:t xml:space="preserve">Figur </w:t>
      </w:r>
      <w:r w:rsidR="00F262EF">
        <w:rPr>
          <w:noProof/>
        </w:rPr>
        <w:t>3</w:t>
      </w:r>
      <w:r w:rsidR="00F262EF">
        <w:t>.</w:t>
      </w:r>
      <w:r w:rsidR="00F262EF">
        <w:rPr>
          <w:noProof/>
        </w:rPr>
        <w:t>9</w:t>
      </w:r>
      <w:r>
        <w:fldChar w:fldCharType="end"/>
      </w:r>
      <w:r>
        <w:t xml:space="preserve"> gir en oversikt over de ti universiteter og høyskoler med høyest antall rapporterte artikler for 2022. Som i oversikten for hele UH-sektoren inkluderer det grønne segmentet for den enkelte institusjon også artikler som er gjort tilgjengelig i utenlandske vitenarkiv. Tallene er derfor ikke et eksakt mål på institusjonenes egeninnsats. For en oversikt over alle UH-institusjoner, se </w:t>
      </w:r>
      <w:proofErr w:type="spellStart"/>
      <w:r>
        <w:t>vedleggstabell</w:t>
      </w:r>
      <w:proofErr w:type="spellEnd"/>
      <w:r>
        <w:t xml:space="preserve"> </w:t>
      </w:r>
      <w:hyperlink r:id="rId101" w:history="1">
        <w:r w:rsidRPr="006C6112">
          <w:rPr>
            <w:rStyle w:val="Hyperkobling"/>
          </w:rPr>
          <w:t>V3.19</w:t>
        </w:r>
      </w:hyperlink>
      <w:r>
        <w:t>.</w:t>
      </w:r>
    </w:p>
    <w:bookmarkStart w:id="145" w:name="_Toc134792820"/>
    <w:p w14:paraId="534778A2" w14:textId="12688987" w:rsidR="00E2725B" w:rsidRDefault="00EF7909" w:rsidP="00640A9D">
      <w:pPr>
        <w:pStyle w:val="Bildetekst"/>
      </w:pPr>
      <w:r w:rsidRPr="006E4A63">
        <w:rPr>
          <w:noProof/>
        </w:rPr>
        <w:lastRenderedPageBreak/>
        <mc:AlternateContent>
          <mc:Choice Requires="wps">
            <w:drawing>
              <wp:anchor distT="45720" distB="45720" distL="114300" distR="114300" simplePos="0" relativeHeight="251658244" behindDoc="0" locked="0" layoutInCell="1" allowOverlap="1" wp14:anchorId="7568DE35" wp14:editId="32959385">
                <wp:simplePos x="0" y="0"/>
                <wp:positionH relativeFrom="margin">
                  <wp:posOffset>5715</wp:posOffset>
                </wp:positionH>
                <wp:positionV relativeFrom="paragraph">
                  <wp:posOffset>376555</wp:posOffset>
                </wp:positionV>
                <wp:extent cx="5001895" cy="7248525"/>
                <wp:effectExtent l="38100" t="38100" r="65405" b="66675"/>
                <wp:wrapSquare wrapText="bothSides"/>
                <wp:docPr id="2093264141" name="Tekstboks 209326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7248525"/>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39B60269" w14:textId="27842176" w:rsidR="00CC6DA7" w:rsidRPr="001B0D3C" w:rsidRDefault="00E2725B" w:rsidP="00CC6DA7">
                            <w:r w:rsidRPr="00B47CA4">
                              <w:t xml:space="preserve"> </w:t>
                            </w:r>
                            <w:r w:rsidR="00CC6DA7" w:rsidRPr="001B0D3C">
                              <w:t>I regjeringens langtidsplan for forskning og høyere utdanning 2023-2032 (Meld. St. 5 (2022-2032)</w:t>
                            </w:r>
                            <w:r w:rsidR="00CC6DA7">
                              <w:t>)</w:t>
                            </w:r>
                            <w:r w:rsidR="00CC6DA7" w:rsidRPr="001B0D3C">
                              <w:t xml:space="preserve"> står det at «Regjeringen ber HK-</w:t>
                            </w:r>
                            <w:proofErr w:type="spellStart"/>
                            <w:r w:rsidR="00CC6DA7" w:rsidRPr="001B0D3C">
                              <w:t>dir</w:t>
                            </w:r>
                            <w:proofErr w:type="spellEnd"/>
                            <w:r w:rsidR="00CC6DA7" w:rsidRPr="001B0D3C">
                              <w:t>, Sikt og Forskningsrådet bistå forskningsinstitusjonene med å utarbeide en strategi for norsk vitenskapelig publisering etter 2024 og en plan for å nå målene i en slik strategi». Oppdraget må sees i sammenheng med at den forrige regjeringens mål om full åpen tilgang innen 2024</w:t>
                            </w:r>
                            <w:r w:rsidR="00997608">
                              <w:t>,</w:t>
                            </w:r>
                            <w:r w:rsidR="00CC6DA7" w:rsidRPr="001B0D3C">
                              <w:t xml:space="preserve"> gitt i Nasjonale retningslinjer for Åpen tilgang</w:t>
                            </w:r>
                            <w:r w:rsidR="00997608">
                              <w:t>,</w:t>
                            </w:r>
                            <w:r w:rsidR="00CC6DA7" w:rsidRPr="001B0D3C">
                              <w:t xml:space="preserve"> ligger fast. </w:t>
                            </w:r>
                            <w:proofErr w:type="spellStart"/>
                            <w:r w:rsidR="00CC6DA7" w:rsidRPr="001B0D3C">
                              <w:t>cOAlition</w:t>
                            </w:r>
                            <w:proofErr w:type="spellEnd"/>
                            <w:r w:rsidR="00CC6DA7" w:rsidRPr="001B0D3C">
                              <w:t xml:space="preserve"> S</w:t>
                            </w:r>
                            <w:r w:rsidR="00CC6DA7">
                              <w:t>, den internasjonale koalisjonen av forskningsfinansierende og forskningsutøvende organisasjoner bak Plan S,</w:t>
                            </w:r>
                            <w:r w:rsidR="00CC6DA7" w:rsidRPr="001B0D3C">
                              <w:t xml:space="preserve"> annonserte i januar 2023 at de av medlemmene som til nå har gitt direkte finansiell støtte til </w:t>
                            </w:r>
                            <w:r w:rsidR="00CC6DA7">
                              <w:t>«</w:t>
                            </w:r>
                            <w:r w:rsidR="00CC6DA7" w:rsidRPr="001B0D3C">
                              <w:t>publiser og les</w:t>
                            </w:r>
                            <w:r w:rsidR="00CC6DA7">
                              <w:t>»</w:t>
                            </w:r>
                            <w:r w:rsidR="00CC6DA7" w:rsidRPr="001B0D3C">
                              <w:t xml:space="preserve">-avtaler, avslutter dette etter 2024. Siden mange konsortier i ulike land er helt i startgropen med å forhandle </w:t>
                            </w:r>
                            <w:r w:rsidR="00CC6DA7">
                              <w:t>«</w:t>
                            </w:r>
                            <w:r w:rsidR="00CC6DA7" w:rsidRPr="001B0D3C">
                              <w:t>publiser og les</w:t>
                            </w:r>
                            <w:r w:rsidR="00CC6DA7">
                              <w:t>»</w:t>
                            </w:r>
                            <w:r w:rsidR="00CC6DA7" w:rsidRPr="001B0D3C">
                              <w:t xml:space="preserve">-avtaler, fremheves det at publisering gjennom </w:t>
                            </w:r>
                            <w:r w:rsidR="00CC6DA7">
                              <w:t>«publiser og les»</w:t>
                            </w:r>
                            <w:r w:rsidR="00CC6DA7" w:rsidRPr="001B0D3C">
                              <w:t>-avtaler fremdeles vil være i tråd med kravene i Plan S. Videre vektlegger Rådet for den europeiske union i utkast til nye rådskonklusjoner at umiddelbar og åpen tilgang er standarden for vitenskapelig publisering</w:t>
                            </w:r>
                            <w:r w:rsidR="00CC6DA7">
                              <w:t>,</w:t>
                            </w:r>
                            <w:r w:rsidR="00CC6DA7" w:rsidRPr="001B0D3C">
                              <w:t xml:space="preserve"> og at publiseringskostnadene må reflektere de faktiske publiseringstjenestene som tilbys. Oppdraget står derfor naturlig i en internasjonal kontekst.</w:t>
                            </w:r>
                          </w:p>
                          <w:p w14:paraId="16873E01" w14:textId="58895FCF" w:rsidR="00CC6DA7" w:rsidRPr="001B0D3C" w:rsidRDefault="00CC6DA7" w:rsidP="00CC6DA7">
                            <w:r w:rsidRPr="001B0D3C">
                              <w:t>For å svare på dette oppdraget ble det nedsatt en referansegruppe og en arbeidsgruppe bestående av representanter fra Universitets- og Høgskolerådet (</w:t>
                            </w:r>
                            <w:proofErr w:type="spellStart"/>
                            <w:r w:rsidRPr="001B0D3C">
                              <w:t>UHR</w:t>
                            </w:r>
                            <w:proofErr w:type="spellEnd"/>
                            <w:r w:rsidRPr="001B0D3C">
                              <w:t>), Forskningsinstituttenes Felles Arena (FFA), de regionale helseforetakene (</w:t>
                            </w:r>
                            <w:proofErr w:type="spellStart"/>
                            <w:r w:rsidRPr="001B0D3C">
                              <w:t>RHF</w:t>
                            </w:r>
                            <w:proofErr w:type="spellEnd"/>
                            <w:r w:rsidRPr="001B0D3C">
                              <w:t>), S</w:t>
                            </w:r>
                            <w:r>
                              <w:t>ikt</w:t>
                            </w:r>
                            <w:r w:rsidRPr="001B0D3C">
                              <w:t>, HK-</w:t>
                            </w:r>
                            <w:proofErr w:type="spellStart"/>
                            <w:r w:rsidRPr="001B0D3C">
                              <w:t>dir</w:t>
                            </w:r>
                            <w:proofErr w:type="spellEnd"/>
                            <w:r w:rsidRPr="001B0D3C">
                              <w:t xml:space="preserve"> og Forskningsrådet. </w:t>
                            </w:r>
                          </w:p>
                          <w:p w14:paraId="5D626741" w14:textId="57E8CC0B" w:rsidR="00CC6DA7" w:rsidRPr="001B0D3C" w:rsidRDefault="00CC6DA7" w:rsidP="00CC6DA7">
                            <w:r w:rsidRPr="001B0D3C">
                              <w:t>Arbeidsgruppen</w:t>
                            </w:r>
                            <w:r>
                              <w:t xml:space="preserve">s utgangspunkt er </w:t>
                            </w:r>
                            <w:r w:rsidRPr="001B0D3C">
                              <w:t xml:space="preserve">målsettingen om et fremtidig publiseringslandskap der alle forskere har lik tilgang til å publisere og </w:t>
                            </w:r>
                            <w:r w:rsidR="00BB0CBE">
                              <w:t>der</w:t>
                            </w:r>
                            <w:r w:rsidR="00BB0CBE" w:rsidRPr="001B0D3C">
                              <w:t xml:space="preserve"> </w:t>
                            </w:r>
                            <w:r w:rsidRPr="001B0D3C">
                              <w:t>alle har lik tilgang til å lese resultatene fra offentlig finansiert forskning. Det er ønskelig med et mangfold av publiseringskanaler og -tjenester av høy kvalitet som sikrer åpen tilgang til forskningen, der kostnadene står i et rimelig forhold til tjenestene som ytes hos utgiver og forlag.</w:t>
                            </w:r>
                          </w:p>
                          <w:p w14:paraId="23201FFA" w14:textId="4610B44B" w:rsidR="00CC6DA7" w:rsidRPr="001B0D3C" w:rsidRDefault="00CC6DA7" w:rsidP="00CC6DA7">
                            <w:r w:rsidRPr="001B0D3C">
                              <w:t>Et viktig premiss for arbeidet gitt i langtidsplanen er at det skal formuleres et sett av anbefalinger i nær dialog med institusjonene, og at det er institusjonene selv som er ansvarlige for å ta nødvendige strategiske beslutninger for å oppnå kravet om åpen tilgang. Det er ikke gitt at alle institusjoner kan eller bør følge samme spor. En sentral problemstilling er om de såkalte overgangsavtalene med akademiske forlag fungerer etter intensjonen. Foreløpig finnes det ikke gode nok data på at denne type avtaler har bidratt til at forlagene har gått over til åpen publisering.</w:t>
                            </w:r>
                          </w:p>
                          <w:p w14:paraId="18934293" w14:textId="76551D72" w:rsidR="00E2725B" w:rsidRDefault="00CC6DA7" w:rsidP="00CC6DA7">
                            <w:r w:rsidRPr="001B0D3C">
                              <w:t xml:space="preserve">Arbeidsgruppen </w:t>
                            </w:r>
                            <w:r>
                              <w:t>skal</w:t>
                            </w:r>
                            <w:r w:rsidRPr="001B0D3C">
                              <w:t xml:space="preserve"> levere endelig rapport høsten 2023. Underveis i arbeidet vil arbeidsgruppen gå i dialog med en rekke sentrale aktører og deretter sende ut utkast til rapport med tilhørende anbefalinger til institusjonene i de tre forskningssektorene for innspill.</w:t>
                            </w:r>
                          </w:p>
                          <w:p w14:paraId="7493A87D" w14:textId="45BEC806" w:rsidR="00CC6DA7" w:rsidRPr="00CC6DA7" w:rsidRDefault="00CC6DA7" w:rsidP="00CC6DA7">
                            <w:pPr>
                              <w:rPr>
                                <w:b/>
                                <w:bCs/>
                              </w:rPr>
                            </w:pPr>
                            <w:r w:rsidRPr="00CC6DA7">
                              <w:rPr>
                                <w:b/>
                                <w:bCs/>
                              </w:rPr>
                              <w:t>Utarbeidet av Sikt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8DE35" id="Tekstboks 2093264141" o:spid="_x0000_s1031" type="#_x0000_t202" style="position:absolute;margin-left:.45pt;margin-top:29.65pt;width:393.85pt;height:570.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" strokecolor="#362683">
                <v:textbox>
                  <w:txbxContent>
                    <w:p w14:paraId="39B60269" w14:textId="27842176" w:rsidR="00CC6DA7" w:rsidRPr="001B0D3C" w:rsidRDefault="00E2725B" w:rsidP="00CC6DA7">
                      <w:r w:rsidRPr="00B47CA4">
                        <w:t xml:space="preserve"> </w:t>
                      </w:r>
                      <w:r w:rsidR="00CC6DA7" w:rsidRPr="001B0D3C">
                        <w:t>I regjeringens langtidsplan for forskning og høyere utdanning 2023-2032 (Meld. St. 5 (2022-2032)</w:t>
                      </w:r>
                      <w:r w:rsidR="00CC6DA7">
                        <w:t>)</w:t>
                      </w:r>
                      <w:r w:rsidR="00CC6DA7" w:rsidRPr="001B0D3C">
                        <w:t xml:space="preserve"> står det at «Regjeringen ber HK-dir, Sikt og Forskningsrådet bistå forskningsinstitusjonene med å utarbeide en strategi for norsk vitenskapelig publisering etter 2024 og en plan for å nå målene i en slik strategi». Oppdraget må sees i sammenheng med at den forrige regjeringens mål om full åpen tilgang innen 2024</w:t>
                      </w:r>
                      <w:r w:rsidR="00997608">
                        <w:t>,</w:t>
                      </w:r>
                      <w:r w:rsidR="00CC6DA7" w:rsidRPr="001B0D3C">
                        <w:t xml:space="preserve"> gitt i Nasjonale retningslinjer for Åpen tilgang</w:t>
                      </w:r>
                      <w:r w:rsidR="00997608">
                        <w:t>,</w:t>
                      </w:r>
                      <w:r w:rsidR="00CC6DA7" w:rsidRPr="001B0D3C">
                        <w:t xml:space="preserve"> ligger fast. cOAlition S</w:t>
                      </w:r>
                      <w:r w:rsidR="00CC6DA7">
                        <w:t>, den internasjonale koalisjonen av forskningsfinansierende og forskningsutøvende organisasjoner bak Plan S,</w:t>
                      </w:r>
                      <w:r w:rsidR="00CC6DA7" w:rsidRPr="001B0D3C">
                        <w:t xml:space="preserve"> annonserte i januar 2023 at de av medlemmene som til nå har gitt direkte finansiell støtte til </w:t>
                      </w:r>
                      <w:r w:rsidR="00CC6DA7">
                        <w:t>«</w:t>
                      </w:r>
                      <w:r w:rsidR="00CC6DA7" w:rsidRPr="001B0D3C">
                        <w:t>publiser og les</w:t>
                      </w:r>
                      <w:r w:rsidR="00CC6DA7">
                        <w:t>»</w:t>
                      </w:r>
                      <w:r w:rsidR="00CC6DA7" w:rsidRPr="001B0D3C">
                        <w:t xml:space="preserve">-avtaler, avslutter dette etter 2024. Siden mange konsortier i ulike land er helt i startgropen med å forhandle </w:t>
                      </w:r>
                      <w:r w:rsidR="00CC6DA7">
                        <w:t>«</w:t>
                      </w:r>
                      <w:r w:rsidR="00CC6DA7" w:rsidRPr="001B0D3C">
                        <w:t>publiser og les</w:t>
                      </w:r>
                      <w:r w:rsidR="00CC6DA7">
                        <w:t>»</w:t>
                      </w:r>
                      <w:r w:rsidR="00CC6DA7" w:rsidRPr="001B0D3C">
                        <w:t xml:space="preserve">-avtaler, fremheves det at publisering gjennom </w:t>
                      </w:r>
                      <w:r w:rsidR="00CC6DA7">
                        <w:t>«publiser og les»</w:t>
                      </w:r>
                      <w:r w:rsidR="00CC6DA7" w:rsidRPr="001B0D3C">
                        <w:t>-avtaler fremdeles vil være i tråd med kravene i Plan S. Videre vektlegger Rådet for den europeiske union i utkast til nye rådskonklusjoner at umiddelbar og åpen tilgang er standarden for vitenskapelig publisering</w:t>
                      </w:r>
                      <w:r w:rsidR="00CC6DA7">
                        <w:t>,</w:t>
                      </w:r>
                      <w:r w:rsidR="00CC6DA7" w:rsidRPr="001B0D3C">
                        <w:t xml:space="preserve"> og at publiseringskostnadene må reflektere de faktiske publiseringstjenestene som tilbys. Oppdraget står derfor naturlig i en internasjonal kontekst.</w:t>
                      </w:r>
                    </w:p>
                    <w:p w14:paraId="16873E01" w14:textId="58895FCF" w:rsidR="00CC6DA7" w:rsidRPr="001B0D3C" w:rsidRDefault="00CC6DA7" w:rsidP="00CC6DA7">
                      <w:r w:rsidRPr="001B0D3C">
                        <w:t>For å svare på dette oppdraget ble det nedsatt en referansegruppe og en arbeidsgruppe bestående av representanter fra Universitets- og Høgskolerådet (UHR), Forskningsinstituttenes Felles Arena (FFA), de regionale helseforetakene (RHF), S</w:t>
                      </w:r>
                      <w:r>
                        <w:t>ikt</w:t>
                      </w:r>
                      <w:r w:rsidRPr="001B0D3C">
                        <w:t xml:space="preserve">, HK-dir og Forskningsrådet. </w:t>
                      </w:r>
                    </w:p>
                    <w:p w14:paraId="5D626741" w14:textId="57E8CC0B" w:rsidR="00CC6DA7" w:rsidRPr="001B0D3C" w:rsidRDefault="00CC6DA7" w:rsidP="00CC6DA7">
                      <w:r w:rsidRPr="001B0D3C">
                        <w:t>Arbeidsgruppen</w:t>
                      </w:r>
                      <w:r>
                        <w:t xml:space="preserve">s utgangspunkt er </w:t>
                      </w:r>
                      <w:r w:rsidRPr="001B0D3C">
                        <w:t xml:space="preserve">målsettingen om et fremtidig publiseringslandskap der alle forskere har lik tilgang til å publisere og </w:t>
                      </w:r>
                      <w:r w:rsidR="00BB0CBE">
                        <w:t>der</w:t>
                      </w:r>
                      <w:r w:rsidR="00BB0CBE" w:rsidRPr="001B0D3C">
                        <w:t xml:space="preserve"> </w:t>
                      </w:r>
                      <w:r w:rsidRPr="001B0D3C">
                        <w:t>alle har lik tilgang til å lese resultatene fra offentlig finansiert forskning. Det er ønskelig med et mangfold av publiseringskanaler og -tjenester av høy kvalitet som sikrer åpen tilgang til forskningen, der kostnadene står i et rimelig forhold til tjenestene som ytes hos utgiver og forlag.</w:t>
                      </w:r>
                    </w:p>
                    <w:p w14:paraId="23201FFA" w14:textId="4610B44B" w:rsidR="00CC6DA7" w:rsidRPr="001B0D3C" w:rsidRDefault="00CC6DA7" w:rsidP="00CC6DA7">
                      <w:r w:rsidRPr="001B0D3C">
                        <w:t>Et viktig premiss for arbeidet gitt i langtidsplanen er at det skal formuleres et sett av anbefalinger i nær dialog med institusjonene, og at det er institusjonene selv som er ansvarlige for å ta nødvendige strategiske beslutninger for å oppnå kravet om åpen tilgang. Det er ikke gitt at alle institusjoner kan eller bør følge samme spor. En sentral problemstilling er om de såkalte overgangsavtalene med akademiske forlag fungerer etter intensjonen. Foreløpig finnes det ikke gode nok data på at denne type avtaler har bidratt til at forlagene har gått over til åpen publisering.</w:t>
                      </w:r>
                    </w:p>
                    <w:p w14:paraId="18934293" w14:textId="76551D72" w:rsidR="00E2725B" w:rsidRDefault="00CC6DA7" w:rsidP="00CC6DA7">
                      <w:r w:rsidRPr="001B0D3C">
                        <w:t xml:space="preserve">Arbeidsgruppen </w:t>
                      </w:r>
                      <w:r>
                        <w:t>skal</w:t>
                      </w:r>
                      <w:r w:rsidRPr="001B0D3C">
                        <w:t xml:space="preserve"> levere endelig rapport høsten 2023. Underveis i arbeidet vil arbeidsgruppen gå i dialog med en rekke sentrale aktører og deretter sende ut utkast til rapport med tilhørende anbefalinger til institusjonene i de tre forskningssektorene for innspill.</w:t>
                      </w:r>
                    </w:p>
                    <w:p w14:paraId="7493A87D" w14:textId="45BEC806" w:rsidR="00CC6DA7" w:rsidRPr="00CC6DA7" w:rsidRDefault="00CC6DA7" w:rsidP="00CC6DA7">
                      <w:pPr>
                        <w:rPr>
                          <w:b/>
                          <w:bCs/>
                        </w:rPr>
                      </w:pPr>
                      <w:r w:rsidRPr="00CC6DA7">
                        <w:rPr>
                          <w:b/>
                          <w:bCs/>
                        </w:rPr>
                        <w:t>Utarbeidet av Sikt</w:t>
                      </w:r>
                    </w:p>
                  </w:txbxContent>
                </v:textbox>
                <w10:wrap type="square" anchorx="margin"/>
              </v:shape>
            </w:pict>
          </mc:Fallback>
        </mc:AlternateContent>
      </w:r>
      <w:r w:rsidR="00640A9D">
        <w:t xml:space="preserve">Tekstboks </w:t>
      </w:r>
      <w:r>
        <w:fldChar w:fldCharType="begin"/>
      </w:r>
      <w:r>
        <w:instrText>STYLEREF 1 \s</w:instrText>
      </w:r>
      <w:r>
        <w:fldChar w:fldCharType="separate"/>
      </w:r>
      <w:r w:rsidR="00F262EF">
        <w:rPr>
          <w:noProof/>
        </w:rPr>
        <w:t>3</w:t>
      </w:r>
      <w:r>
        <w:fldChar w:fldCharType="end"/>
      </w:r>
      <w:r w:rsidR="00F11FCC">
        <w:t>.</w:t>
      </w:r>
      <w:r>
        <w:fldChar w:fldCharType="begin"/>
      </w:r>
      <w:r>
        <w:instrText>SEQ Tekstboks \* ARABIC \s 1</w:instrText>
      </w:r>
      <w:r>
        <w:fldChar w:fldCharType="separate"/>
      </w:r>
      <w:r w:rsidR="00F262EF">
        <w:rPr>
          <w:noProof/>
        </w:rPr>
        <w:t>2</w:t>
      </w:r>
      <w:r>
        <w:fldChar w:fldCharType="end"/>
      </w:r>
      <w:r w:rsidR="00640A9D">
        <w:t xml:space="preserve"> </w:t>
      </w:r>
      <w:r w:rsidRPr="00EF7909">
        <w:t>Strategi for vitenskapelig publisering etter 2024</w:t>
      </w:r>
      <w:bookmarkEnd w:id="145"/>
    </w:p>
    <w:p w14:paraId="3DF5648B" w14:textId="618A06FD" w:rsidR="00282216" w:rsidRPr="00CC6DA7" w:rsidRDefault="00282216">
      <w:r>
        <w:br w:type="page"/>
      </w:r>
    </w:p>
    <w:p w14:paraId="5ACC13A8" w14:textId="5F09272A" w:rsidR="000D0A77" w:rsidRDefault="007D34A1" w:rsidP="00AE4B98">
      <w:pPr>
        <w:pStyle w:val="Overskrift3"/>
      </w:pPr>
      <w:bookmarkStart w:id="146" w:name="_Toc134792745"/>
      <w:r w:rsidRPr="007D34A1">
        <w:lastRenderedPageBreak/>
        <w:t xml:space="preserve">Forskningsinnsats i </w:t>
      </w:r>
      <w:proofErr w:type="spellStart"/>
      <w:r w:rsidRPr="007D34A1">
        <w:t>MNT</w:t>
      </w:r>
      <w:proofErr w:type="spellEnd"/>
      <w:r w:rsidRPr="007D34A1">
        <w:t xml:space="preserve">-fag </w:t>
      </w:r>
      <w:r w:rsidR="00751609">
        <w:t>–</w:t>
      </w:r>
      <w:r>
        <w:t xml:space="preserve"> n</w:t>
      </w:r>
      <w:r w:rsidRPr="007D34A1">
        <w:t>asjonal styringsparameter</w:t>
      </w:r>
      <w:bookmarkEnd w:id="146"/>
    </w:p>
    <w:p w14:paraId="70371144" w14:textId="77777777" w:rsidR="008F07B8" w:rsidRDefault="00CC2C17" w:rsidP="00282216">
      <w:r>
        <w:t xml:space="preserve">Økt </w:t>
      </w:r>
      <w:r w:rsidR="0055112D">
        <w:t>fors</w:t>
      </w:r>
      <w:r w:rsidR="00CF2F69">
        <w:t xml:space="preserve">kningsinnsats innenfor </w:t>
      </w:r>
      <w:r w:rsidR="00984B24">
        <w:t>matematikk, naturvitenskap og teknologi er en langsiktig prioritering i no</w:t>
      </w:r>
      <w:r w:rsidR="002919E8">
        <w:t xml:space="preserve">rsk kunnskapspolitikk. </w:t>
      </w:r>
      <w:r w:rsidR="00803F91" w:rsidRPr="00803F91">
        <w:t xml:space="preserve">Datagrunnlaget for denne indikatoren er fra FoU-undersøkelsen som gjennomføres av </w:t>
      </w:r>
      <w:r w:rsidR="00934D76">
        <w:t>SSB</w:t>
      </w:r>
      <w:r w:rsidR="00803F91" w:rsidRPr="00803F91">
        <w:t xml:space="preserve"> hvert annet år.</w:t>
      </w:r>
    </w:p>
    <w:p w14:paraId="0D409BE3" w14:textId="2AB69A6E" w:rsidR="00215F14" w:rsidRDefault="005D431F" w:rsidP="00282216">
      <w:r>
        <w:fldChar w:fldCharType="begin"/>
      </w:r>
      <w:r>
        <w:instrText xml:space="preserve"> REF _Ref133168606 \h </w:instrText>
      </w:r>
      <w:r>
        <w:fldChar w:fldCharType="separate"/>
      </w:r>
      <w:r w:rsidR="00F262EF">
        <w:t xml:space="preserve">Figur </w:t>
      </w:r>
      <w:r w:rsidR="00F262EF">
        <w:rPr>
          <w:noProof/>
        </w:rPr>
        <w:t>3</w:t>
      </w:r>
      <w:r w:rsidR="00F262EF">
        <w:t>.</w:t>
      </w:r>
      <w:r w:rsidR="00F262EF">
        <w:rPr>
          <w:noProof/>
        </w:rPr>
        <w:t>10</w:t>
      </w:r>
      <w:r>
        <w:fldChar w:fldCharType="end"/>
      </w:r>
      <w:r w:rsidR="002C088A">
        <w:t xml:space="preserve"> </w:t>
      </w:r>
      <w:r w:rsidR="00931446" w:rsidRPr="00931446">
        <w:t xml:space="preserve">viser </w:t>
      </w:r>
      <w:r w:rsidR="007834D1">
        <w:t xml:space="preserve">hvor stor andel </w:t>
      </w:r>
      <w:r w:rsidR="00B9037B">
        <w:t>av</w:t>
      </w:r>
      <w:r w:rsidR="00931446" w:rsidRPr="00931446">
        <w:t xml:space="preserve"> </w:t>
      </w:r>
      <w:r w:rsidR="007834D1">
        <w:t>driftsutgiftene</w:t>
      </w:r>
      <w:r w:rsidR="00931446" w:rsidRPr="00931446">
        <w:t xml:space="preserve"> til FoU </w:t>
      </w:r>
      <w:r w:rsidR="007739B3" w:rsidRPr="00931446">
        <w:t xml:space="preserve">ved </w:t>
      </w:r>
      <w:r w:rsidR="007739B3">
        <w:t>universiteter og høyskoler</w:t>
      </w:r>
      <w:r w:rsidR="00931446" w:rsidRPr="00931446">
        <w:t xml:space="preserve"> </w:t>
      </w:r>
      <w:r w:rsidR="007739B3">
        <w:t>som har gått til ulike fag</w:t>
      </w:r>
      <w:r w:rsidR="00931446" w:rsidRPr="00931446">
        <w:t xml:space="preserve"> i 20</w:t>
      </w:r>
      <w:r w:rsidR="00931446">
        <w:t>21.</w:t>
      </w:r>
      <w:r w:rsidR="00DC23FE">
        <w:rPr>
          <w:rStyle w:val="Fotnotereferanse"/>
        </w:rPr>
        <w:footnoteReference w:id="14"/>
      </w:r>
      <w:r w:rsidR="008B0DC4">
        <w:t xml:space="preserve"> </w:t>
      </w:r>
      <w:r w:rsidR="00ED1D49">
        <w:t xml:space="preserve">Når det gjelder </w:t>
      </w:r>
      <w:r w:rsidR="00D63C29">
        <w:t>andelen som går til</w:t>
      </w:r>
      <w:r w:rsidR="00EE77F8">
        <w:t xml:space="preserve"> </w:t>
      </w:r>
      <w:r w:rsidR="00251E9E">
        <w:t xml:space="preserve">matematisk-naturvitenskapelige og teknologiske </w:t>
      </w:r>
      <w:r w:rsidR="00EE77F8">
        <w:t>fag</w:t>
      </w:r>
      <w:r w:rsidR="00F65A7B">
        <w:t>,</w:t>
      </w:r>
      <w:r w:rsidR="00ED1D49">
        <w:t xml:space="preserve"> </w:t>
      </w:r>
      <w:r w:rsidR="001329A5">
        <w:t xml:space="preserve">står </w:t>
      </w:r>
      <w:r w:rsidR="00B85BB9">
        <w:t xml:space="preserve">NTNU </w:t>
      </w:r>
      <w:r w:rsidR="001329A5">
        <w:t>i</w:t>
      </w:r>
      <w:r w:rsidR="00B85BB9">
        <w:t xml:space="preserve"> en særstilling</w:t>
      </w:r>
      <w:r w:rsidR="003408CC">
        <w:t xml:space="preserve"> med 61 prosent. </w:t>
      </w:r>
      <w:r w:rsidR="00983D15">
        <w:t xml:space="preserve">Dette </w:t>
      </w:r>
      <w:r w:rsidR="00F51F04">
        <w:t>er den høyeste a</w:t>
      </w:r>
      <w:r w:rsidR="005B724A">
        <w:t xml:space="preserve">ndelen som er målt i siste tiårsperiode. </w:t>
      </w:r>
      <w:r w:rsidR="006D7D1E">
        <w:t xml:space="preserve">Nest høyest </w:t>
      </w:r>
      <w:proofErr w:type="spellStart"/>
      <w:r w:rsidR="00BE6B8C">
        <w:t>MNT</w:t>
      </w:r>
      <w:proofErr w:type="spellEnd"/>
      <w:r w:rsidR="00BE6B8C">
        <w:t>-andel i 202</w:t>
      </w:r>
      <w:r w:rsidR="007C284B">
        <w:t>1</w:t>
      </w:r>
      <w:r w:rsidR="009878B0">
        <w:t xml:space="preserve"> hadde UiT</w:t>
      </w:r>
      <w:r w:rsidR="00800E83">
        <w:t xml:space="preserve"> med 4</w:t>
      </w:r>
      <w:r w:rsidR="001F70D5">
        <w:t>5</w:t>
      </w:r>
      <w:r w:rsidR="00800E83">
        <w:t xml:space="preserve"> </w:t>
      </w:r>
      <w:r w:rsidR="00CB2F04">
        <w:t>prosent</w:t>
      </w:r>
      <w:r w:rsidR="00160BC7">
        <w:t xml:space="preserve"> etter en nokså jevn økning gjennom </w:t>
      </w:r>
      <w:r w:rsidR="006D1F20">
        <w:t>siste ti år.</w:t>
      </w:r>
      <w:r w:rsidR="001F70D5">
        <w:t xml:space="preserve"> </w:t>
      </w:r>
      <w:r w:rsidR="003C3BBD">
        <w:t xml:space="preserve">Også ved </w:t>
      </w:r>
      <w:r w:rsidR="001F70D5">
        <w:t>UiB</w:t>
      </w:r>
      <w:r w:rsidR="003C3BBD">
        <w:t xml:space="preserve"> og </w:t>
      </w:r>
      <w:proofErr w:type="spellStart"/>
      <w:r w:rsidR="003C3BBD">
        <w:t>NMBU</w:t>
      </w:r>
      <w:proofErr w:type="spellEnd"/>
      <w:r w:rsidR="001F70D5">
        <w:t xml:space="preserve"> </w:t>
      </w:r>
      <w:r w:rsidR="003C3BBD">
        <w:t>utgjør</w:t>
      </w:r>
      <w:r w:rsidR="00CA1FFE">
        <w:t xml:space="preserve"> </w:t>
      </w:r>
      <w:proofErr w:type="spellStart"/>
      <w:r w:rsidR="00CA1FFE">
        <w:t>MNT</w:t>
      </w:r>
      <w:proofErr w:type="spellEnd"/>
      <w:r w:rsidR="00CA1FFE">
        <w:t xml:space="preserve">-andelen mer enn </w:t>
      </w:r>
      <w:r w:rsidR="00A7010F">
        <w:t>4</w:t>
      </w:r>
      <w:r w:rsidR="0019610D">
        <w:t>0</w:t>
      </w:r>
      <w:r w:rsidR="00A7010F">
        <w:t xml:space="preserve"> </w:t>
      </w:r>
      <w:r w:rsidR="0019610D">
        <w:t xml:space="preserve">prosent. </w:t>
      </w:r>
      <w:r w:rsidR="00924027">
        <w:t xml:space="preserve">Se </w:t>
      </w:r>
      <w:proofErr w:type="spellStart"/>
      <w:r w:rsidR="00924027">
        <w:t>vedleggstabell</w:t>
      </w:r>
      <w:proofErr w:type="spellEnd"/>
      <w:r w:rsidR="00924027">
        <w:t xml:space="preserve"> </w:t>
      </w:r>
      <w:hyperlink r:id="rId102" w:history="1">
        <w:r w:rsidR="00CF0796" w:rsidRPr="006C6112">
          <w:rPr>
            <w:rStyle w:val="Hyperkobling"/>
          </w:rPr>
          <w:t>V3.22</w:t>
        </w:r>
      </w:hyperlink>
      <w:r w:rsidR="00CF0796">
        <w:t xml:space="preserve"> for tidsserie per institusjon</w:t>
      </w:r>
      <w:r w:rsidR="000D6054">
        <w:t xml:space="preserve"> for driftsutgifter </w:t>
      </w:r>
      <w:r w:rsidR="0067465C">
        <w:t xml:space="preserve">til FoU for </w:t>
      </w:r>
      <w:proofErr w:type="spellStart"/>
      <w:r w:rsidR="0067465C">
        <w:t>MNT</w:t>
      </w:r>
      <w:proofErr w:type="spellEnd"/>
      <w:r w:rsidR="0067465C">
        <w:t>-fag</w:t>
      </w:r>
      <w:r w:rsidR="00CF0796">
        <w:t>.</w:t>
      </w:r>
    </w:p>
    <w:p w14:paraId="0B2E517C" w14:textId="64390CCB" w:rsidR="00582A64" w:rsidRDefault="00582A64" w:rsidP="002B35E8">
      <w:pPr>
        <w:pStyle w:val="Bildetekst"/>
        <w:keepNext/>
      </w:pPr>
      <w:bookmarkStart w:id="147" w:name="_Ref133168606"/>
      <w:bookmarkStart w:id="148" w:name="_Toc134792792"/>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10</w:t>
      </w:r>
      <w:r>
        <w:fldChar w:fldCharType="end"/>
      </w:r>
      <w:bookmarkEnd w:id="147"/>
      <w:r>
        <w:t xml:space="preserve"> </w:t>
      </w:r>
      <w:r w:rsidRPr="004E4D22">
        <w:t>Fordeling av dri</w:t>
      </w:r>
      <w:r w:rsidR="002B35E8">
        <w:t>fts</w:t>
      </w:r>
      <w:r w:rsidRPr="004E4D22">
        <w:t xml:space="preserve">utgifter på </w:t>
      </w:r>
      <w:r w:rsidR="002B35E8" w:rsidRPr="004E4D22">
        <w:t>fagområde</w:t>
      </w:r>
      <w:r w:rsidRPr="004E4D22">
        <w:t xml:space="preserve"> i universitets- og hø</w:t>
      </w:r>
      <w:r w:rsidR="006D7BE9">
        <w:t>y</w:t>
      </w:r>
      <w:r w:rsidRPr="004E4D22">
        <w:t>skolesektoren, 2021. Andel</w:t>
      </w:r>
      <w:bookmarkEnd w:id="148"/>
    </w:p>
    <w:p w14:paraId="5D0EE4AA" w14:textId="61311074" w:rsidR="002F243B" w:rsidRDefault="00D45DD9" w:rsidP="00282216">
      <w:r>
        <w:rPr>
          <w:noProof/>
        </w:rPr>
        <w:drawing>
          <wp:inline distT="0" distB="0" distL="0" distR="0" wp14:anchorId="2A5A3663" wp14:editId="0F426932">
            <wp:extent cx="5215944" cy="3348355"/>
            <wp:effectExtent l="0" t="0" r="3810" b="4445"/>
            <wp:docPr id="50" name="Diagram 50">
              <a:extLst xmlns:a="http://schemas.openxmlformats.org/drawingml/2006/main">
                <a:ext uri="{FF2B5EF4-FFF2-40B4-BE49-F238E27FC236}">
                  <a16:creationId xmlns:a16="http://schemas.microsoft.com/office/drawing/2014/main" id="{1AB864D6-4781-4902-8316-795C33852F0C}"/>
                </a:ext>
                <a:ext uri="{147F2762-F138-4A5C-976F-8EAC2B608ADB}">
                  <a16:predDERef xmlns:a16="http://schemas.microsoft.com/office/drawing/2014/main" pred="{C5E915E2-6D6B-3F18-427A-4BD640C09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16CFF06" w14:textId="57530E9F" w:rsidR="00C84246" w:rsidRDefault="00C84246" w:rsidP="005A03C7">
      <w:pPr>
        <w:pStyle w:val="Kilde"/>
      </w:pPr>
      <w:r>
        <w:t xml:space="preserve">Kilde: </w:t>
      </w:r>
      <w:r w:rsidR="000422BA" w:rsidRPr="000422BA">
        <w:t>Statistisk sentralbyrå, FoU-statistikk</w:t>
      </w:r>
    </w:p>
    <w:p w14:paraId="0C249D41" w14:textId="77777777" w:rsidR="00AA3504" w:rsidRDefault="00AA3504">
      <w:r>
        <w:br w:type="page"/>
      </w:r>
    </w:p>
    <w:p w14:paraId="11F49DFB" w14:textId="4F0D7EC6" w:rsidR="00C43C7A" w:rsidRDefault="00CF1918" w:rsidP="00282216">
      <w:r>
        <w:lastRenderedPageBreak/>
        <w:fldChar w:fldCharType="begin"/>
      </w:r>
      <w:r>
        <w:instrText xml:space="preserve"> REF _Ref133167484 \h </w:instrText>
      </w:r>
      <w:r>
        <w:fldChar w:fldCharType="separate"/>
      </w:r>
      <w:r w:rsidR="00F262EF">
        <w:t xml:space="preserve">Figur </w:t>
      </w:r>
      <w:r w:rsidR="00F262EF">
        <w:rPr>
          <w:noProof/>
        </w:rPr>
        <w:t>3</w:t>
      </w:r>
      <w:r w:rsidR="00F262EF">
        <w:t>.</w:t>
      </w:r>
      <w:r w:rsidR="00F262EF">
        <w:rPr>
          <w:noProof/>
        </w:rPr>
        <w:t>11</w:t>
      </w:r>
      <w:r>
        <w:fldChar w:fldCharType="end"/>
      </w:r>
      <w:r>
        <w:t xml:space="preserve"> </w:t>
      </w:r>
      <w:r w:rsidR="00B36244">
        <w:t xml:space="preserve">viser </w:t>
      </w:r>
      <w:r w:rsidR="00757C9C">
        <w:t xml:space="preserve">relativ utvikling i driftsutgifter </w:t>
      </w:r>
      <w:r w:rsidR="008251A3">
        <w:t>til FoU</w:t>
      </w:r>
      <w:r w:rsidR="0019334A">
        <w:t xml:space="preserve"> med</w:t>
      </w:r>
      <w:r w:rsidR="00E87EEA">
        <w:t xml:space="preserve"> basisår </w:t>
      </w:r>
      <w:r w:rsidR="0019334A">
        <w:t xml:space="preserve">satt til </w:t>
      </w:r>
      <w:r w:rsidR="002013A7">
        <w:t>2001.</w:t>
      </w:r>
      <w:r w:rsidR="00C43C7A">
        <w:t xml:space="preserve"> Medisin og helsefag </w:t>
      </w:r>
      <w:r w:rsidR="00ED12E4">
        <w:t xml:space="preserve">har hatt relativt sterk vekst fra utgangspunktet i 2001 i hele perioden. </w:t>
      </w:r>
      <w:r w:rsidR="00F809B7">
        <w:t xml:space="preserve">Humaniora, samfunnsvitenskap og </w:t>
      </w:r>
      <w:proofErr w:type="spellStart"/>
      <w:r w:rsidR="00F809B7">
        <w:t>MNT</w:t>
      </w:r>
      <w:proofErr w:type="spellEnd"/>
      <w:r w:rsidR="00F809B7">
        <w:t xml:space="preserve">-fag </w:t>
      </w:r>
      <w:r w:rsidR="00DD6397">
        <w:t xml:space="preserve">vokste med omtrent samme takt fram til omkring 2013. Fra da av </w:t>
      </w:r>
      <w:r w:rsidR="003B5C48">
        <w:t>vokste samfunnsvitenskap relativt</w:t>
      </w:r>
      <w:r w:rsidR="00610790">
        <w:t xml:space="preserve"> sett</w:t>
      </w:r>
      <w:r w:rsidR="003B5C48">
        <w:t xml:space="preserve"> </w:t>
      </w:r>
      <w:r w:rsidR="00C04F57">
        <w:t xml:space="preserve">raskere </w:t>
      </w:r>
      <w:r w:rsidR="003B5C48">
        <w:t xml:space="preserve">enn </w:t>
      </w:r>
      <w:proofErr w:type="spellStart"/>
      <w:r w:rsidR="003B5C48">
        <w:t>MNT</w:t>
      </w:r>
      <w:proofErr w:type="spellEnd"/>
      <w:r w:rsidR="005B4995">
        <w:t xml:space="preserve">-fag og humaniora. </w:t>
      </w:r>
      <w:r w:rsidR="00BA0252">
        <w:t>Per 2021</w:t>
      </w:r>
      <w:r w:rsidR="00635DEB" w:rsidDel="00810707">
        <w:t xml:space="preserve"> </w:t>
      </w:r>
      <w:r w:rsidR="00810707">
        <w:t xml:space="preserve">har </w:t>
      </w:r>
      <w:r w:rsidR="00BA0252">
        <w:t>samfunnsvitenskap</w:t>
      </w:r>
      <w:r w:rsidR="00635DEB">
        <w:t xml:space="preserve"> også</w:t>
      </w:r>
      <w:r w:rsidR="00810707">
        <w:t xml:space="preserve"> passert</w:t>
      </w:r>
      <w:r w:rsidR="00635DEB">
        <w:t xml:space="preserve"> medisin og helsefag som fagområdet med relativt sterkest vekst i </w:t>
      </w:r>
      <w:r w:rsidR="007305AA">
        <w:t>driftsutgifter til FoU</w:t>
      </w:r>
      <w:r w:rsidR="00DB7BA0">
        <w:t xml:space="preserve"> siden 2001</w:t>
      </w:r>
      <w:r w:rsidR="007305AA">
        <w:t>.</w:t>
      </w:r>
      <w:r w:rsidR="006B62FE">
        <w:t xml:space="preserve"> Det kan virke overraskende at </w:t>
      </w:r>
      <w:r w:rsidR="0059008C">
        <w:t xml:space="preserve">fagområdet medisin og helsefag hadde en relativt svak utvikling </w:t>
      </w:r>
      <w:r w:rsidR="002C3F40">
        <w:t xml:space="preserve">under pandemien. </w:t>
      </w:r>
      <w:r w:rsidR="00042759">
        <w:t xml:space="preserve">Trolig kan </w:t>
      </w:r>
      <w:proofErr w:type="spellStart"/>
      <w:r w:rsidR="00042759">
        <w:t>tidsbrukundersøkelsen</w:t>
      </w:r>
      <w:proofErr w:type="spellEnd"/>
      <w:r w:rsidR="00042759">
        <w:t xml:space="preserve"> fra SSB være med å forklare </w:t>
      </w:r>
      <w:r w:rsidR="005E0853">
        <w:t>utviklingen</w:t>
      </w:r>
      <w:r w:rsidR="00F35DE1">
        <w:t xml:space="preserve"> </w:t>
      </w:r>
      <w:r w:rsidR="00246EE9">
        <w:fldChar w:fldCharType="begin"/>
      </w:r>
      <w:r w:rsidR="00AC0E24">
        <w:instrText xml:space="preserve"> ADDIN EN.CITE &lt;EndNote&gt;&lt;Cite&gt;&lt;Author&gt;Wendt&lt;/Author&gt;&lt;Year&gt;2021&lt;/Year&gt;&lt;RecNum&gt;1856&lt;/RecNum&gt;&lt;DisplayText&gt;(Wendt et al., 2021)&lt;/DisplayText&gt;&lt;record&gt;&lt;rec-number&gt;1856&lt;/rec-number&gt;&lt;foreign-keys&gt;&lt;key app="EN" db-id="s09wp0wxtwz9aue509w52eagvset90vxefrw" timestamp="1683215418" guid="1c6be97a-9303-4333-953c-1d76d0478991"&gt;1856&lt;/key&gt;&lt;/foreign-keys&gt;&lt;ref-type name="Report"&gt;27&lt;/ref-type&gt;&lt;contributors&gt;&lt;authors&gt;&lt;author&gt;Wendt, Kaja&lt;/author&gt;&lt;author&gt;Gunnes, Hebe&lt;/author&gt;&lt;author&gt;Østby, Mona Nedberg&lt;/author&gt;&lt;author&gt;Fossum, Lone Wanderås&lt;/author&gt;&lt;/authors&gt;&lt;/contributors&gt;&lt;titles&gt;&lt;title&gt;Når timene telles. Tidsbruksundersøkelsen 2021&lt;/title&gt;&lt;/titles&gt;&lt;dates&gt;&lt;year&gt;2021&lt;/year&gt;&lt;/dates&gt;&lt;publisher&gt;NIFU&lt;/publisher&gt;&lt;isbn&gt;NIFU arbeidsnotat 2021-15&lt;/isbn&gt;&lt;urls&gt;&lt;related-urls&gt;&lt;url&gt;https://nifu.brage.unit.no/nifu-xmlui/handle/11250/2831574&lt;/url&gt;&lt;/related-urls&gt;&lt;/urls&gt;&lt;/record&gt;&lt;/Cite&gt;&lt;/EndNote&gt;</w:instrText>
      </w:r>
      <w:r w:rsidR="00246EE9">
        <w:fldChar w:fldCharType="separate"/>
      </w:r>
      <w:r w:rsidR="00246EE9">
        <w:rPr>
          <w:noProof/>
        </w:rPr>
        <w:t>(Wendt et al., 2021)</w:t>
      </w:r>
      <w:r w:rsidR="00246EE9">
        <w:fldChar w:fldCharType="end"/>
      </w:r>
      <w:r w:rsidR="008500A3">
        <w:t xml:space="preserve">. Forskere innenfor medisin og helsefag </w:t>
      </w:r>
      <w:r w:rsidR="009E344F">
        <w:t xml:space="preserve">hadde den største nedgangen i oppgitt tidsbruk til </w:t>
      </w:r>
      <w:r w:rsidR="009571F3">
        <w:t>FoU</w:t>
      </w:r>
      <w:r w:rsidR="00D178F9">
        <w:t xml:space="preserve"> under pandemien</w:t>
      </w:r>
      <w:r w:rsidR="009571F3">
        <w:t xml:space="preserve">. </w:t>
      </w:r>
      <w:r w:rsidR="003514BC">
        <w:t>FoU</w:t>
      </w:r>
      <w:r w:rsidR="00FA074A">
        <w:t>-utgiftene</w:t>
      </w:r>
      <w:r w:rsidR="003514BC">
        <w:t xml:space="preserve"> i </w:t>
      </w:r>
      <w:proofErr w:type="spellStart"/>
      <w:r w:rsidR="009B2947">
        <w:t>MNT</w:t>
      </w:r>
      <w:proofErr w:type="spellEnd"/>
      <w:r w:rsidR="009B2947">
        <w:t xml:space="preserve">-fagene har vokst </w:t>
      </w:r>
      <w:r w:rsidR="008C1357">
        <w:t>noe raskere enn</w:t>
      </w:r>
      <w:r w:rsidR="00F83B60">
        <w:t xml:space="preserve"> de totale utgiftene</w:t>
      </w:r>
      <w:r w:rsidR="00EC00FF">
        <w:t xml:space="preserve"> for alle fagområder siden </w:t>
      </w:r>
      <w:r w:rsidR="006C6B33">
        <w:t>2015.</w:t>
      </w:r>
    </w:p>
    <w:p w14:paraId="17CE2D76" w14:textId="60DA1DD5" w:rsidR="004650C4" w:rsidRDefault="004650C4" w:rsidP="004650C4">
      <w:pPr>
        <w:pStyle w:val="Bildetekst"/>
        <w:keepNext/>
      </w:pPr>
      <w:bookmarkStart w:id="149" w:name="_Ref129853603"/>
      <w:bookmarkStart w:id="150" w:name="_Ref133167484"/>
      <w:bookmarkStart w:id="151" w:name="_Ref132896638"/>
      <w:bookmarkStart w:id="152" w:name="_Toc134792793"/>
      <w:r>
        <w:t xml:space="preserve">Figur </w:t>
      </w:r>
      <w:bookmarkEnd w:id="149"/>
      <w:r w:rsidR="004F2208">
        <w:fldChar w:fldCharType="begin"/>
      </w:r>
      <w:r w:rsidR="004F2208">
        <w:instrText xml:space="preserve"> STYLEREF 1 \s </w:instrText>
      </w:r>
      <w:r w:rsidR="004F2208">
        <w:fldChar w:fldCharType="separate"/>
      </w:r>
      <w:r w:rsidR="00F262EF">
        <w:rPr>
          <w:noProof/>
        </w:rPr>
        <w:t>3</w:t>
      </w:r>
      <w:r w:rsidR="004F2208">
        <w:fldChar w:fldCharType="end"/>
      </w:r>
      <w:r w:rsidR="004F2208">
        <w:t>.</w:t>
      </w:r>
      <w:r>
        <w:fldChar w:fldCharType="begin"/>
      </w:r>
      <w:r>
        <w:instrText>SEQ Figur \* ARABIC \s 1</w:instrText>
      </w:r>
      <w:r>
        <w:fldChar w:fldCharType="separate"/>
      </w:r>
      <w:r w:rsidR="00F262EF">
        <w:rPr>
          <w:noProof/>
        </w:rPr>
        <w:t>11</w:t>
      </w:r>
      <w:r>
        <w:fldChar w:fldCharType="end"/>
      </w:r>
      <w:bookmarkEnd w:id="150"/>
      <w:r>
        <w:t xml:space="preserve"> </w:t>
      </w:r>
      <w:r w:rsidRPr="00A276FD">
        <w:t xml:space="preserve">Relativ utvikling i driftsutgifter </w:t>
      </w:r>
      <w:r w:rsidR="00897700">
        <w:t xml:space="preserve">i UH-sektoren </w:t>
      </w:r>
      <w:r w:rsidRPr="00A276FD">
        <w:t>til FoU per fagområde 2001</w:t>
      </w:r>
      <w:r w:rsidR="00827118">
        <w:t>–</w:t>
      </w:r>
      <w:r w:rsidRPr="00A276FD">
        <w:t>2021</w:t>
      </w:r>
      <w:bookmarkEnd w:id="151"/>
      <w:bookmarkEnd w:id="152"/>
    </w:p>
    <w:p w14:paraId="49133274" w14:textId="784D0630" w:rsidR="00282216" w:rsidRPr="00282216" w:rsidRDefault="00B566FD" w:rsidP="00282216">
      <w:r>
        <w:rPr>
          <w:noProof/>
        </w:rPr>
        <w:drawing>
          <wp:inline distT="0" distB="0" distL="0" distR="0" wp14:anchorId="3DF35779" wp14:editId="626A50E8">
            <wp:extent cx="5171440" cy="3790950"/>
            <wp:effectExtent l="0" t="0" r="10160" b="0"/>
            <wp:docPr id="7" name="Diagram 7">
              <a:extLst xmlns:a="http://schemas.openxmlformats.org/drawingml/2006/main">
                <a:ext uri="{FF2B5EF4-FFF2-40B4-BE49-F238E27FC236}">
                  <a16:creationId xmlns:a16="http://schemas.microsoft.com/office/drawing/2014/main" id="{F97DDF10-3F86-7739-2219-EA6A2EAD4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27CE8CA" w14:textId="4A33BC8D" w:rsidR="008C21A6" w:rsidRDefault="00A763E0" w:rsidP="008C21A6">
      <w:pPr>
        <w:pStyle w:val="Merknad"/>
      </w:pPr>
      <w:r w:rsidRPr="00A763E0">
        <w:t>Indeks satt til 100 i 2001. Figuren viser relativ utvikling etter dette.</w:t>
      </w:r>
    </w:p>
    <w:p w14:paraId="197C5665" w14:textId="07AAAC39" w:rsidR="007F4393" w:rsidRDefault="004F6664" w:rsidP="008F7CC4">
      <w:pPr>
        <w:pStyle w:val="Kilde"/>
      </w:pPr>
      <w:r>
        <w:t xml:space="preserve">Kilde: </w:t>
      </w:r>
      <w:r w:rsidR="000422BA" w:rsidRPr="000422BA">
        <w:t>Statistisk sentralbyrå, FoU-statistikk</w:t>
      </w:r>
    </w:p>
    <w:p w14:paraId="5B29757C" w14:textId="77777777" w:rsidR="00ED02CE" w:rsidRDefault="00ED02CE">
      <w:pPr>
        <w:rPr>
          <w:rFonts w:asciiTheme="majorHAnsi" w:eastAsiaTheme="majorEastAsia" w:hAnsiTheme="majorHAnsi" w:cstheme="majorBidi"/>
          <w:b/>
          <w:color w:val="362683"/>
          <w:sz w:val="24"/>
          <w:szCs w:val="26"/>
        </w:rPr>
      </w:pPr>
      <w:bookmarkStart w:id="153" w:name="_Ref129871156"/>
      <w:r>
        <w:br w:type="page"/>
      </w:r>
    </w:p>
    <w:p w14:paraId="575FA105" w14:textId="41CC7175" w:rsidR="007D34A1" w:rsidRDefault="007D34A1" w:rsidP="00AE4B98">
      <w:pPr>
        <w:pStyle w:val="Overskrift3"/>
      </w:pPr>
      <w:bookmarkStart w:id="154" w:name="_Ref134377645"/>
      <w:bookmarkStart w:id="155" w:name="_Ref134447817"/>
      <w:bookmarkStart w:id="156" w:name="_Toc134792746"/>
      <w:r w:rsidRPr="007D34A1">
        <w:lastRenderedPageBreak/>
        <w:t xml:space="preserve">Bidragsinntekter fra Forskningsrådet per faglig årsverk </w:t>
      </w:r>
      <w:r w:rsidR="00751609">
        <w:t>–</w:t>
      </w:r>
      <w:r>
        <w:t xml:space="preserve"> </w:t>
      </w:r>
      <w:r w:rsidRPr="007D34A1">
        <w:t>nasjonal styringsparameter</w:t>
      </w:r>
      <w:bookmarkEnd w:id="153"/>
      <w:bookmarkEnd w:id="154"/>
      <w:bookmarkEnd w:id="155"/>
      <w:bookmarkEnd w:id="156"/>
    </w:p>
    <w:p w14:paraId="1DC6D15D" w14:textId="51D3636E" w:rsidR="00593FB9" w:rsidRDefault="002170ED" w:rsidP="00EA7CC5">
      <w:r>
        <w:t xml:space="preserve">Suksess på Forskningsrådets konkurransearena </w:t>
      </w:r>
      <w:r w:rsidR="00851D96">
        <w:t>bidrar med viktig forskningsfinansiering for universiteter og høyskoler,</w:t>
      </w:r>
      <w:r w:rsidR="00D60138">
        <w:t xml:space="preserve"> og er sam</w:t>
      </w:r>
      <w:r w:rsidR="006E02B9">
        <w:t xml:space="preserve">tidig en indikator for kvalitet i forskning. </w:t>
      </w:r>
      <w:r w:rsidR="00807818">
        <w:t>Samlet sett</w:t>
      </w:r>
      <w:r w:rsidR="00CE221D">
        <w:t xml:space="preserve"> utgjorde</w:t>
      </w:r>
      <w:r w:rsidR="006849A3">
        <w:t xml:space="preserve"> Forskningsrådets finansiering av forskning ved universiteter og høyskoler</w:t>
      </w:r>
      <w:r w:rsidR="00755D0C">
        <w:t xml:space="preserve"> </w:t>
      </w:r>
      <w:r w:rsidR="006849A3">
        <w:t xml:space="preserve">4,3 </w:t>
      </w:r>
      <w:r w:rsidR="0024568A">
        <w:t>milliarder kroner i 2022</w:t>
      </w:r>
      <w:r w:rsidR="002669D1">
        <w:t xml:space="preserve">, en økning på hele </w:t>
      </w:r>
      <w:r w:rsidR="000D4B34">
        <w:t xml:space="preserve">12 prosent </w:t>
      </w:r>
      <w:r w:rsidR="000F64AA">
        <w:t>sammenliknet med året før</w:t>
      </w:r>
      <w:r w:rsidR="00D772B4">
        <w:t xml:space="preserve">. </w:t>
      </w:r>
      <w:proofErr w:type="spellStart"/>
      <w:r w:rsidR="00D772B4">
        <w:t>Vedleggstabell</w:t>
      </w:r>
      <w:proofErr w:type="spellEnd"/>
      <w:r w:rsidR="000F64AA">
        <w:t xml:space="preserve"> </w:t>
      </w:r>
      <w:hyperlink r:id="rId105" w:history="1">
        <w:r w:rsidR="000F64AA" w:rsidRPr="00425471">
          <w:rPr>
            <w:rStyle w:val="Hyperkobling"/>
          </w:rPr>
          <w:t>V</w:t>
        </w:r>
        <w:r w:rsidR="00E70C3F" w:rsidRPr="00425471">
          <w:rPr>
            <w:rStyle w:val="Hyperkobling"/>
          </w:rPr>
          <w:t>4.1</w:t>
        </w:r>
      </w:hyperlink>
      <w:r w:rsidR="00D772B4">
        <w:t xml:space="preserve"> viser </w:t>
      </w:r>
      <w:r w:rsidR="00F521DB">
        <w:t>finansielle ressurser</w:t>
      </w:r>
      <w:r w:rsidR="003C36D1">
        <w:t xml:space="preserve"> for </w:t>
      </w:r>
      <w:r w:rsidR="00027A0C">
        <w:t xml:space="preserve">universiteter og høyskoler </w:t>
      </w:r>
      <w:r w:rsidR="009543D2">
        <w:t>2012</w:t>
      </w:r>
      <w:r w:rsidR="00827118">
        <w:t>–</w:t>
      </w:r>
      <w:r w:rsidR="009543D2">
        <w:t>2022.</w:t>
      </w:r>
      <w:r w:rsidR="00A328FF">
        <w:t xml:space="preserve"> </w:t>
      </w:r>
      <w:r w:rsidR="00CE3183">
        <w:t>Veksten i finansiering</w:t>
      </w:r>
      <w:r w:rsidR="003D3E9A">
        <w:t xml:space="preserve"> fra Forskningsrådet har vært langt sterkere enn veksten i </w:t>
      </w:r>
      <w:r w:rsidR="00DA1242">
        <w:t xml:space="preserve">faglig </w:t>
      </w:r>
      <w:r w:rsidR="003D3E9A">
        <w:t>ansatte</w:t>
      </w:r>
      <w:r w:rsidR="00DA1242">
        <w:t xml:space="preserve"> i sektoren</w:t>
      </w:r>
      <w:r w:rsidR="00E10D07">
        <w:t xml:space="preserve">, slik at </w:t>
      </w:r>
      <w:r w:rsidR="005A7089">
        <w:t xml:space="preserve">finansieringen har økt betydelig også målt </w:t>
      </w:r>
      <w:r w:rsidR="00F22C12">
        <w:t>per faglig</w:t>
      </w:r>
      <w:r w:rsidR="00035C43">
        <w:t xml:space="preserve"> årsverk</w:t>
      </w:r>
      <w:r w:rsidR="00742BDF">
        <w:t>.</w:t>
      </w:r>
    </w:p>
    <w:p w14:paraId="048065F3" w14:textId="28FD41BE" w:rsidR="0093101E" w:rsidRDefault="00D94F13">
      <w:r>
        <w:t>F</w:t>
      </w:r>
      <w:r w:rsidR="000A7C94">
        <w:t>inansieringen fra Forskningsrådet</w:t>
      </w:r>
      <w:r w:rsidR="00830B25">
        <w:t xml:space="preserve"> utgjorde</w:t>
      </w:r>
      <w:r w:rsidR="000A7C94">
        <w:t xml:space="preserve"> </w:t>
      </w:r>
      <w:r w:rsidR="007929AD">
        <w:t>samlet sett</w:t>
      </w:r>
      <w:r w:rsidR="000A7C94">
        <w:t xml:space="preserve"> </w:t>
      </w:r>
      <w:r w:rsidR="006419F3">
        <w:t>178</w:t>
      </w:r>
      <w:r w:rsidR="00625BD9">
        <w:t> 000 kroner</w:t>
      </w:r>
      <w:r w:rsidR="006A6C15">
        <w:t xml:space="preserve"> per faglige årsverk</w:t>
      </w:r>
      <w:r>
        <w:t xml:space="preserve"> for statlige institusjoner og 41</w:t>
      </w:r>
      <w:r w:rsidR="00303E5A">
        <w:t> 000 for private</w:t>
      </w:r>
      <w:r w:rsidR="002D56CB">
        <w:t>.</w:t>
      </w:r>
      <w:r w:rsidR="00F922B2">
        <w:t xml:space="preserve"> </w:t>
      </w:r>
      <w:r w:rsidR="00CF1918">
        <w:fldChar w:fldCharType="begin"/>
      </w:r>
      <w:r w:rsidR="00CF1918">
        <w:instrText xml:space="preserve"> REF _Ref133168707 \h </w:instrText>
      </w:r>
      <w:r w:rsidR="00CF1918">
        <w:fldChar w:fldCharType="separate"/>
      </w:r>
      <w:r w:rsidR="00F262EF">
        <w:t xml:space="preserve">Figur </w:t>
      </w:r>
      <w:r w:rsidR="00F262EF">
        <w:rPr>
          <w:noProof/>
        </w:rPr>
        <w:t>3</w:t>
      </w:r>
      <w:r w:rsidR="00F262EF">
        <w:t>.</w:t>
      </w:r>
      <w:r w:rsidR="00F262EF">
        <w:rPr>
          <w:noProof/>
        </w:rPr>
        <w:t>12</w:t>
      </w:r>
      <w:r w:rsidR="00CF1918">
        <w:fldChar w:fldCharType="end"/>
      </w:r>
      <w:r w:rsidR="00B81038">
        <w:t xml:space="preserve"> vise</w:t>
      </w:r>
      <w:r w:rsidR="00C1750C">
        <w:t xml:space="preserve">r </w:t>
      </w:r>
      <w:r w:rsidR="0016357F">
        <w:t>at det er</w:t>
      </w:r>
      <w:r w:rsidR="00E92DF8">
        <w:t xml:space="preserve"> store forskjeller mellom institusjonene</w:t>
      </w:r>
      <w:r w:rsidR="00A808EB">
        <w:t>.</w:t>
      </w:r>
      <w:r w:rsidR="007464C1">
        <w:t xml:space="preserve"> </w:t>
      </w:r>
      <w:r w:rsidR="00D3244A">
        <w:t xml:space="preserve">De institusjonene som har </w:t>
      </w:r>
      <w:r w:rsidR="00DE1C58">
        <w:t xml:space="preserve">størst inntekt fra Forskningsrådet </w:t>
      </w:r>
      <w:r w:rsidR="000D5EE8">
        <w:t xml:space="preserve">er </w:t>
      </w:r>
      <w:r w:rsidR="00C42BE6">
        <w:t xml:space="preserve">dominert av tradisjonelt forskningstunge fagområder </w:t>
      </w:r>
      <w:r w:rsidR="008268E3">
        <w:t xml:space="preserve">og </w:t>
      </w:r>
      <w:r w:rsidR="00B37820">
        <w:t xml:space="preserve">har </w:t>
      </w:r>
      <w:r w:rsidR="008268E3">
        <w:t>høy andel ansatte med forskerkompetanse</w:t>
      </w:r>
      <w:r w:rsidR="000C5ACD">
        <w:t xml:space="preserve"> (se også</w:t>
      </w:r>
      <w:r w:rsidR="00727865">
        <w:t xml:space="preserve"> </w:t>
      </w:r>
      <w:r w:rsidR="008268E3">
        <w:t xml:space="preserve">kap. </w:t>
      </w:r>
      <w:r w:rsidR="008268E3">
        <w:fldChar w:fldCharType="begin"/>
      </w:r>
      <w:r w:rsidR="008268E3">
        <w:instrText xml:space="preserve"> REF _Ref129858070 \r \h </w:instrText>
      </w:r>
      <w:r w:rsidR="008268E3">
        <w:fldChar w:fldCharType="separate"/>
      </w:r>
      <w:r w:rsidR="00F262EF">
        <w:t>4.4</w:t>
      </w:r>
      <w:r w:rsidR="008268E3">
        <w:fldChar w:fldCharType="end"/>
      </w:r>
      <w:r w:rsidR="000C5ACD">
        <w:t>)</w:t>
      </w:r>
      <w:r w:rsidR="00A44863">
        <w:t xml:space="preserve">. </w:t>
      </w:r>
      <w:r w:rsidR="009B3A6F">
        <w:t>Klart h</w:t>
      </w:r>
      <w:r w:rsidR="00523CFD">
        <w:t xml:space="preserve">øyest ut kom </w:t>
      </w:r>
      <w:proofErr w:type="spellStart"/>
      <w:r w:rsidR="00523CFD">
        <w:t>NMBU</w:t>
      </w:r>
      <w:proofErr w:type="spellEnd"/>
      <w:r w:rsidR="00523CFD">
        <w:t xml:space="preserve"> med </w:t>
      </w:r>
      <w:r w:rsidR="00396838">
        <w:t>320</w:t>
      </w:r>
      <w:r w:rsidR="009A34E3">
        <w:t> </w:t>
      </w:r>
      <w:r w:rsidR="00396838">
        <w:t>000</w:t>
      </w:r>
      <w:r w:rsidR="009A34E3">
        <w:t xml:space="preserve">, </w:t>
      </w:r>
      <w:r w:rsidR="00A210A0">
        <w:t>fulgt av UiO med 311</w:t>
      </w:r>
      <w:r w:rsidR="00AA491A">
        <w:t> </w:t>
      </w:r>
      <w:r w:rsidR="00A210A0">
        <w:t>000</w:t>
      </w:r>
      <w:r w:rsidR="00AA491A">
        <w:t xml:space="preserve">. </w:t>
      </w:r>
      <w:r w:rsidR="00006C6E">
        <w:t xml:space="preserve">Også UiB og NTNU </w:t>
      </w:r>
      <w:r w:rsidR="0093101E">
        <w:t>hadde inntekter over 200 000 kroner fra Forskningsrådet per faglig årsverk</w:t>
      </w:r>
      <w:r w:rsidR="00B15C30">
        <w:t xml:space="preserve">, se </w:t>
      </w:r>
      <w:hyperlink r:id="rId106" w:history="1">
        <w:r w:rsidR="00B15C30" w:rsidRPr="00F4482A">
          <w:rPr>
            <w:rStyle w:val="Hyperkobling"/>
          </w:rPr>
          <w:t>V3.23</w:t>
        </w:r>
      </w:hyperlink>
      <w:r w:rsidR="00EC061B">
        <w:t xml:space="preserve"> for tiårs tidsserie </w:t>
      </w:r>
      <w:r w:rsidR="005C49A5">
        <w:t>per institusjon.</w:t>
      </w:r>
    </w:p>
    <w:p w14:paraId="7005F443" w14:textId="1108B34E" w:rsidR="00D82553" w:rsidRDefault="00D82553" w:rsidP="00D82553">
      <w:pPr>
        <w:pStyle w:val="Bildetekst"/>
        <w:keepNext/>
      </w:pPr>
      <w:bookmarkStart w:id="157" w:name="_Ref129857682"/>
      <w:bookmarkStart w:id="158" w:name="_Ref133168707"/>
      <w:bookmarkStart w:id="159" w:name="_Toc134792794"/>
      <w:r>
        <w:t xml:space="preserve">Figur </w:t>
      </w:r>
      <w:bookmarkEnd w:id="157"/>
      <w:r w:rsidR="004F2208">
        <w:fldChar w:fldCharType="begin"/>
      </w:r>
      <w:r w:rsidR="004F2208">
        <w:instrText xml:space="preserve"> STYLEREF 1 \s </w:instrText>
      </w:r>
      <w:r w:rsidR="004F2208">
        <w:fldChar w:fldCharType="separate"/>
      </w:r>
      <w:r w:rsidR="00F262EF">
        <w:rPr>
          <w:noProof/>
        </w:rPr>
        <w:t>3</w:t>
      </w:r>
      <w:r w:rsidR="004F2208">
        <w:fldChar w:fldCharType="end"/>
      </w:r>
      <w:r w:rsidR="004F2208">
        <w:t>.</w:t>
      </w:r>
      <w:r>
        <w:fldChar w:fldCharType="begin"/>
      </w:r>
      <w:r>
        <w:instrText>SEQ Figur \* ARABIC \s 1</w:instrText>
      </w:r>
      <w:r>
        <w:fldChar w:fldCharType="separate"/>
      </w:r>
      <w:r w:rsidR="00F262EF">
        <w:rPr>
          <w:noProof/>
        </w:rPr>
        <w:t>12</w:t>
      </w:r>
      <w:r>
        <w:fldChar w:fldCharType="end"/>
      </w:r>
      <w:bookmarkEnd w:id="158"/>
      <w:r>
        <w:t xml:space="preserve"> </w:t>
      </w:r>
      <w:r w:rsidRPr="007E1663">
        <w:t>Tildeling fra Forskningsrådet per faglig årsverk 2022. 1000 kr</w:t>
      </w:r>
      <w:bookmarkEnd w:id="159"/>
    </w:p>
    <w:p w14:paraId="0D4CEA6E" w14:textId="77777777" w:rsidR="001B3374" w:rsidRDefault="001B3374">
      <w:r>
        <w:rPr>
          <w:noProof/>
        </w:rPr>
        <w:drawing>
          <wp:inline distT="0" distB="0" distL="0" distR="0" wp14:anchorId="28D6F573" wp14:editId="184230C4">
            <wp:extent cx="5179162" cy="3227705"/>
            <wp:effectExtent l="0" t="0" r="2540" b="10795"/>
            <wp:docPr id="14" name="Diagram 14">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096E1F1" w14:textId="169760D8" w:rsidR="001B3374" w:rsidRDefault="001B3374" w:rsidP="001B3374">
      <w:pPr>
        <w:pStyle w:val="Kilde"/>
      </w:pPr>
      <w:r>
        <w:t xml:space="preserve">Kilde: </w:t>
      </w:r>
      <w:proofErr w:type="spellStart"/>
      <w:r>
        <w:t>DBH</w:t>
      </w:r>
      <w:proofErr w:type="spellEnd"/>
    </w:p>
    <w:p w14:paraId="46D14ED9" w14:textId="40E20AE7" w:rsidR="000608DE" w:rsidRDefault="000608DE" w:rsidP="000608DE">
      <w:r>
        <w:t xml:space="preserve">Over tid er bildet at andre institusjoner gjør seg mer gjeldende. I et tiårsperspektiv er det institusjoner som har endret institusjonskategori til universitet eller som </w:t>
      </w:r>
      <w:r w:rsidR="0069724F">
        <w:t>arbeider for det</w:t>
      </w:r>
      <w:r>
        <w:t xml:space="preserve">, som har økt mest. Høyest økning ser vi hos </w:t>
      </w:r>
      <w:proofErr w:type="spellStart"/>
      <w:r w:rsidR="00BF18FB">
        <w:t>UiS</w:t>
      </w:r>
      <w:proofErr w:type="spellEnd"/>
      <w:r w:rsidR="00BF18FB">
        <w:t xml:space="preserve"> og </w:t>
      </w:r>
      <w:proofErr w:type="spellStart"/>
      <w:r>
        <w:t>OsloMet</w:t>
      </w:r>
      <w:proofErr w:type="spellEnd"/>
      <w:r>
        <w:t xml:space="preserve">. Samtidig er ikke bildet preget av rettlinjet vekst for nye og aspirerende universiteter. De siste to årene har for eksempel </w:t>
      </w:r>
      <w:proofErr w:type="spellStart"/>
      <w:r>
        <w:t>HVL</w:t>
      </w:r>
      <w:r w:rsidR="00897FB6">
        <w:t>s</w:t>
      </w:r>
      <w:proofErr w:type="spellEnd"/>
      <w:r w:rsidR="00897FB6">
        <w:t xml:space="preserve"> inntekter</w:t>
      </w:r>
      <w:r>
        <w:t xml:space="preserve"> fra Forskningsrådet</w:t>
      </w:r>
      <w:r w:rsidR="00897FB6">
        <w:t xml:space="preserve"> økt til mer enn 60 000 kroner</w:t>
      </w:r>
      <w:r>
        <w:t xml:space="preserve"> per faglig årsverk. </w:t>
      </w:r>
      <w:proofErr w:type="spellStart"/>
      <w:r>
        <w:t>HINN</w:t>
      </w:r>
      <w:proofErr w:type="spellEnd"/>
      <w:r>
        <w:t>, derimot</w:t>
      </w:r>
      <w:r w:rsidDel="003018AD">
        <w:t xml:space="preserve">, </w:t>
      </w:r>
      <w:r>
        <w:t>ligger under nivået for 10 år siden med 42 000 kroner.</w:t>
      </w:r>
    </w:p>
    <w:p w14:paraId="3E674482" w14:textId="77777777" w:rsidR="00C41B7C" w:rsidRDefault="000608DE" w:rsidP="00C41B7C">
      <w:r>
        <w:t>Blant de private har MF et høyt tall for 2022 med 172 000, mens BI har 65 000. HK ser ut til å ha en vedvarende vekst, og nådde i 2022 32 000 kroner per faglig årsverk.</w:t>
      </w:r>
      <w:r w:rsidR="00C41B7C">
        <w:t xml:space="preserve"> </w:t>
      </w:r>
    </w:p>
    <w:p w14:paraId="7E597603" w14:textId="1B2022EE" w:rsidR="000A0F02" w:rsidRDefault="0069055C" w:rsidP="00C41B7C">
      <w:r>
        <w:lastRenderedPageBreak/>
        <w:fldChar w:fldCharType="begin"/>
      </w:r>
      <w:r>
        <w:instrText xml:space="preserve"> REF _Ref132815754 \h </w:instrText>
      </w:r>
      <w:r>
        <w:fldChar w:fldCharType="separate"/>
      </w:r>
      <w:r w:rsidR="00F262EF">
        <w:t xml:space="preserve">Figur </w:t>
      </w:r>
      <w:r w:rsidR="00F262EF">
        <w:rPr>
          <w:noProof/>
        </w:rPr>
        <w:t>3</w:t>
      </w:r>
      <w:r w:rsidR="00F262EF">
        <w:t>.</w:t>
      </w:r>
      <w:r w:rsidR="00F262EF">
        <w:rPr>
          <w:noProof/>
        </w:rPr>
        <w:t>13</w:t>
      </w:r>
      <w:r>
        <w:fldChar w:fldCharType="end"/>
      </w:r>
      <w:r w:rsidR="00C41B7C">
        <w:t xml:space="preserve"> viser hvor stor andel Forskningsrådets finansiering har representert av den samlede FoU-finansieringen i sektoren siden 2007. I store trekk er andelen relativt lite endret i perioden, men </w:t>
      </w:r>
      <w:proofErr w:type="spellStart"/>
      <w:r w:rsidR="00C41B7C">
        <w:t>UiS</w:t>
      </w:r>
      <w:proofErr w:type="spellEnd"/>
      <w:r w:rsidR="00C41B7C">
        <w:t xml:space="preserve"> peker seg ut med sterk vekst, særlig de siste årene.</w:t>
      </w:r>
      <w:r w:rsidR="001C0A1A">
        <w:t xml:space="preserve"> </w:t>
      </w:r>
    </w:p>
    <w:p w14:paraId="2D3C3D75" w14:textId="4C2D5A14" w:rsidR="00C41B7C" w:rsidRDefault="00C41B7C" w:rsidP="00C41B7C">
      <w:pPr>
        <w:pStyle w:val="Bildetekst"/>
        <w:keepNext/>
      </w:pPr>
      <w:bookmarkStart w:id="160" w:name="_Ref132815754"/>
      <w:bookmarkStart w:id="161" w:name="_Toc134792795"/>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13</w:t>
      </w:r>
      <w:r>
        <w:fldChar w:fldCharType="end"/>
      </w:r>
      <w:bookmarkEnd w:id="160"/>
      <w:r>
        <w:t xml:space="preserve"> </w:t>
      </w:r>
      <w:r w:rsidRPr="00DC295A">
        <w:t>Andelen driftsutgifter til FoU finansiert av Forskningsrådet</w:t>
      </w:r>
      <w:r>
        <w:t xml:space="preserve"> 2007</w:t>
      </w:r>
      <w:r w:rsidR="00827118">
        <w:t>–</w:t>
      </w:r>
      <w:r>
        <w:t>2021, per institusjon</w:t>
      </w:r>
      <w:bookmarkEnd w:id="161"/>
    </w:p>
    <w:p w14:paraId="7B0E73E3" w14:textId="77777777" w:rsidR="00C41B7C" w:rsidRDefault="00C41B7C" w:rsidP="00C41B7C">
      <w:r>
        <w:rPr>
          <w:noProof/>
        </w:rPr>
        <w:drawing>
          <wp:inline distT="0" distB="0" distL="0" distR="0" wp14:anchorId="0BB07545" wp14:editId="139D2FF2">
            <wp:extent cx="5179162" cy="3429000"/>
            <wp:effectExtent l="0" t="0" r="2540" b="0"/>
            <wp:docPr id="39" name="Diagram 39">
              <a:extLst xmlns:a="http://schemas.openxmlformats.org/drawingml/2006/main">
                <a:ext uri="{FF2B5EF4-FFF2-40B4-BE49-F238E27FC236}">
                  <a16:creationId xmlns:a16="http://schemas.microsoft.com/office/drawing/2014/main" id="{84BFD5AE-23D8-C808-2134-2EFEEEB7A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C97AF95" w14:textId="63B0F442" w:rsidR="00EA7CC5" w:rsidRDefault="00C41B7C" w:rsidP="00C41B7C">
      <w:pPr>
        <w:pStyle w:val="Kilde"/>
      </w:pPr>
      <w:r>
        <w:t xml:space="preserve">Kilde: </w:t>
      </w:r>
      <w:r w:rsidR="000422BA" w:rsidRPr="000422BA">
        <w:t>Statistisk sentralbyrå, FoU-statistikk</w:t>
      </w:r>
    </w:p>
    <w:p w14:paraId="7794B6F6" w14:textId="59758F0B" w:rsidR="005A5C5E" w:rsidRDefault="00462B4D" w:rsidP="005A5C5E">
      <w:r>
        <w:t xml:space="preserve">Ifølge </w:t>
      </w:r>
      <w:r w:rsidR="00EE4D78">
        <w:t xml:space="preserve">SSBs FoU-statistikk </w:t>
      </w:r>
      <w:r w:rsidR="00CA1E74">
        <w:t xml:space="preserve">utgjorde driftsutgifter finansiert av Forskningsrådet </w:t>
      </w:r>
      <w:r w:rsidR="00653A72">
        <w:t>i 2021 16 prosent av</w:t>
      </w:r>
      <w:r w:rsidR="00CA705E">
        <w:t xml:space="preserve"> sektorens samlede driftsutgifter til FoU. </w:t>
      </w:r>
      <w:r w:rsidR="005A5C5E">
        <w:t>Kapittel 4.3 i Indikatorrapporten</w:t>
      </w:r>
      <w:r w:rsidR="00C4558D">
        <w:t xml:space="preserve"> </w:t>
      </w:r>
      <w:r w:rsidR="00DE6064">
        <w:fldChar w:fldCharType="begin"/>
      </w:r>
      <w:r w:rsidR="00DE6064">
        <w:instrText xml:space="preserve"> ADDIN EN.CITE &lt;EndNote&gt;&lt;Cite&gt;&lt;Author&gt;Forskningsrådet&lt;/Author&gt;&lt;Year&gt;2022&lt;/Year&gt;&lt;RecNum&gt;1866&lt;/RecNum&gt;&lt;DisplayText&gt;(Forskningsrådet, 2022)&lt;/DisplayText&gt;&lt;record&gt;&lt;rec-number&gt;1866&lt;/rec-number&gt;&lt;foreign-keys&gt;&lt;key app="EN" db-id="s09wp0wxtwz9aue509w52eagvset90vxefrw" timestamp="1683286450" guid="964e9f7f-c8a9-4dad-b9d4-1b9d6c19428a"&gt;1866&lt;/key&gt;&lt;/foreign-keys&gt;&lt;ref-type name="Report"&gt;27&lt;/ref-type&gt;&lt;contributors&gt;&lt;authors&gt;&lt;author&gt;Forskningsrådet&lt;/author&gt;&lt;/authors&gt;&lt;tertiary-authors&gt;&lt;author&gt;Forskningsrådet&lt;/author&gt;&lt;/tertiary-authors&gt;&lt;/contributors&gt;&lt;titles&gt;&lt;title&gt;Indikatorrapporten 2022&lt;/title&gt;&lt;/titles&gt;&lt;dates&gt;&lt;year&gt;2022&lt;/year&gt;&lt;/dates&gt;&lt;publisher&gt;Forskningsrådet&lt;/publisher&gt;&lt;urls&gt;&lt;related-urls&gt;&lt;url&gt;https://www.forskningsradet.no/indikatorrapporten/&lt;/url&gt;&lt;/related-urls&gt;&lt;/urls&gt;&lt;/record&gt;&lt;/Cite&gt;&lt;/EndNote&gt;</w:instrText>
      </w:r>
      <w:r w:rsidR="00DE6064">
        <w:fldChar w:fldCharType="separate"/>
      </w:r>
      <w:r w:rsidR="00DE6064">
        <w:rPr>
          <w:noProof/>
        </w:rPr>
        <w:t>(Forskningsrådet, 2022)</w:t>
      </w:r>
      <w:r w:rsidR="00DE6064">
        <w:fldChar w:fldCharType="end"/>
      </w:r>
      <w:r w:rsidR="005A5C5E">
        <w:t xml:space="preserve"> presenterer forskningsrådets bevilgninger </w:t>
      </w:r>
      <w:r w:rsidR="00E60564">
        <w:t xml:space="preserve">i både </w:t>
      </w:r>
      <w:r w:rsidR="005A5C5E">
        <w:t>sektor- og fagområdeperspektiv.</w:t>
      </w:r>
    </w:p>
    <w:p w14:paraId="467B5A17" w14:textId="41E5FF49" w:rsidR="00593FB9" w:rsidRDefault="000818AB" w:rsidP="000818AB">
      <w:pPr>
        <w:pStyle w:val="Kilde"/>
        <w:rPr>
          <w:rFonts w:asciiTheme="majorHAnsi" w:eastAsiaTheme="majorEastAsia" w:hAnsiTheme="majorHAnsi" w:cstheme="majorBidi"/>
          <w:color w:val="362683"/>
          <w:sz w:val="24"/>
          <w:szCs w:val="26"/>
        </w:rPr>
      </w:pPr>
      <w:r>
        <w:t xml:space="preserve"> </w:t>
      </w:r>
      <w:r w:rsidR="00593FB9">
        <w:br w:type="page"/>
      </w:r>
    </w:p>
    <w:p w14:paraId="49A7721D" w14:textId="2C3BBC88" w:rsidR="002E46DA" w:rsidRPr="00771A74" w:rsidRDefault="00771A74" w:rsidP="00AE4B98">
      <w:pPr>
        <w:pStyle w:val="Overskrift3"/>
      </w:pPr>
      <w:bookmarkStart w:id="162" w:name="_Toc134792747"/>
      <w:r>
        <w:lastRenderedPageBreak/>
        <w:t>Midler fra deltakelse i EU-prosjekter</w:t>
      </w:r>
      <w:bookmarkEnd w:id="162"/>
    </w:p>
    <w:p w14:paraId="21FD1BE3" w14:textId="0781D172" w:rsidR="004263FD" w:rsidRDefault="00D861F0" w:rsidP="004263FD">
      <w:r>
        <w:t xml:space="preserve">I dette oppslaget vises </w:t>
      </w:r>
      <w:r w:rsidR="00491416">
        <w:t xml:space="preserve">omfanget av </w:t>
      </w:r>
      <w:r w:rsidR="00FF2DA7">
        <w:t xml:space="preserve">samlede </w:t>
      </w:r>
      <w:r w:rsidR="00491416">
        <w:t>tildelinger fra EU</w:t>
      </w:r>
      <w:r w:rsidR="00E837F3">
        <w:t xml:space="preserve"> </w:t>
      </w:r>
      <w:r w:rsidR="00CB3584">
        <w:t xml:space="preserve">for </w:t>
      </w:r>
      <w:r w:rsidR="005C1F3A">
        <w:t>norske universiteter og høyskoler</w:t>
      </w:r>
      <w:r w:rsidR="0016185C">
        <w:t xml:space="preserve"> slik de framtrer</w:t>
      </w:r>
      <w:r w:rsidR="00954145">
        <w:t xml:space="preserve"> </w:t>
      </w:r>
      <w:r w:rsidR="00DB7CC3">
        <w:t xml:space="preserve">sektorens årlige </w:t>
      </w:r>
      <w:r w:rsidR="00544D71">
        <w:t>regnskap</w:t>
      </w:r>
      <w:r w:rsidR="00F70C09">
        <w:t xml:space="preserve">. </w:t>
      </w:r>
      <w:r w:rsidR="005B6922">
        <w:t>I tillegg til midler fra rammeprogrammet for forskning og innovasjon omfatter beløpene her prosjektmidler i Erasmus+ og EUs program for å fremme sosial og økonomisk integrasjon over landegrensene gjennom regionalt samarbeid (Interreg).</w:t>
      </w:r>
      <w:r w:rsidR="00476E93">
        <w:t xml:space="preserve"> </w:t>
      </w:r>
      <w:r w:rsidR="00FF582C">
        <w:fldChar w:fldCharType="begin"/>
      </w:r>
      <w:r w:rsidR="00FF582C">
        <w:instrText xml:space="preserve"> REF _Ref134188430 \h </w:instrText>
      </w:r>
      <w:r w:rsidR="00FF582C">
        <w:fldChar w:fldCharType="separate"/>
      </w:r>
      <w:r w:rsidR="00F262EF">
        <w:t xml:space="preserve">Figur </w:t>
      </w:r>
      <w:r w:rsidR="00F262EF">
        <w:rPr>
          <w:noProof/>
        </w:rPr>
        <w:t>3</w:t>
      </w:r>
      <w:r w:rsidR="00F262EF">
        <w:t>.</w:t>
      </w:r>
      <w:r w:rsidR="00F262EF">
        <w:rPr>
          <w:noProof/>
        </w:rPr>
        <w:t>14</w:t>
      </w:r>
      <w:r w:rsidR="00FF582C">
        <w:fldChar w:fldCharType="end"/>
      </w:r>
      <w:r w:rsidR="004263FD">
        <w:t xml:space="preserve"> viser omfanget av tildelinger fra EU for institusjonene samlet</w:t>
      </w:r>
      <w:r w:rsidR="00D93EE6">
        <w:t xml:space="preserve">, og her utgjør </w:t>
      </w:r>
      <w:r w:rsidR="00E81906">
        <w:t>Erasmus+ og Interreg «øvrige midler»</w:t>
      </w:r>
      <w:r w:rsidR="001478A9">
        <w:t>.</w:t>
      </w:r>
      <w:r w:rsidR="004263FD">
        <w:t xml:space="preserve"> </w:t>
      </w:r>
      <w:r w:rsidR="00E4429C">
        <w:t xml:space="preserve">Det samlede beløpet økte fra </w:t>
      </w:r>
      <w:r w:rsidR="007E61E1">
        <w:t xml:space="preserve">840 </w:t>
      </w:r>
      <w:r w:rsidR="00EA7F5F">
        <w:t xml:space="preserve">millioner </w:t>
      </w:r>
      <w:r w:rsidR="00A86F61">
        <w:t>kroner</w:t>
      </w:r>
      <w:r w:rsidR="0040366B">
        <w:t xml:space="preserve"> i 2021</w:t>
      </w:r>
      <w:r w:rsidR="00A86F61">
        <w:t xml:space="preserve"> til </w:t>
      </w:r>
      <w:r w:rsidR="00863703">
        <w:t>nesten 1,1 milliard</w:t>
      </w:r>
      <w:r w:rsidR="006516CA">
        <w:t xml:space="preserve"> </w:t>
      </w:r>
      <w:r w:rsidR="0040366B">
        <w:t>i 202</w:t>
      </w:r>
      <w:r w:rsidR="000B12C0">
        <w:t xml:space="preserve">2. </w:t>
      </w:r>
      <w:r w:rsidR="00CE62C1">
        <w:t>Prosentvis var veksten særlig sterk for «øvrige midler».</w:t>
      </w:r>
    </w:p>
    <w:p w14:paraId="06238958" w14:textId="213D14A1" w:rsidR="004263FD" w:rsidRDefault="004263FD" w:rsidP="004263FD">
      <w:pPr>
        <w:pStyle w:val="Bildetekst"/>
        <w:keepNext/>
      </w:pPr>
      <w:bookmarkStart w:id="163" w:name="_Ref134188430"/>
      <w:bookmarkStart w:id="164" w:name="_Toc134792796"/>
      <w:r>
        <w:t xml:space="preserve">Figur </w:t>
      </w:r>
      <w:r>
        <w:fldChar w:fldCharType="begin"/>
      </w:r>
      <w:r>
        <w:instrText>STYLEREF 1 \s</w:instrText>
      </w:r>
      <w:r>
        <w:fldChar w:fldCharType="separate"/>
      </w:r>
      <w:r w:rsidR="00F262EF">
        <w:rPr>
          <w:noProof/>
        </w:rPr>
        <w:t>3</w:t>
      </w:r>
      <w:r>
        <w:fldChar w:fldCharType="end"/>
      </w:r>
      <w:r>
        <w:t>.</w:t>
      </w:r>
      <w:r>
        <w:fldChar w:fldCharType="begin"/>
      </w:r>
      <w:r>
        <w:instrText>SEQ Figur \* ARABIC \s 1</w:instrText>
      </w:r>
      <w:r>
        <w:fldChar w:fldCharType="separate"/>
      </w:r>
      <w:r w:rsidR="00F262EF">
        <w:rPr>
          <w:noProof/>
        </w:rPr>
        <w:t>14</w:t>
      </w:r>
      <w:r>
        <w:fldChar w:fldCharType="end"/>
      </w:r>
      <w:bookmarkEnd w:id="163"/>
      <w:r>
        <w:t xml:space="preserve"> </w:t>
      </w:r>
      <w:r w:rsidRPr="005C2D9C">
        <w:t>Midler fra EU 2013–22. 1000 kr</w:t>
      </w:r>
      <w:bookmarkEnd w:id="164"/>
    </w:p>
    <w:p w14:paraId="1C589916" w14:textId="77777777" w:rsidR="004263FD" w:rsidRDefault="004263FD" w:rsidP="004263FD">
      <w:r>
        <w:rPr>
          <w:noProof/>
        </w:rPr>
        <w:drawing>
          <wp:inline distT="0" distB="0" distL="0" distR="0" wp14:anchorId="18EF3B20" wp14:editId="11AC6DEF">
            <wp:extent cx="5143500" cy="2895600"/>
            <wp:effectExtent l="0" t="0" r="0" b="0"/>
            <wp:docPr id="21" name="Diagram 21">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DF5A99A" w14:textId="486B0247" w:rsidR="004263FD" w:rsidRDefault="004263FD" w:rsidP="004263FD">
      <w:pPr>
        <w:pStyle w:val="Kilde"/>
      </w:pPr>
      <w:r>
        <w:t xml:space="preserve">Kilde: </w:t>
      </w:r>
      <w:proofErr w:type="spellStart"/>
      <w:r>
        <w:t>DBH</w:t>
      </w:r>
      <w:proofErr w:type="spellEnd"/>
    </w:p>
    <w:p w14:paraId="24782CCC" w14:textId="0E718068" w:rsidR="004263FD" w:rsidRDefault="004263FD" w:rsidP="004263FD">
      <w:proofErr w:type="spellStart"/>
      <w:r>
        <w:t>Vedleggstabell</w:t>
      </w:r>
      <w:proofErr w:type="spellEnd"/>
      <w:r>
        <w:t xml:space="preserve"> </w:t>
      </w:r>
      <w:hyperlink r:id="rId110" w:history="1">
        <w:r w:rsidRPr="00BF21B9">
          <w:rPr>
            <w:rStyle w:val="Hyperkobling"/>
          </w:rPr>
          <w:t>V3.27</w:t>
        </w:r>
      </w:hyperlink>
      <w:r>
        <w:t xml:space="preserve"> viser midler fra EU per faglig årsverk 2013</w:t>
      </w:r>
      <w:r w:rsidR="00827118">
        <w:t>–</w:t>
      </w:r>
      <w:r>
        <w:t>2022. Det har vært en betydelig vekst siste ti år. For universitetene og høyskolene samlet var gjennomsnittet i 2022 41 500 kroner mot 14 900 kroner i 2013. Av de statlige institusjonene hadde UiO det høyeste beløpet i 20</w:t>
      </w:r>
      <w:r w:rsidR="002A616A">
        <w:t>2</w:t>
      </w:r>
      <w:r>
        <w:t xml:space="preserve">2 med 82 500 kroner, fulgt av UiB med 72 000 kroner, NTNU med 58 000 kroner og </w:t>
      </w:r>
      <w:proofErr w:type="spellStart"/>
      <w:r>
        <w:t>NMBU</w:t>
      </w:r>
      <w:proofErr w:type="spellEnd"/>
      <w:r>
        <w:t xml:space="preserve"> med 53 000 kroner. Sterkest vekst de siste ti årene har NHH, der utgjorde midler fra EU i 2022 48 200 kroner per faglig årsverk. For små institusjoner kan årlige utslag bli store, som for </w:t>
      </w:r>
      <w:proofErr w:type="spellStart"/>
      <w:r>
        <w:t>HGUT</w:t>
      </w:r>
      <w:proofErr w:type="spellEnd"/>
      <w:r>
        <w:t>, som med 4 faglige årsverk fikk en økning fra 0 i 2021 til 114 800 i 2022.</w:t>
      </w:r>
    </w:p>
    <w:p w14:paraId="315B5C43" w14:textId="32CC9708" w:rsidR="004263FD" w:rsidRDefault="004263FD" w:rsidP="004263FD">
      <w:r>
        <w:t>Når vi sammenlikner tildelinger fra EU per faglige årsverk med tilsvarende for tildelinger fra Forskningsrådet (</w:t>
      </w:r>
      <w:hyperlink r:id="rId111" w:history="1">
        <w:r w:rsidRPr="00BF21B9">
          <w:rPr>
            <w:rStyle w:val="Hyperkobling"/>
          </w:rPr>
          <w:t>V3.23</w:t>
        </w:r>
      </w:hyperlink>
      <w:r>
        <w:t xml:space="preserve"> og</w:t>
      </w:r>
      <w:r w:rsidR="00280CCE">
        <w:t xml:space="preserve"> kapittel </w:t>
      </w:r>
      <w:r w:rsidR="00280CCE">
        <w:fldChar w:fldCharType="begin"/>
      </w:r>
      <w:r w:rsidR="00280CCE">
        <w:instrText xml:space="preserve"> REF _Ref134447817 \r \h </w:instrText>
      </w:r>
      <w:r w:rsidR="00280CCE">
        <w:fldChar w:fldCharType="separate"/>
      </w:r>
      <w:r w:rsidR="00F262EF">
        <w:t>3.10</w:t>
      </w:r>
      <w:r w:rsidR="00280CCE">
        <w:fldChar w:fldCharType="end"/>
      </w:r>
      <w:r>
        <w:t xml:space="preserve">), er forholdet mellom institusjonene i stor grad den samme for begge finansieringskildene. I begge tilfeller er det, UiO, UiB, NTNU og </w:t>
      </w:r>
      <w:proofErr w:type="spellStart"/>
      <w:r>
        <w:t>NMBU</w:t>
      </w:r>
      <w:proofErr w:type="spellEnd"/>
      <w:r>
        <w:t xml:space="preserve"> som kommer </w:t>
      </w:r>
      <w:r w:rsidR="00675790">
        <w:t xml:space="preserve">klart </w:t>
      </w:r>
      <w:r>
        <w:t>høyest ut</w:t>
      </w:r>
      <w:r w:rsidR="00675790">
        <w:t>, se</w:t>
      </w:r>
      <w:r w:rsidR="00565372">
        <w:t>tt</w:t>
      </w:r>
      <w:r w:rsidR="00675790">
        <w:t xml:space="preserve"> bort</w:t>
      </w:r>
      <w:r w:rsidR="00565372">
        <w:t xml:space="preserve"> i</w:t>
      </w:r>
      <w:r w:rsidR="00675790">
        <w:t xml:space="preserve"> fra </w:t>
      </w:r>
      <w:r w:rsidR="00565372">
        <w:t xml:space="preserve">eksempelet med </w:t>
      </w:r>
      <w:proofErr w:type="spellStart"/>
      <w:r w:rsidR="00675790">
        <w:t>HGUT</w:t>
      </w:r>
      <w:proofErr w:type="spellEnd"/>
      <w:r w:rsidR="00675790">
        <w:t xml:space="preserve"> ovenfor</w:t>
      </w:r>
      <w:r>
        <w:t xml:space="preserve">. </w:t>
      </w:r>
      <w:r w:rsidR="009178C0">
        <w:t>Imidlertid</w:t>
      </w:r>
      <w:r>
        <w:t xml:space="preserve"> er dominansen til de fire største </w:t>
      </w:r>
      <w:r w:rsidR="009178C0">
        <w:t>enda</w:t>
      </w:r>
      <w:r>
        <w:t xml:space="preserve"> sterkere når det gjelder EU-midler.</w:t>
      </w:r>
    </w:p>
    <w:p w14:paraId="5F152E21" w14:textId="77777777" w:rsidR="00BB5BA7" w:rsidRDefault="00BB5BA7" w:rsidP="00717283"/>
    <w:p w14:paraId="5836E34A" w14:textId="77777777" w:rsidR="00476E93" w:rsidRDefault="00476E93">
      <w:r>
        <w:br w:type="page"/>
      </w:r>
    </w:p>
    <w:p w14:paraId="34AC4A35" w14:textId="68CAEC3D" w:rsidR="00137C10" w:rsidRDefault="00E3200E" w:rsidP="00AE4B98">
      <w:pPr>
        <w:pStyle w:val="Overskrift3"/>
      </w:pPr>
      <w:bookmarkStart w:id="165" w:name="_Toc134792748"/>
      <w:r w:rsidRPr="00E3200E">
        <w:lastRenderedPageBreak/>
        <w:t>Verdien av Horisont 2020-kontraktene per FoU-årsverk – nasjonal styringsparameter</w:t>
      </w:r>
      <w:bookmarkEnd w:id="165"/>
    </w:p>
    <w:p w14:paraId="0746908B" w14:textId="25624E0E" w:rsidR="00717283" w:rsidRDefault="00E86F77" w:rsidP="00717283">
      <w:r>
        <w:t>Dette oppslaget har med tall fra rammeprogrammet for</w:t>
      </w:r>
      <w:r w:rsidR="00233D30">
        <w:t xml:space="preserve"> forskning og innovasjon og verdien av prosjektkontrakter signert det enkelte år.</w:t>
      </w:r>
      <w:r w:rsidR="00A65E07">
        <w:t xml:space="preserve"> </w:t>
      </w:r>
      <w:r w:rsidR="00322C4B">
        <w:t>V</w:t>
      </w:r>
      <w:r w:rsidR="00C97063">
        <w:t>erdien av kontrakter</w:t>
      </w:r>
      <w:r w:rsidR="00E1648B">
        <w:t xml:space="preserve"> fra EUs rammeprogram </w:t>
      </w:r>
      <w:r w:rsidR="00322C4B">
        <w:t>for</w:t>
      </w:r>
      <w:r w:rsidR="00E1648B">
        <w:t xml:space="preserve"> forskning og innovasjon </w:t>
      </w:r>
      <w:r w:rsidR="00184E66">
        <w:t xml:space="preserve">per </w:t>
      </w:r>
      <w:r w:rsidR="001B69DA">
        <w:t>F</w:t>
      </w:r>
      <w:r w:rsidR="00CF2A7C">
        <w:t>o</w:t>
      </w:r>
      <w:r w:rsidR="001B69DA">
        <w:t>U</w:t>
      </w:r>
      <w:r w:rsidR="00CF2A7C">
        <w:t>-årsverk</w:t>
      </w:r>
      <w:r w:rsidR="00C23860">
        <w:t xml:space="preserve"> </w:t>
      </w:r>
      <w:r w:rsidR="00AC7DEC">
        <w:t>har vært blant de</w:t>
      </w:r>
      <w:r w:rsidR="00AD5C66">
        <w:t xml:space="preserve"> nasjonal</w:t>
      </w:r>
      <w:r w:rsidR="00AC7DEC">
        <w:t>e</w:t>
      </w:r>
      <w:r w:rsidR="00AD5C66">
        <w:t xml:space="preserve"> styringsparameter</w:t>
      </w:r>
      <w:r w:rsidR="00AC7DEC">
        <w:t>ne</w:t>
      </w:r>
      <w:r w:rsidR="0009720E">
        <w:t>.</w:t>
      </w:r>
      <w:r w:rsidR="00C00F07">
        <w:rPr>
          <w:rStyle w:val="Fotnotereferanse"/>
        </w:rPr>
        <w:footnoteReference w:id="15"/>
      </w:r>
      <w:r w:rsidR="00901384">
        <w:t xml:space="preserve"> </w:t>
      </w:r>
      <w:r w:rsidR="001403D6" w:rsidDel="00ED1670">
        <w:t xml:space="preserve">Her </w:t>
      </w:r>
      <w:r w:rsidR="00915389">
        <w:t>deles</w:t>
      </w:r>
      <w:r w:rsidR="001403D6" w:rsidDel="00ED1670">
        <w:t xml:space="preserve"> totalverdien av</w:t>
      </w:r>
      <w:r w:rsidR="00914F1F">
        <w:t xml:space="preserve"> </w:t>
      </w:r>
      <w:r w:rsidR="001A5E31">
        <w:t xml:space="preserve">institusjonenes </w:t>
      </w:r>
      <w:r w:rsidR="00914F1F">
        <w:t>inngåtte</w:t>
      </w:r>
      <w:r w:rsidR="001403D6" w:rsidDel="00ED1670">
        <w:t xml:space="preserve"> </w:t>
      </w:r>
      <w:r w:rsidR="00CA53B4" w:rsidDel="00ED1670">
        <w:t>pro</w:t>
      </w:r>
      <w:r w:rsidR="00A02A65" w:rsidDel="00ED1670">
        <w:t>sjektkontrakte</w:t>
      </w:r>
      <w:r w:rsidR="00A02A65">
        <w:t>r</w:t>
      </w:r>
      <w:r w:rsidR="00A02A65" w:rsidDel="00ED1670">
        <w:t xml:space="preserve"> </w:t>
      </w:r>
      <w:r w:rsidR="00CD3D08" w:rsidDel="00ED1670">
        <w:t xml:space="preserve">på </w:t>
      </w:r>
      <w:r w:rsidR="00781C21" w:rsidDel="00ED1670">
        <w:t xml:space="preserve">antall </w:t>
      </w:r>
      <w:r w:rsidR="00E5183D" w:rsidDel="00ED1670">
        <w:t>FoU</w:t>
      </w:r>
      <w:r w:rsidR="00781C21" w:rsidDel="00ED1670">
        <w:t xml:space="preserve">-årsverk </w:t>
      </w:r>
      <w:r w:rsidR="00823943" w:rsidDel="00ED1670">
        <w:t>ved institusjonen.</w:t>
      </w:r>
      <w:r w:rsidR="0069055C" w:rsidDel="00ED1670">
        <w:t xml:space="preserve"> </w:t>
      </w:r>
      <w:r w:rsidR="0069055C">
        <w:fldChar w:fldCharType="begin"/>
      </w:r>
      <w:r w:rsidR="0069055C">
        <w:instrText xml:space="preserve"> REF _Ref133168745 \h </w:instrText>
      </w:r>
      <w:r w:rsidR="0069055C">
        <w:fldChar w:fldCharType="separate"/>
      </w:r>
      <w:r w:rsidR="00F262EF">
        <w:t xml:space="preserve">Figur </w:t>
      </w:r>
      <w:r w:rsidR="00F262EF">
        <w:rPr>
          <w:noProof/>
        </w:rPr>
        <w:t>3</w:t>
      </w:r>
      <w:r w:rsidR="00F262EF">
        <w:t>.</w:t>
      </w:r>
      <w:r w:rsidR="00F262EF">
        <w:rPr>
          <w:noProof/>
        </w:rPr>
        <w:t>15</w:t>
      </w:r>
      <w:r w:rsidR="0069055C">
        <w:fldChar w:fldCharType="end"/>
      </w:r>
      <w:r w:rsidR="00717283">
        <w:t xml:space="preserve"> viser </w:t>
      </w:r>
      <w:r w:rsidR="00583D04">
        <w:t xml:space="preserve">denne </w:t>
      </w:r>
      <w:r w:rsidR="004475E8">
        <w:t>indikatoren</w:t>
      </w:r>
      <w:r w:rsidR="0028640B">
        <w:t xml:space="preserve"> for </w:t>
      </w:r>
      <w:r w:rsidR="00BC6193">
        <w:t>perioden 2019</w:t>
      </w:r>
      <w:r w:rsidR="00827118">
        <w:t>–</w:t>
      </w:r>
      <w:r w:rsidR="00BC6193">
        <w:t>2022.</w:t>
      </w:r>
      <w:r w:rsidR="00CD5FDE">
        <w:t xml:space="preserve"> </w:t>
      </w:r>
      <w:r w:rsidR="00F0110C">
        <w:t>Fordi</w:t>
      </w:r>
      <w:r w:rsidR="002D59B8">
        <w:t xml:space="preserve"> </w:t>
      </w:r>
      <w:r w:rsidR="00AD092D">
        <w:t xml:space="preserve">utgangspunktet er </w:t>
      </w:r>
      <w:r w:rsidR="00BF0FF6">
        <w:t>tidspunkt</w:t>
      </w:r>
      <w:r w:rsidR="00AD092D">
        <w:t xml:space="preserve"> for kontraktsignering, </w:t>
      </w:r>
      <w:r w:rsidR="005564C8">
        <w:t>kan variasjonene f</w:t>
      </w:r>
      <w:r w:rsidR="001508F3">
        <w:t>ra år til år bli større enn i periodiserte budsjetter.</w:t>
      </w:r>
    </w:p>
    <w:p w14:paraId="17B553EE" w14:textId="2543D1E5" w:rsidR="00C926AF" w:rsidRDefault="00C926AF" w:rsidP="00C926AF">
      <w:pPr>
        <w:pStyle w:val="Bildetekst"/>
        <w:keepNext/>
      </w:pPr>
      <w:bookmarkStart w:id="166" w:name="_Ref129767402"/>
      <w:bookmarkStart w:id="167" w:name="_Ref133168745"/>
      <w:bookmarkStart w:id="168" w:name="_Toc134792797"/>
      <w:r>
        <w:t xml:space="preserve">Figur </w:t>
      </w:r>
      <w:bookmarkEnd w:id="166"/>
      <w:r w:rsidR="004F2208">
        <w:fldChar w:fldCharType="begin"/>
      </w:r>
      <w:r w:rsidR="004F2208">
        <w:instrText xml:space="preserve"> STYLEREF 1 \s </w:instrText>
      </w:r>
      <w:r w:rsidR="004F2208">
        <w:fldChar w:fldCharType="separate"/>
      </w:r>
      <w:r w:rsidR="00F262EF">
        <w:rPr>
          <w:noProof/>
        </w:rPr>
        <w:t>3</w:t>
      </w:r>
      <w:r w:rsidR="004F2208">
        <w:fldChar w:fldCharType="end"/>
      </w:r>
      <w:r w:rsidR="004F2208">
        <w:t>.</w:t>
      </w:r>
      <w:r>
        <w:fldChar w:fldCharType="begin"/>
      </w:r>
      <w:r>
        <w:instrText>SEQ Figur \* ARABIC \s 1</w:instrText>
      </w:r>
      <w:r>
        <w:fldChar w:fldCharType="separate"/>
      </w:r>
      <w:r w:rsidR="00F262EF">
        <w:rPr>
          <w:noProof/>
        </w:rPr>
        <w:t>15</w:t>
      </w:r>
      <w:r>
        <w:fldChar w:fldCharType="end"/>
      </w:r>
      <w:bookmarkEnd w:id="167"/>
      <w:r>
        <w:t xml:space="preserve"> </w:t>
      </w:r>
      <w:r w:rsidRPr="00080778">
        <w:t>Verdien av kontrakter fra EUs rammeprogram for forskning og innovasjon per FoU-årsverk 2019–</w:t>
      </w:r>
      <w:r w:rsidR="00827118">
        <w:t>20</w:t>
      </w:r>
      <w:r w:rsidRPr="00080778">
        <w:t>22. Euro</w:t>
      </w:r>
      <w:bookmarkEnd w:id="168"/>
      <w:r w:rsidR="00084147">
        <w:t xml:space="preserve"> </w:t>
      </w:r>
    </w:p>
    <w:p w14:paraId="2EADDE9D" w14:textId="26C0B0B9" w:rsidR="00303E74" w:rsidRDefault="000761D8" w:rsidP="00303E74">
      <w:r>
        <w:rPr>
          <w:noProof/>
        </w:rPr>
        <w:drawing>
          <wp:inline distT="0" distB="0" distL="0" distR="0" wp14:anchorId="112BC803" wp14:editId="66A13D0F">
            <wp:extent cx="5135525" cy="2604977"/>
            <wp:effectExtent l="0" t="0" r="8255" b="5080"/>
            <wp:docPr id="44" name="Diagram 44">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CA6DEDA" w14:textId="01468F98" w:rsidR="00856011" w:rsidRDefault="003C7128" w:rsidP="003C7128">
      <w:pPr>
        <w:pStyle w:val="Kilde"/>
      </w:pPr>
      <w:r>
        <w:t xml:space="preserve">Kilde: Forskningsrådet og </w:t>
      </w:r>
      <w:r w:rsidR="00AB305E" w:rsidRPr="00AB305E">
        <w:t>Statistisk sentralbyrå, FoU-statistikk</w:t>
      </w:r>
    </w:p>
    <w:p w14:paraId="0B26FB6A" w14:textId="450AD7E5" w:rsidR="007B66CE" w:rsidRDefault="003B0EAA" w:rsidP="00E14065">
      <w:proofErr w:type="spellStart"/>
      <w:r>
        <w:t>Vedleggstabell</w:t>
      </w:r>
      <w:proofErr w:type="spellEnd"/>
      <w:r w:rsidR="00126F8F">
        <w:t xml:space="preserve"> </w:t>
      </w:r>
      <w:hyperlink r:id="rId113" w:history="1">
        <w:r w:rsidR="00126F8F" w:rsidRPr="00BF21B9">
          <w:rPr>
            <w:rStyle w:val="Hyperkobling"/>
          </w:rPr>
          <w:t>V3.28</w:t>
        </w:r>
      </w:hyperlink>
      <w:r w:rsidR="00126F8F">
        <w:t xml:space="preserve"> viser indikatoren </w:t>
      </w:r>
      <w:r w:rsidR="005D5714">
        <w:t xml:space="preserve">på institusjonsnivå </w:t>
      </w:r>
      <w:r w:rsidR="00AE75A2">
        <w:t xml:space="preserve">i tidsserie fra 2014. </w:t>
      </w:r>
      <w:r w:rsidR="00BF55DE">
        <w:t xml:space="preserve">For </w:t>
      </w:r>
      <w:r w:rsidR="004B2818">
        <w:t>statlige institusjoner</w:t>
      </w:r>
      <w:r w:rsidR="00204C44">
        <w:t xml:space="preserve"> </w:t>
      </w:r>
      <w:r w:rsidR="00061423">
        <w:t>samlet</w:t>
      </w:r>
      <w:r w:rsidR="00204C44">
        <w:t xml:space="preserve"> var verdien </w:t>
      </w:r>
      <w:r w:rsidR="009630B1">
        <w:t xml:space="preserve">per </w:t>
      </w:r>
      <w:r w:rsidR="00074327">
        <w:t>FoU-</w:t>
      </w:r>
      <w:r w:rsidR="009630B1">
        <w:t xml:space="preserve">årsverk </w:t>
      </w:r>
      <w:r w:rsidR="00061423">
        <w:t>i underkant av</w:t>
      </w:r>
      <w:r w:rsidR="007022EE">
        <w:t xml:space="preserve"> 1</w:t>
      </w:r>
      <w:r w:rsidR="00D56692">
        <w:t>0</w:t>
      </w:r>
      <w:r w:rsidR="007022EE">
        <w:t> 500 euro i 2022</w:t>
      </w:r>
      <w:r w:rsidR="00486384">
        <w:t>, det høyeste beløpet i denne perioden.</w:t>
      </w:r>
      <w:r w:rsidR="001C43C8">
        <w:t xml:space="preserve"> </w:t>
      </w:r>
      <w:r w:rsidR="00074327">
        <w:t>UiO hadde det høyeste beløpet i 2022 med i overkant av 18 000 eu</w:t>
      </w:r>
      <w:r w:rsidR="00D516CA">
        <w:t xml:space="preserve">ro, fulgt av </w:t>
      </w:r>
      <w:r w:rsidR="00B87326">
        <w:t xml:space="preserve">NTNU og </w:t>
      </w:r>
      <w:proofErr w:type="spellStart"/>
      <w:r w:rsidR="00B87326">
        <w:t>NMBU</w:t>
      </w:r>
      <w:proofErr w:type="spellEnd"/>
      <w:r w:rsidR="00B87326">
        <w:t xml:space="preserve"> med henholdsvis 1</w:t>
      </w:r>
      <w:r w:rsidR="00490617">
        <w:t>2</w:t>
      </w:r>
      <w:r w:rsidR="00B87326">
        <w:t> </w:t>
      </w:r>
      <w:r w:rsidR="00490617">
        <w:t>5</w:t>
      </w:r>
      <w:r w:rsidR="00B87326">
        <w:t>00 og 12 000 euro per FoU-årsverk.</w:t>
      </w:r>
    </w:p>
    <w:p w14:paraId="06443A95" w14:textId="552F1AE1" w:rsidR="00E14065" w:rsidRDefault="006A43ED" w:rsidP="00E14065">
      <w:r>
        <w:t>Gjennomsnittstallene</w:t>
      </w:r>
      <w:r w:rsidR="000337BE">
        <w:t xml:space="preserve"> </w:t>
      </w:r>
      <w:r w:rsidR="00876F72">
        <w:t>indikerer</w:t>
      </w:r>
      <w:r w:rsidR="00D23465">
        <w:t xml:space="preserve"> at EU-tildelinger står for en relativt liten del av sektorens </w:t>
      </w:r>
      <w:r w:rsidR="00876F72">
        <w:t xml:space="preserve">utgifter til </w:t>
      </w:r>
      <w:r w:rsidR="007D1716">
        <w:t xml:space="preserve">FoU. </w:t>
      </w:r>
      <w:r w:rsidR="00161323">
        <w:t>Ifølge SSBs FoU-statistik</w:t>
      </w:r>
      <w:r w:rsidR="00107EC3">
        <w:t xml:space="preserve">k </w:t>
      </w:r>
      <w:r w:rsidR="005B7643">
        <w:t xml:space="preserve">utgjorde </w:t>
      </w:r>
      <w:r w:rsidR="00FF0347">
        <w:t>finansiering fra EU-</w:t>
      </w:r>
      <w:r w:rsidR="00BF4D99">
        <w:t>institusjoner</w:t>
      </w:r>
      <w:r w:rsidR="004C41FB">
        <w:t xml:space="preserve"> </w:t>
      </w:r>
      <w:r w:rsidR="0006360A">
        <w:t>3,4 prosent av samlede</w:t>
      </w:r>
      <w:r w:rsidR="002B68BC">
        <w:t xml:space="preserve"> </w:t>
      </w:r>
      <w:r w:rsidR="0017152E">
        <w:t xml:space="preserve">driftsutgifter til FoU i </w:t>
      </w:r>
      <w:r w:rsidR="00B90AF2">
        <w:t>universitets- og høyskolesektoren</w:t>
      </w:r>
      <w:r w:rsidR="00E14065">
        <w:t xml:space="preserve"> i 2021.</w:t>
      </w:r>
    </w:p>
    <w:p w14:paraId="6CC2E0BE" w14:textId="0CE4F58D" w:rsidR="00D23465" w:rsidRDefault="00D23465" w:rsidP="00D23465">
      <w:pPr>
        <w:pStyle w:val="Kilde"/>
      </w:pPr>
    </w:p>
    <w:p w14:paraId="3E0A6D7A" w14:textId="77777777" w:rsidR="00E14065" w:rsidRDefault="00E14065">
      <w:pPr>
        <w:rPr>
          <w:rFonts w:asciiTheme="majorHAnsi" w:eastAsiaTheme="majorEastAsia" w:hAnsiTheme="majorHAnsi" w:cstheme="majorBidi"/>
          <w:b/>
          <w:color w:val="362683"/>
          <w:sz w:val="24"/>
          <w:szCs w:val="26"/>
        </w:rPr>
      </w:pPr>
      <w:r>
        <w:br w:type="page"/>
      </w:r>
    </w:p>
    <w:p w14:paraId="38EE7193" w14:textId="7986A8E6" w:rsidR="00464403" w:rsidRDefault="00B77ACF" w:rsidP="00AE4B98">
      <w:pPr>
        <w:pStyle w:val="Overskrift3"/>
      </w:pPr>
      <w:bookmarkStart w:id="169" w:name="_Toc134792749"/>
      <w:r>
        <w:lastRenderedPageBreak/>
        <w:t>Universiteter og høyskoler i Horisont Europa</w:t>
      </w:r>
      <w:bookmarkEnd w:id="169"/>
    </w:p>
    <w:p w14:paraId="5E2EFCEC" w14:textId="28DFFA36" w:rsidR="00A14666" w:rsidRDefault="00A078DA">
      <w:r w:rsidRPr="002037E6">
        <w:t xml:space="preserve">Horisont Europa er verdens største forsknings- og innovasjonsprogram med et budsjett på 95,5 milliarder euro. </w:t>
      </w:r>
      <w:r w:rsidR="00CB29D4">
        <w:t xml:space="preserve">Det startet opp 1. januar </w:t>
      </w:r>
      <w:r w:rsidR="00040028">
        <w:t>2021 som EUs niende rammeprogram for forskning og innovasjon, og har en varighet på syv år.</w:t>
      </w:r>
    </w:p>
    <w:p w14:paraId="6DDF0A50" w14:textId="72E5D961" w:rsidR="00EE2215" w:rsidRDefault="00EE2215" w:rsidP="00EE2215">
      <w:pPr>
        <w:pStyle w:val="Bildetekst"/>
        <w:keepNext/>
      </w:pPr>
      <w:bookmarkStart w:id="170" w:name="_Ref130801649"/>
      <w:bookmarkStart w:id="171" w:name="_Toc134792798"/>
      <w:r>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16</w:t>
      </w:r>
      <w:r>
        <w:fldChar w:fldCharType="end"/>
      </w:r>
      <w:bookmarkEnd w:id="170"/>
      <w:r>
        <w:t xml:space="preserve"> Horisont Europa, programstruktur</w:t>
      </w:r>
      <w:r w:rsidR="00986056">
        <w:t xml:space="preserve"> med budsjett per område</w:t>
      </w:r>
      <w:bookmarkEnd w:id="171"/>
    </w:p>
    <w:p w14:paraId="4E3EA7DA" w14:textId="57D79316" w:rsidR="00A14666" w:rsidRPr="002037E6" w:rsidRDefault="00590367">
      <w:r>
        <w:rPr>
          <w:noProof/>
        </w:rPr>
        <w:drawing>
          <wp:inline distT="0" distB="0" distL="0" distR="0" wp14:anchorId="52A3ED16" wp14:editId="12FCCB7E">
            <wp:extent cx="5179162" cy="2293620"/>
            <wp:effectExtent l="0" t="0" r="2540" b="0"/>
            <wp:docPr id="428834455" name="Bilde 428834455" descr="Et bilde som inneholder tekst, Nettste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55" name="Bilde 1" descr="Et bilde som inneholder tekst, Nettsted&#10;&#10;Automatisk generert beskrivelse"/>
                    <pic:cNvPicPr/>
                  </pic:nvPicPr>
                  <pic:blipFill>
                    <a:blip r:embed="rId114"/>
                    <a:stretch>
                      <a:fillRect/>
                    </a:stretch>
                  </pic:blipFill>
                  <pic:spPr>
                    <a:xfrm>
                      <a:off x="0" y="0"/>
                      <a:ext cx="5196400" cy="2301254"/>
                    </a:xfrm>
                    <a:prstGeom prst="rect">
                      <a:avLst/>
                    </a:prstGeom>
                  </pic:spPr>
                </pic:pic>
              </a:graphicData>
            </a:graphic>
          </wp:inline>
        </w:drawing>
      </w:r>
    </w:p>
    <w:p w14:paraId="47A60D63" w14:textId="46864F11" w:rsidR="005B164F" w:rsidRDefault="00B1590A" w:rsidP="005B164F">
      <w:r>
        <w:t>De første resultatene fra Horisont Europa (2021</w:t>
      </w:r>
      <w:r w:rsidR="00827118">
        <w:t>–</w:t>
      </w:r>
      <w:r>
        <w:t>2027) samlet viser god norsk uttelling. Norske aktører har mottatt 488 millioner euro</w:t>
      </w:r>
      <w:r w:rsidR="005E4860">
        <w:t>,</w:t>
      </w:r>
      <w:r>
        <w:t xml:space="preserve"> mens prosjekter med norsk deltakelse har totalbudsjett på rundt 35 milliarder euro.</w:t>
      </w:r>
      <w:r w:rsidR="00BA3F42">
        <w:t xml:space="preserve"> Instituttsektoren og næringslivet står for </w:t>
      </w:r>
      <w:r w:rsidR="00DE67A1">
        <w:t>over halvparten av tildelingene</w:t>
      </w:r>
      <w:r w:rsidR="00DC3074">
        <w:t xml:space="preserve">, mens </w:t>
      </w:r>
      <w:r w:rsidR="005B164F">
        <w:t>norske</w:t>
      </w:r>
      <w:r w:rsidR="00422CF8">
        <w:t xml:space="preserve"> universiteter og høyskoler </w:t>
      </w:r>
      <w:r w:rsidR="00B63D0E">
        <w:t>så langt</w:t>
      </w:r>
      <w:r w:rsidR="00862B5C">
        <w:t xml:space="preserve"> har</w:t>
      </w:r>
      <w:r w:rsidR="00B63D0E">
        <w:t xml:space="preserve"> mottatt 122 millioner euro fra Horisont Europa.</w:t>
      </w:r>
      <w:r w:rsidR="00065E7F">
        <w:t xml:space="preserve"> </w:t>
      </w:r>
      <w:r w:rsidR="006E3444" w:rsidRPr="00E32AC5">
        <w:rPr>
          <w:i/>
          <w:iCs/>
        </w:rPr>
        <w:t>Returandelen</w:t>
      </w:r>
      <w:r w:rsidR="006E3444">
        <w:t xml:space="preserve"> viser hvor stor andel av utlyste midler d</w:t>
      </w:r>
      <w:r w:rsidR="009D56E5">
        <w:t xml:space="preserve">e ulike landene har fått. </w:t>
      </w:r>
      <w:r w:rsidR="00527AA4">
        <w:t xml:space="preserve">Foreløpige tall for 2022 </w:t>
      </w:r>
      <w:r w:rsidR="00BA7231">
        <w:t xml:space="preserve">indikerte en </w:t>
      </w:r>
      <w:r w:rsidR="005B164F">
        <w:t>norsk returandel på 3,35 prosent, høyest av alle de nordiske landene, og høyere enn noen gang tidligere.</w:t>
      </w:r>
    </w:p>
    <w:p w14:paraId="0860B313" w14:textId="499E37B7" w:rsidR="00DC658D" w:rsidRDefault="00065E7F" w:rsidP="00DC658D">
      <w:r w:rsidRPr="00AF5F95">
        <w:t>Totalbudsjettet for prosjektene</w:t>
      </w:r>
      <w:r w:rsidR="00632060">
        <w:t xml:space="preserve"> der </w:t>
      </w:r>
      <w:r w:rsidR="002A5E9C">
        <w:t xml:space="preserve">norske universiteter og høyskoler </w:t>
      </w:r>
      <w:r w:rsidR="00632060">
        <w:t>inngå</w:t>
      </w:r>
      <w:r w:rsidR="00430F49">
        <w:t>r</w:t>
      </w:r>
      <w:r w:rsidR="00632060">
        <w:t xml:space="preserve">, </w:t>
      </w:r>
      <w:r>
        <w:t>er på nesten 1,5 milliarder euro. Det mangler imidlertid fortsatt m</w:t>
      </w:r>
      <w:r w:rsidR="00843C52">
        <w:t>ange</w:t>
      </w:r>
      <w:r>
        <w:t xml:space="preserve"> resultater fra 2022</w:t>
      </w:r>
      <w:r w:rsidR="004A4D38">
        <w:t>-utlysningene</w:t>
      </w:r>
      <w:r>
        <w:t xml:space="preserve">. </w:t>
      </w:r>
      <w:r w:rsidRPr="00F65030">
        <w:t>Det</w:t>
      </w:r>
      <w:r w:rsidR="0083279E">
        <w:t xml:space="preserve">te gjelder i større eller mindre grad </w:t>
      </w:r>
      <w:proofErr w:type="spellStart"/>
      <w:r>
        <w:t>ERC</w:t>
      </w:r>
      <w:proofErr w:type="spellEnd"/>
      <w:r>
        <w:t xml:space="preserve"> (Det </w:t>
      </w:r>
      <w:r w:rsidRPr="00A94600">
        <w:t>europeiske forskningsrådet</w:t>
      </w:r>
      <w:r w:rsidRPr="00F65030">
        <w:t>)</w:t>
      </w:r>
      <w:r w:rsidRPr="00A94600">
        <w:t xml:space="preserve"> og </w:t>
      </w:r>
      <w:proofErr w:type="spellStart"/>
      <w:r w:rsidRPr="00A94600">
        <w:t>MSCA</w:t>
      </w:r>
      <w:proofErr w:type="spellEnd"/>
      <w:r w:rsidRPr="00A94600">
        <w:t xml:space="preserve"> (Marie </w:t>
      </w:r>
      <w:proofErr w:type="spellStart"/>
      <w:r w:rsidRPr="00A94600">
        <w:t>Skłodowska</w:t>
      </w:r>
      <w:proofErr w:type="spellEnd"/>
      <w:r w:rsidRPr="00A94600">
        <w:t xml:space="preserve"> Curie </w:t>
      </w:r>
      <w:proofErr w:type="spellStart"/>
      <w:r w:rsidR="00BA63CE">
        <w:t>A</w:t>
      </w:r>
      <w:r w:rsidRPr="00A94600">
        <w:t>ctions</w:t>
      </w:r>
      <w:proofErr w:type="spellEnd"/>
      <w:r w:rsidRPr="00A94600">
        <w:t>)</w:t>
      </w:r>
      <w:r w:rsidR="00BB5ED1">
        <w:t>,</w:t>
      </w:r>
      <w:r w:rsidR="001270C7" w:rsidRPr="001270C7">
        <w:t xml:space="preserve"> et prestisjetungt stipend for erfarne forskere som ønsker å jobbe med et selvstendig valgt forskningsprosjekt i utlandet.</w:t>
      </w:r>
      <w:r w:rsidRPr="00A94600">
        <w:t xml:space="preserve"> </w:t>
      </w:r>
      <w:r w:rsidR="00DC2D8C">
        <w:t>Om lag</w:t>
      </w:r>
      <w:r w:rsidRPr="00F65030">
        <w:t xml:space="preserve"> to tredjedeler av </w:t>
      </w:r>
      <w:r w:rsidR="004E4EE1">
        <w:t xml:space="preserve">tildelinger </w:t>
      </w:r>
      <w:r w:rsidR="000D3A3F">
        <w:t>til</w:t>
      </w:r>
      <w:r>
        <w:t xml:space="preserve"> </w:t>
      </w:r>
      <w:r w:rsidRPr="00F65030">
        <w:t>UH-sektoren</w:t>
      </w:r>
      <w:r>
        <w:t xml:space="preserve"> </w:t>
      </w:r>
      <w:r w:rsidR="00854FAD">
        <w:t>fra Horisont Europa</w:t>
      </w:r>
      <w:r w:rsidR="008F6295">
        <w:t xml:space="preserve"> til nå</w:t>
      </w:r>
      <w:r w:rsidRPr="00F65030">
        <w:t xml:space="preserve"> er fra 2021-utlysninger, </w:t>
      </w:r>
      <w:r w:rsidR="008F6295">
        <w:t>og</w:t>
      </w:r>
      <w:r>
        <w:t xml:space="preserve"> </w:t>
      </w:r>
      <w:r w:rsidRPr="00F65030">
        <w:t>en tredjedel</w:t>
      </w:r>
      <w:r>
        <w:t xml:space="preserve"> </w:t>
      </w:r>
      <w:r w:rsidR="008F6295">
        <w:t>fra utlysninger i</w:t>
      </w:r>
      <w:r>
        <w:t xml:space="preserve"> </w:t>
      </w:r>
      <w:r w:rsidRPr="00F65030">
        <w:t>2022.</w:t>
      </w:r>
      <w:bookmarkStart w:id="172" w:name="_Ref134180592"/>
      <w:r w:rsidR="00520340">
        <w:rPr>
          <w:rStyle w:val="Fotnotereferanse"/>
        </w:rPr>
        <w:footnoteReference w:id="16"/>
      </w:r>
      <w:bookmarkEnd w:id="172"/>
      <w:r w:rsidR="007F573A">
        <w:t xml:space="preserve"> </w:t>
      </w:r>
      <w:r w:rsidR="007F573A" w:rsidRPr="007F573A">
        <w:t xml:space="preserve">Så langt har hele 70 prosent av alle utlyste midler </w:t>
      </w:r>
      <w:r w:rsidR="00025231">
        <w:t>i Horisont Europa</w:t>
      </w:r>
      <w:r w:rsidR="007F573A" w:rsidRPr="007F573A">
        <w:t xml:space="preserve"> tilhørt søyle 2, Globale utfordringer, mens lite er utlyst og tildelt i søyle 3, </w:t>
      </w:r>
      <w:r w:rsidR="00A947A7">
        <w:t>Innovativt Europa</w:t>
      </w:r>
      <w:r w:rsidR="00EE0B65">
        <w:t xml:space="preserve"> (se </w:t>
      </w:r>
      <w:r w:rsidR="006F109A">
        <w:fldChar w:fldCharType="begin"/>
      </w:r>
      <w:r w:rsidR="006F109A">
        <w:instrText xml:space="preserve"> REF  _Ref130801649 \* Lower \h </w:instrText>
      </w:r>
      <w:r w:rsidR="006F109A">
        <w:fldChar w:fldCharType="separate"/>
      </w:r>
      <w:r w:rsidR="00F262EF">
        <w:t xml:space="preserve">figur </w:t>
      </w:r>
      <w:r w:rsidR="00F262EF">
        <w:rPr>
          <w:noProof/>
        </w:rPr>
        <w:t>3</w:t>
      </w:r>
      <w:r w:rsidR="00F262EF">
        <w:t>.</w:t>
      </w:r>
      <w:r w:rsidR="00F262EF">
        <w:rPr>
          <w:noProof/>
        </w:rPr>
        <w:t>16</w:t>
      </w:r>
      <w:r w:rsidR="006F109A">
        <w:fldChar w:fldCharType="end"/>
      </w:r>
      <w:r w:rsidR="00ED5B9A">
        <w:t>).</w:t>
      </w:r>
    </w:p>
    <w:p w14:paraId="79DDD767" w14:textId="54C73D49" w:rsidR="00A27377" w:rsidRDefault="00A27377" w:rsidP="00A27377">
      <w:pPr>
        <w:pStyle w:val="Bildetekst"/>
        <w:keepNext/>
      </w:pPr>
      <w:bookmarkStart w:id="173" w:name="_Ref130802276"/>
      <w:bookmarkStart w:id="174" w:name="_Toc134792799"/>
      <w:r>
        <w:lastRenderedPageBreak/>
        <w:t xml:space="preserve">Figur </w:t>
      </w:r>
      <w:r>
        <w:fldChar w:fldCharType="begin"/>
      </w:r>
      <w:r>
        <w:instrText>STYLEREF 1 \s</w:instrText>
      </w:r>
      <w:r>
        <w:fldChar w:fldCharType="separate"/>
      </w:r>
      <w:r w:rsidR="00F262EF">
        <w:rPr>
          <w:noProof/>
        </w:rPr>
        <w:t>3</w:t>
      </w:r>
      <w:r>
        <w:fldChar w:fldCharType="end"/>
      </w:r>
      <w:r w:rsidR="004F2208">
        <w:t>.</w:t>
      </w:r>
      <w:r>
        <w:fldChar w:fldCharType="begin"/>
      </w:r>
      <w:r>
        <w:instrText>SEQ Figur \* ARABIC \s 1</w:instrText>
      </w:r>
      <w:r>
        <w:fldChar w:fldCharType="separate"/>
      </w:r>
      <w:r w:rsidR="00F262EF">
        <w:rPr>
          <w:noProof/>
        </w:rPr>
        <w:t>17</w:t>
      </w:r>
      <w:r>
        <w:fldChar w:fldCharType="end"/>
      </w:r>
      <w:bookmarkEnd w:id="173"/>
      <w:r>
        <w:t xml:space="preserve"> </w:t>
      </w:r>
      <w:r w:rsidRPr="00757ED7">
        <w:t>EU-midler til UH-sektor per program i innstilte prosjekter i Horisont Europa</w:t>
      </w:r>
      <w:r w:rsidR="009B753A">
        <w:t>. M</w:t>
      </w:r>
      <w:r w:rsidRPr="00757ED7">
        <w:t>illioner euro</w:t>
      </w:r>
      <w:bookmarkEnd w:id="174"/>
    </w:p>
    <w:p w14:paraId="4E9D720B" w14:textId="73315F01" w:rsidR="00A27377" w:rsidRDefault="004E3A9D" w:rsidP="00A27377">
      <w:r>
        <w:rPr>
          <w:noProof/>
        </w:rPr>
        <w:drawing>
          <wp:inline distT="0" distB="0" distL="0" distR="0" wp14:anchorId="3304959C" wp14:editId="1DA65B57">
            <wp:extent cx="5226756" cy="3104445"/>
            <wp:effectExtent l="0" t="0" r="12065" b="1270"/>
            <wp:docPr id="16" name="Diagram 16">
              <a:extLst xmlns:a="http://schemas.openxmlformats.org/drawingml/2006/main">
                <a:ext uri="{FF2B5EF4-FFF2-40B4-BE49-F238E27FC236}">
                  <a16:creationId xmlns:a16="http://schemas.microsoft.com/office/drawing/2014/main" id="{154C9692-4008-4C3E-BA6E-945B91506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92CF1EE" w14:textId="77777777" w:rsidR="00A27377" w:rsidRDefault="00A27377" w:rsidP="00A27377">
      <w:pPr>
        <w:pStyle w:val="Merknad"/>
      </w:pPr>
      <w:r w:rsidRPr="00757ED7">
        <w:t>Omfatter utlysninger fra 2021, og en mindre andel utlysninger fra 2022.</w:t>
      </w:r>
    </w:p>
    <w:p w14:paraId="1C49FA73" w14:textId="77777777" w:rsidR="00A27377" w:rsidRDefault="00A27377" w:rsidP="00DB28C8">
      <w:pPr>
        <w:pStyle w:val="Kilde"/>
      </w:pPr>
      <w:r w:rsidRPr="0091236A">
        <w:t xml:space="preserve">Kilde: </w:t>
      </w:r>
      <w:proofErr w:type="spellStart"/>
      <w:r w:rsidRPr="0091236A">
        <w:t>eCordas</w:t>
      </w:r>
      <w:proofErr w:type="spellEnd"/>
      <w:r w:rsidRPr="0091236A">
        <w:t xml:space="preserve"> søknadsdatabase (Europakommisjonen)</w:t>
      </w:r>
    </w:p>
    <w:p w14:paraId="7B9FF940" w14:textId="0860A8DA" w:rsidR="00462A92" w:rsidRDefault="00462A92" w:rsidP="00462A92">
      <w:r>
        <w:fldChar w:fldCharType="begin"/>
      </w:r>
      <w:r>
        <w:instrText xml:space="preserve"> REF _Ref130802276 \h </w:instrText>
      </w:r>
      <w:r>
        <w:fldChar w:fldCharType="separate"/>
      </w:r>
      <w:r w:rsidR="00F262EF">
        <w:t xml:space="preserve">Figur </w:t>
      </w:r>
      <w:r w:rsidR="00F262EF">
        <w:rPr>
          <w:noProof/>
        </w:rPr>
        <w:t>3</w:t>
      </w:r>
      <w:r w:rsidR="00F262EF">
        <w:t>.</w:t>
      </w:r>
      <w:r w:rsidR="00F262EF">
        <w:rPr>
          <w:noProof/>
        </w:rPr>
        <w:t>17</w:t>
      </w:r>
      <w:r>
        <w:fldChar w:fldCharType="end"/>
      </w:r>
      <w:r>
        <w:t xml:space="preserve"> viser tildelinger til norske universiteter og høyskoler fordelt på delprogram. Størst er tildelingen innenfor </w:t>
      </w:r>
      <w:proofErr w:type="spellStart"/>
      <w:r>
        <w:t>ERC</w:t>
      </w:r>
      <w:proofErr w:type="spellEnd"/>
      <w:r>
        <w:t xml:space="preserve"> med 35 millioner euro, etter god uttelling i 2021. De</w:t>
      </w:r>
      <w:r w:rsidRPr="00DC6808">
        <w:t>retter følger klynge 5</w:t>
      </w:r>
      <w:r>
        <w:t>,</w:t>
      </w:r>
      <w:r w:rsidRPr="00DC6808">
        <w:t xml:space="preserve"> Klima, energi og mobilitet </w:t>
      </w:r>
      <w:r>
        <w:t xml:space="preserve">med </w:t>
      </w:r>
      <w:r w:rsidRPr="00DC6808">
        <w:t>20 millioner euro</w:t>
      </w:r>
      <w:r>
        <w:t xml:space="preserve"> og </w:t>
      </w:r>
      <w:proofErr w:type="spellStart"/>
      <w:r>
        <w:t>MSCA</w:t>
      </w:r>
      <w:proofErr w:type="spellEnd"/>
      <w:r>
        <w:t xml:space="preserve"> med 14 millioner euro. Tildelinger innenfor de ulike klyngene i søyle 2 omfatter også</w:t>
      </w:r>
      <w:r w:rsidRPr="00F65030">
        <w:t xml:space="preserve"> det nye virkemiddelet </w:t>
      </w:r>
      <w:r>
        <w:rPr>
          <w:i/>
        </w:rPr>
        <w:t>M</w:t>
      </w:r>
      <w:r w:rsidRPr="001443E4">
        <w:rPr>
          <w:i/>
        </w:rPr>
        <w:t>issions</w:t>
      </w:r>
      <w:r w:rsidRPr="00F65030">
        <w:t xml:space="preserve"> (samfunnsoppdrag). </w:t>
      </w:r>
      <w:r w:rsidR="006945D6">
        <w:t>Foreløpige tall fra des</w:t>
      </w:r>
      <w:r w:rsidR="001316C7">
        <w:t xml:space="preserve">ember </w:t>
      </w:r>
      <w:r w:rsidRPr="00F65030">
        <w:t xml:space="preserve">2022 </w:t>
      </w:r>
      <w:r w:rsidR="001316C7">
        <w:t xml:space="preserve">viste at </w:t>
      </w:r>
      <w:r>
        <w:t>universiteter og høyskoler</w:t>
      </w:r>
      <w:r w:rsidRPr="00F65030">
        <w:t xml:space="preserve"> </w:t>
      </w:r>
      <w:r w:rsidR="00AB37E7">
        <w:t xml:space="preserve">hadde </w:t>
      </w:r>
      <w:r w:rsidRPr="00F65030">
        <w:t>mottatt 6,4 mill</w:t>
      </w:r>
      <w:r>
        <w:t>ioner</w:t>
      </w:r>
      <w:r w:rsidRPr="00F65030">
        <w:t xml:space="preserve"> euro fra utlysninger innenfor missions, og var representert i fire av fem missions (Smarte byer, Hav, Jordhelse og Kreft).</w:t>
      </w:r>
      <w:r>
        <w:t xml:space="preserve"> </w:t>
      </w:r>
    </w:p>
    <w:p w14:paraId="432A0A21" w14:textId="1CACD2EA" w:rsidR="00462A92" w:rsidRDefault="00462A92" w:rsidP="00462A92">
      <w:r>
        <w:t>N</w:t>
      </w:r>
      <w:r w:rsidRPr="00F65030">
        <w:t>orsk</w:t>
      </w:r>
      <w:r>
        <w:t xml:space="preserve">e universiteter og høyskoler er koordinator i </w:t>
      </w:r>
      <w:r w:rsidRPr="00F65030">
        <w:t xml:space="preserve">16 av </w:t>
      </w:r>
      <w:r>
        <w:t xml:space="preserve">de </w:t>
      </w:r>
      <w:r w:rsidRPr="00F65030">
        <w:t>107 samarbeidsprosjekte</w:t>
      </w:r>
      <w:r>
        <w:t>ne de inngår i</w:t>
      </w:r>
      <w:r w:rsidR="00214A75">
        <w:t xml:space="preserve"> </w:t>
      </w:r>
      <w:r w:rsidRPr="00F65030">
        <w:t>søyle 2</w:t>
      </w:r>
      <w:r>
        <w:t xml:space="preserve">, og NTNU koordinerer hele ni av disse. De fleste prosjektene omfatter også aktører fra andre </w:t>
      </w:r>
      <w:r w:rsidRPr="00F65030">
        <w:t>FoU-sektorer</w:t>
      </w:r>
      <w:r>
        <w:t xml:space="preserve"> i Norge, framfor alt fra næringslivet, i mindre grad fra instituttsektoren.</w:t>
      </w:r>
    </w:p>
    <w:p w14:paraId="652C940C" w14:textId="3F296E19" w:rsidR="0063250E" w:rsidRDefault="00EC53D5" w:rsidP="0063250E">
      <w:pPr>
        <w:textAlignment w:val="center"/>
      </w:pPr>
      <w:r>
        <w:t xml:space="preserve">Av norske universiteter og høyskoler </w:t>
      </w:r>
      <w:r w:rsidR="0063250E" w:rsidRPr="006D25DA">
        <w:t>er det UiO (47 mill</w:t>
      </w:r>
      <w:r>
        <w:t>ioner</w:t>
      </w:r>
      <w:r w:rsidR="0063250E" w:rsidRPr="006D25DA">
        <w:t xml:space="preserve"> euro), NTNU (36 mill</w:t>
      </w:r>
      <w:r>
        <w:t>ioner</w:t>
      </w:r>
      <w:r w:rsidR="0063250E" w:rsidRPr="006D25DA">
        <w:t xml:space="preserve"> euro) og UiB (12 mill</w:t>
      </w:r>
      <w:r>
        <w:t>ioner</w:t>
      </w:r>
      <w:r w:rsidR="0063250E" w:rsidRPr="006D25DA">
        <w:t xml:space="preserve"> euro) som har mottatt mest midler </w:t>
      </w:r>
      <w:r w:rsidR="00FE7A97">
        <w:t xml:space="preserve">fra Horisont Europa. </w:t>
      </w:r>
      <w:r w:rsidR="0063250E" w:rsidRPr="006D25DA">
        <w:t>Til sammen har disse tre store hentet inn 75 prosent av alle midlene til norske universiteter og høyskoler</w:t>
      </w:r>
      <w:r w:rsidR="0063250E" w:rsidRPr="006D25DA" w:rsidDel="00797012">
        <w:t>.</w:t>
      </w:r>
    </w:p>
    <w:p w14:paraId="126AC3F3" w14:textId="77777777" w:rsidR="00C51B96" w:rsidRDefault="0016461B" w:rsidP="001D4AF1">
      <w:pPr>
        <w:spacing w:after="200" w:line="276" w:lineRule="auto"/>
      </w:pPr>
      <w:r w:rsidRPr="00C10750">
        <w:t xml:space="preserve">Det europeiske forskningsrådet, </w:t>
      </w:r>
      <w:proofErr w:type="spellStart"/>
      <w:r w:rsidRPr="00C10750">
        <w:t>ERC</w:t>
      </w:r>
      <w:proofErr w:type="spellEnd"/>
      <w:r w:rsidRPr="00C10750">
        <w:t xml:space="preserve">, </w:t>
      </w:r>
      <w:r>
        <w:t>har 17 prosent av budsjettet i Horisont Europa</w:t>
      </w:r>
      <w:r w:rsidR="00C91A0E">
        <w:t>,</w:t>
      </w:r>
      <w:r>
        <w:t xml:space="preserve"> og</w:t>
      </w:r>
      <w:r w:rsidRPr="00C10750">
        <w:t xml:space="preserve"> er en av de mest krevende konkurransearenaene norske forskere deltar på. </w:t>
      </w:r>
      <w:r w:rsidR="004C0164" w:rsidRPr="00C10750">
        <w:t>I gjennomsnitt får 12–14 prosent av alle søkere innvilget sin søknad</w:t>
      </w:r>
      <w:r w:rsidR="004C0164">
        <w:t>.</w:t>
      </w:r>
      <w:r>
        <w:t xml:space="preserve"> Utlysningene har ingen tematiske føringer og søknadene vurderes kun på vitenskapelig kvalitet.</w:t>
      </w:r>
    </w:p>
    <w:p w14:paraId="187300F3" w14:textId="7F78DB08" w:rsidR="005D0423" w:rsidRDefault="0016461B" w:rsidP="001D4AF1">
      <w:pPr>
        <w:spacing w:after="200" w:line="276" w:lineRule="auto"/>
      </w:pPr>
      <w:r>
        <w:t xml:space="preserve">De årlige utlysningene er inndelt etter søkers </w:t>
      </w:r>
      <w:r w:rsidR="005344AC">
        <w:t>forsker</w:t>
      </w:r>
      <w:r>
        <w:t>erfaring</w:t>
      </w:r>
      <w:r w:rsidR="00680EF3">
        <w:t>.</w:t>
      </w:r>
      <w:r>
        <w:rPr>
          <w:rFonts w:cstheme="minorHAnsi"/>
        </w:rPr>
        <w:t xml:space="preserve"> </w:t>
      </w:r>
      <w:proofErr w:type="spellStart"/>
      <w:r w:rsidRPr="00410509">
        <w:rPr>
          <w:rFonts w:cstheme="minorHAnsi"/>
        </w:rPr>
        <w:t>Starting</w:t>
      </w:r>
      <w:proofErr w:type="spellEnd"/>
      <w:r w:rsidRPr="00410509">
        <w:rPr>
          <w:rFonts w:cstheme="minorHAnsi"/>
        </w:rPr>
        <w:t xml:space="preserve"> </w:t>
      </w:r>
      <w:proofErr w:type="spellStart"/>
      <w:r w:rsidRPr="00410509">
        <w:rPr>
          <w:rFonts w:cstheme="minorHAnsi"/>
        </w:rPr>
        <w:t>grants</w:t>
      </w:r>
      <w:proofErr w:type="spellEnd"/>
      <w:r w:rsidRPr="00410509">
        <w:rPr>
          <w:rFonts w:cstheme="minorHAnsi"/>
        </w:rPr>
        <w:t xml:space="preserve"> (</w:t>
      </w:r>
      <w:proofErr w:type="spellStart"/>
      <w:r w:rsidRPr="00410509">
        <w:rPr>
          <w:rFonts w:cstheme="minorHAnsi"/>
        </w:rPr>
        <w:t>StG</w:t>
      </w:r>
      <w:proofErr w:type="spellEnd"/>
      <w:r w:rsidRPr="00410509">
        <w:rPr>
          <w:rFonts w:cstheme="minorHAnsi"/>
        </w:rPr>
        <w:t xml:space="preserve">) er for forskere med 2–7 års erfaring etter ph.d., </w:t>
      </w:r>
      <w:proofErr w:type="spellStart"/>
      <w:r w:rsidRPr="00410509">
        <w:rPr>
          <w:rFonts w:cstheme="minorHAnsi"/>
        </w:rPr>
        <w:t>Consolidator</w:t>
      </w:r>
      <w:proofErr w:type="spellEnd"/>
      <w:r w:rsidRPr="00410509">
        <w:rPr>
          <w:rFonts w:cstheme="minorHAnsi"/>
        </w:rPr>
        <w:t xml:space="preserve"> </w:t>
      </w:r>
      <w:proofErr w:type="spellStart"/>
      <w:r w:rsidRPr="00410509">
        <w:rPr>
          <w:rFonts w:cstheme="minorHAnsi"/>
        </w:rPr>
        <w:t>grants</w:t>
      </w:r>
      <w:proofErr w:type="spellEnd"/>
      <w:r w:rsidRPr="00410509">
        <w:rPr>
          <w:rFonts w:cstheme="minorHAnsi"/>
        </w:rPr>
        <w:t xml:space="preserve"> (</w:t>
      </w:r>
      <w:proofErr w:type="spellStart"/>
      <w:r w:rsidRPr="00410509">
        <w:rPr>
          <w:rFonts w:cstheme="minorHAnsi"/>
        </w:rPr>
        <w:t>CoG</w:t>
      </w:r>
      <w:proofErr w:type="spellEnd"/>
      <w:r w:rsidRPr="00410509">
        <w:rPr>
          <w:rFonts w:cstheme="minorHAnsi"/>
        </w:rPr>
        <w:t>) 7–12 år etter ph.d.</w:t>
      </w:r>
      <w:r w:rsidR="00B3771E">
        <w:rPr>
          <w:rFonts w:cstheme="minorHAnsi"/>
        </w:rPr>
        <w:t xml:space="preserve"> Det tildeles flest prosjekter innen disse kategoriene. </w:t>
      </w:r>
      <w:r>
        <w:rPr>
          <w:rFonts w:cstheme="minorHAnsi"/>
        </w:rPr>
        <w:t>Advanced grant (</w:t>
      </w:r>
      <w:proofErr w:type="spellStart"/>
      <w:r>
        <w:rPr>
          <w:rFonts w:cstheme="minorHAnsi"/>
        </w:rPr>
        <w:t>AdG</w:t>
      </w:r>
      <w:proofErr w:type="spellEnd"/>
      <w:r>
        <w:rPr>
          <w:rFonts w:cstheme="minorHAnsi"/>
        </w:rPr>
        <w:t xml:space="preserve">) er for søkere som kan vise til mer enn ti års forskningserfaring. Rundt 80 prosent av de norske søknadene sendes til </w:t>
      </w:r>
      <w:proofErr w:type="spellStart"/>
      <w:r>
        <w:rPr>
          <w:rFonts w:cstheme="minorHAnsi"/>
        </w:rPr>
        <w:t>StG</w:t>
      </w:r>
      <w:proofErr w:type="spellEnd"/>
      <w:r>
        <w:rPr>
          <w:rFonts w:cstheme="minorHAnsi"/>
        </w:rPr>
        <w:t xml:space="preserve"> og </w:t>
      </w:r>
      <w:proofErr w:type="spellStart"/>
      <w:r>
        <w:rPr>
          <w:rFonts w:cstheme="minorHAnsi"/>
        </w:rPr>
        <w:t>CoG</w:t>
      </w:r>
      <w:proofErr w:type="spellEnd"/>
      <w:r>
        <w:rPr>
          <w:rFonts w:cstheme="minorHAnsi"/>
        </w:rPr>
        <w:t xml:space="preserve">, og de utgjør en tilsvarende andel av de norske tildelte kontraktene </w:t>
      </w:r>
      <w:r>
        <w:rPr>
          <w:rFonts w:cstheme="minorHAnsi"/>
        </w:rPr>
        <w:lastRenderedPageBreak/>
        <w:t xml:space="preserve">så langt. De norske søkerne til </w:t>
      </w:r>
      <w:proofErr w:type="spellStart"/>
      <w:r>
        <w:rPr>
          <w:rFonts w:cstheme="minorHAnsi"/>
        </w:rPr>
        <w:t>AdG</w:t>
      </w:r>
      <w:proofErr w:type="spellEnd"/>
      <w:r>
        <w:rPr>
          <w:rFonts w:cstheme="minorHAnsi"/>
        </w:rPr>
        <w:t xml:space="preserve"> hadde liten suksess i forrige rammeprogram, men har gjort det </w:t>
      </w:r>
      <w:r w:rsidR="00324419">
        <w:rPr>
          <w:rFonts w:cstheme="minorHAnsi"/>
        </w:rPr>
        <w:t>godt</w:t>
      </w:r>
      <w:r>
        <w:rPr>
          <w:rFonts w:cstheme="minorHAnsi"/>
        </w:rPr>
        <w:t xml:space="preserve"> i den første utlysningsrunden i Horisont Europa med en suksessrate på 19 prosent.</w:t>
      </w:r>
      <w:r w:rsidR="00D75814">
        <w:rPr>
          <w:rFonts w:cstheme="minorHAnsi"/>
        </w:rPr>
        <w:t xml:space="preserve"> </w:t>
      </w:r>
      <w:r w:rsidR="009A7EDF">
        <w:rPr>
          <w:rFonts w:cstheme="minorHAnsi"/>
        </w:rPr>
        <w:t>I</w:t>
      </w:r>
      <w:r w:rsidR="00853EA3">
        <w:rPr>
          <w:rFonts w:cstheme="minorHAnsi"/>
        </w:rPr>
        <w:t>følge foreløpige tall for</w:t>
      </w:r>
      <w:r w:rsidR="006539C6">
        <w:rPr>
          <w:rFonts w:cstheme="minorHAnsi"/>
        </w:rPr>
        <w:t xml:space="preserve"> 2022 er </w:t>
      </w:r>
      <w:r w:rsidR="00D75814">
        <w:rPr>
          <w:rFonts w:cstheme="minorHAnsi"/>
        </w:rPr>
        <w:t xml:space="preserve">7 av </w:t>
      </w:r>
      <w:r w:rsidR="00AC05F3">
        <w:rPr>
          <w:rFonts w:cstheme="minorHAnsi"/>
        </w:rPr>
        <w:t xml:space="preserve">31 tildelte </w:t>
      </w:r>
      <w:proofErr w:type="spellStart"/>
      <w:r w:rsidR="006539C6">
        <w:rPr>
          <w:rFonts w:cstheme="minorHAnsi"/>
        </w:rPr>
        <w:t>ERC</w:t>
      </w:r>
      <w:proofErr w:type="spellEnd"/>
      <w:r w:rsidR="006539C6">
        <w:rPr>
          <w:rFonts w:cstheme="minorHAnsi"/>
        </w:rPr>
        <w:t>-</w:t>
      </w:r>
      <w:r w:rsidR="00AC05F3">
        <w:rPr>
          <w:rFonts w:cstheme="minorHAnsi"/>
        </w:rPr>
        <w:t xml:space="preserve">prosjekter </w:t>
      </w:r>
      <w:r w:rsidR="00685A40">
        <w:rPr>
          <w:rFonts w:cstheme="minorHAnsi"/>
        </w:rPr>
        <w:t xml:space="preserve">med norsk koordinator </w:t>
      </w:r>
      <w:proofErr w:type="spellStart"/>
      <w:r w:rsidR="00685A40">
        <w:rPr>
          <w:rFonts w:cstheme="minorHAnsi"/>
        </w:rPr>
        <w:t>AdG</w:t>
      </w:r>
      <w:proofErr w:type="spellEnd"/>
      <w:r w:rsidR="00685A40">
        <w:rPr>
          <w:rFonts w:cstheme="minorHAnsi"/>
        </w:rPr>
        <w:t xml:space="preserve">-prosjekt. </w:t>
      </w:r>
      <w:r w:rsidR="005D0423">
        <w:t xml:space="preserve">I april 2022 har fagpressen </w:t>
      </w:r>
      <w:r w:rsidR="005D0423">
        <w:fldChar w:fldCharType="begin"/>
      </w:r>
      <w:r w:rsidR="005D0423">
        <w:instrText xml:space="preserve"> ADDIN EN.CITE &lt;EndNote&gt;&lt;Cite&gt;&lt;Author&gt;Løkeland-Stai&lt;/Author&gt;&lt;Year&gt;2023&lt;/Year&gt;&lt;RecNum&gt;1857&lt;/RecNum&gt;&lt;DisplayText&gt;(Løkeland-Stai, 2023)&lt;/DisplayText&gt;&lt;record&gt;&lt;rec-number&gt;1857&lt;/rec-number&gt;&lt;foreign-keys&gt;&lt;key app="EN" db-id="s09wp0wxtwz9aue509w52eagvset90vxefrw" timestamp="1683215809" guid="6fa8d51b-ca91-4536-a225-a2b3c57fdeae"&gt;1857&lt;/key&gt;&lt;/foreign-keys&gt;&lt;ref-type name="Newspaper Article"&gt;23&lt;/ref-type&gt;&lt;contributors&gt;&lt;authors&gt;&lt;author&gt;Løkeland-Stai, Espen&lt;/author&gt;&lt;/authors&gt;&lt;/contributors&gt;&lt;titles&gt;&lt;title&gt;Norge gruses av nordiske naboer i jakten på prestisje­midler til grunnforskning&lt;/title&gt;&lt;secondary-title&gt;Khrono&lt;/secondary-title&gt;&lt;/titles&gt;&lt;periodical&gt;&lt;full-title&gt;Khrono&lt;/full-title&gt;&lt;/periodical&gt;&lt;dates&gt;&lt;year&gt;2023&lt;/year&gt;&lt;pub-dates&gt;&lt;date&gt;12.04.2023&lt;/date&gt;&lt;/pub-dates&gt;&lt;/dates&gt;&lt;urls&gt;&lt;related-urls&gt;&lt;url&gt;https://khrono.no/norge-gruses-av-nordiske-naboer-i-jakten-pa-prestisjemidler-til-grunnforskning/772202&lt;/url&gt;&lt;/related-urls&gt;&lt;/urls&gt;&lt;/record&gt;&lt;/Cite&gt;&lt;/EndNote&gt;</w:instrText>
      </w:r>
      <w:r w:rsidR="005D0423">
        <w:fldChar w:fldCharType="separate"/>
      </w:r>
      <w:r w:rsidR="005D0423">
        <w:rPr>
          <w:noProof/>
        </w:rPr>
        <w:t>(Løkeland-Stai, 2023)</w:t>
      </w:r>
      <w:r w:rsidR="005D0423">
        <w:fldChar w:fldCharType="end"/>
      </w:r>
      <w:r w:rsidR="005D0423">
        <w:t xml:space="preserve"> oppslag om hvordan norske institusjoner ligger langt bak sine nordiske naboer i konkurransen om </w:t>
      </w:r>
      <w:proofErr w:type="spellStart"/>
      <w:r w:rsidR="005D0423">
        <w:t>ERC</w:t>
      </w:r>
      <w:proofErr w:type="spellEnd"/>
      <w:r w:rsidR="005D0423">
        <w:t xml:space="preserve">-midler. Med tanke på utfordringene knyttet til oppdatert rapportering omtalt i fotnote </w:t>
      </w:r>
      <w:r w:rsidR="005D0423">
        <w:fldChar w:fldCharType="begin"/>
      </w:r>
      <w:r w:rsidR="005D0423">
        <w:instrText xml:space="preserve"> NOTEREF _Ref134180592 \h </w:instrText>
      </w:r>
      <w:r w:rsidR="005D0423">
        <w:fldChar w:fldCharType="separate"/>
      </w:r>
      <w:r w:rsidR="00F262EF">
        <w:t>15</w:t>
      </w:r>
      <w:r w:rsidR="005D0423">
        <w:fldChar w:fldCharType="end"/>
      </w:r>
      <w:r w:rsidR="005D0423">
        <w:t xml:space="preserve">, kan en mer komplett oversikt ikke komme før neste </w:t>
      </w:r>
      <w:proofErr w:type="spellStart"/>
      <w:r w:rsidR="005D0423">
        <w:t>hovedrapportering</w:t>
      </w:r>
      <w:proofErr w:type="spellEnd"/>
      <w:r w:rsidR="005D0423">
        <w:t xml:space="preserve"> til Forskningsrådet.</w:t>
      </w:r>
    </w:p>
    <w:p w14:paraId="001D5683" w14:textId="027474B6" w:rsidR="0016461B" w:rsidRPr="003A507A" w:rsidRDefault="0016461B" w:rsidP="0016461B">
      <w:pPr>
        <w:spacing w:after="200" w:line="276" w:lineRule="auto"/>
        <w:rPr>
          <w:rFonts w:cstheme="minorHAnsi"/>
        </w:rPr>
      </w:pPr>
      <w:r>
        <w:rPr>
          <w:rFonts w:cstheme="minorHAnsi"/>
        </w:rPr>
        <w:t xml:space="preserve">Halvparten av de innvilgede </w:t>
      </w:r>
      <w:proofErr w:type="spellStart"/>
      <w:r w:rsidR="002401DD">
        <w:rPr>
          <w:rFonts w:cstheme="minorHAnsi"/>
        </w:rPr>
        <w:t>ERC</w:t>
      </w:r>
      <w:proofErr w:type="spellEnd"/>
      <w:r w:rsidR="002401DD">
        <w:rPr>
          <w:rFonts w:cstheme="minorHAnsi"/>
        </w:rPr>
        <w:t>-</w:t>
      </w:r>
      <w:r>
        <w:rPr>
          <w:rFonts w:cstheme="minorHAnsi"/>
        </w:rPr>
        <w:t xml:space="preserve">prosjektene er koordinert av UiO, seks av NTNU, tre av UiB, og </w:t>
      </w:r>
      <w:proofErr w:type="spellStart"/>
      <w:r>
        <w:rPr>
          <w:rFonts w:cstheme="minorHAnsi"/>
        </w:rPr>
        <w:t>NMBU</w:t>
      </w:r>
      <w:proofErr w:type="spellEnd"/>
      <w:r>
        <w:rPr>
          <w:rFonts w:cstheme="minorHAnsi"/>
        </w:rPr>
        <w:t xml:space="preserve"> og BI har ett hver. De resterende er koordinert av </w:t>
      </w:r>
      <w:r w:rsidR="002401DD">
        <w:rPr>
          <w:rFonts w:cstheme="minorHAnsi"/>
        </w:rPr>
        <w:t xml:space="preserve">ulike </w:t>
      </w:r>
      <w:r>
        <w:rPr>
          <w:rFonts w:cstheme="minorHAnsi"/>
        </w:rPr>
        <w:t>forskningsinstitutte</w:t>
      </w:r>
      <w:r w:rsidR="002401DD">
        <w:rPr>
          <w:rFonts w:cstheme="minorHAnsi"/>
        </w:rPr>
        <w:t>r.</w:t>
      </w:r>
      <w:r>
        <w:rPr>
          <w:rFonts w:cstheme="minorHAnsi"/>
        </w:rPr>
        <w:t xml:space="preserve"> </w:t>
      </w:r>
      <w:r w:rsidRPr="1B9CA9E8">
        <w:t>Rundt femti prosent av prosjektene hører til området for humaniora og samfunnsvitenskap, de resterende er noenlunde likt fordelt mellom livsvitenskap, og naturvitenskap og teknologi.</w:t>
      </w:r>
    </w:p>
    <w:p w14:paraId="0ADF2DA4" w14:textId="25103914" w:rsidR="004B0065" w:rsidRPr="00743984" w:rsidRDefault="00460867">
      <w:r w:rsidRPr="00460867">
        <w:t xml:space="preserve">Se </w:t>
      </w:r>
      <w:proofErr w:type="spellStart"/>
      <w:r w:rsidR="00743984" w:rsidRPr="00460867">
        <w:t>vedlegg</w:t>
      </w:r>
      <w:r w:rsidR="00743984">
        <w:t>stabeller</w:t>
      </w:r>
      <w:proofErr w:type="spellEnd"/>
      <w:r w:rsidR="00743984">
        <w:t xml:space="preserve"> </w:t>
      </w:r>
      <w:hyperlink r:id="rId116" w:history="1">
        <w:r w:rsidR="00D538E9" w:rsidRPr="00465996">
          <w:rPr>
            <w:rStyle w:val="Hyperkobling"/>
          </w:rPr>
          <w:t>V3.29</w:t>
        </w:r>
      </w:hyperlink>
      <w:r w:rsidR="008A2F4A">
        <w:t xml:space="preserve">, </w:t>
      </w:r>
      <w:hyperlink r:id="rId117" w:history="1">
        <w:r w:rsidR="008A2F4A" w:rsidRPr="00465996">
          <w:rPr>
            <w:rStyle w:val="Hyperkobling"/>
          </w:rPr>
          <w:t>V3.30</w:t>
        </w:r>
      </w:hyperlink>
      <w:r w:rsidR="008A2F4A">
        <w:t xml:space="preserve">, </w:t>
      </w:r>
      <w:hyperlink r:id="rId118" w:history="1">
        <w:r w:rsidR="008A2F4A" w:rsidRPr="00465996">
          <w:rPr>
            <w:rStyle w:val="Hyperkobling"/>
          </w:rPr>
          <w:t>V</w:t>
        </w:r>
        <w:r w:rsidR="002234E4" w:rsidRPr="00465996">
          <w:rPr>
            <w:rStyle w:val="Hyperkobling"/>
          </w:rPr>
          <w:t>3.31</w:t>
        </w:r>
      </w:hyperlink>
      <w:r w:rsidR="002234E4">
        <w:t xml:space="preserve">, </w:t>
      </w:r>
      <w:hyperlink r:id="rId119" w:history="1">
        <w:r w:rsidR="002234E4" w:rsidRPr="00465996">
          <w:rPr>
            <w:rStyle w:val="Hyperkobling"/>
          </w:rPr>
          <w:t>V3.32</w:t>
        </w:r>
      </w:hyperlink>
      <w:r w:rsidR="002234E4">
        <w:t xml:space="preserve"> og</w:t>
      </w:r>
      <w:r w:rsidR="0018636F">
        <w:t xml:space="preserve"> </w:t>
      </w:r>
      <w:hyperlink r:id="rId120" w:history="1">
        <w:r w:rsidR="00D538E9" w:rsidRPr="00402933">
          <w:rPr>
            <w:rStyle w:val="Hyperkobling"/>
          </w:rPr>
          <w:t>V3</w:t>
        </w:r>
        <w:r w:rsidR="0018636F" w:rsidRPr="00402933">
          <w:rPr>
            <w:rStyle w:val="Hyperkobling"/>
          </w:rPr>
          <w:t>.33</w:t>
        </w:r>
      </w:hyperlink>
      <w:r w:rsidRPr="00460867">
        <w:t xml:space="preserve"> for detaljert informasjon om norsk deltakelse </w:t>
      </w:r>
      <w:r>
        <w:t xml:space="preserve">i </w:t>
      </w:r>
      <w:r w:rsidRPr="00460867">
        <w:t xml:space="preserve">og </w:t>
      </w:r>
      <w:r>
        <w:t xml:space="preserve">finansering fra </w:t>
      </w:r>
      <w:r w:rsidR="003A3777">
        <w:t>Horisont Europa.</w:t>
      </w:r>
      <w:r w:rsidR="007E6452">
        <w:t xml:space="preserve"> Ytterligere </w:t>
      </w:r>
      <w:r w:rsidR="00655742">
        <w:t xml:space="preserve">informasjon om dette, </w:t>
      </w:r>
      <w:r w:rsidR="00687026">
        <w:t xml:space="preserve">inkludert </w:t>
      </w:r>
      <w:r w:rsidR="00B53EF9">
        <w:t xml:space="preserve">om </w:t>
      </w:r>
      <w:r w:rsidR="00687026">
        <w:t xml:space="preserve">andre </w:t>
      </w:r>
      <w:r w:rsidR="00B53EF9">
        <w:t>sektore</w:t>
      </w:r>
      <w:r w:rsidR="00687026">
        <w:t>r enn UH-sektoren</w:t>
      </w:r>
      <w:r w:rsidR="00B53EF9">
        <w:t>, finnes i</w:t>
      </w:r>
      <w:r w:rsidR="00D46DFB">
        <w:t xml:space="preserve"> kapittel </w:t>
      </w:r>
      <w:r w:rsidR="00197CDD">
        <w:t xml:space="preserve">4.2 i Indikatorrapporten </w:t>
      </w:r>
      <w:r w:rsidR="00DC7D71">
        <w:fldChar w:fldCharType="begin"/>
      </w:r>
      <w:r w:rsidR="00DC7D71">
        <w:instrText xml:space="preserve"> ADDIN EN.CITE &lt;EndNote&gt;&lt;Cite&gt;&lt;Author&gt;Forskningsrådet&lt;/Author&gt;&lt;Year&gt;2022&lt;/Year&gt;&lt;RecNum&gt;1866&lt;/RecNum&gt;&lt;DisplayText&gt;(Forskningsrådet, 2022)&lt;/DisplayText&gt;&lt;record&gt;&lt;rec-number&gt;1866&lt;/rec-number&gt;&lt;foreign-keys&gt;&lt;key app="EN" db-id="s09wp0wxtwz9aue509w52eagvset90vxefrw" timestamp="1683286450" guid="964e9f7f-c8a9-4dad-b9d4-1b9d6c19428a"&gt;1866&lt;/key&gt;&lt;/foreign-keys&gt;&lt;ref-type name="Report"&gt;27&lt;/ref-type&gt;&lt;contributors&gt;&lt;authors&gt;&lt;author&gt;Forskningsrådet&lt;/author&gt;&lt;/authors&gt;&lt;tertiary-authors&gt;&lt;author&gt;Forskningsrådet&lt;/author&gt;&lt;/tertiary-authors&gt;&lt;/contributors&gt;&lt;titles&gt;&lt;title&gt;Indikatorrapporten 2022&lt;/title&gt;&lt;/titles&gt;&lt;dates&gt;&lt;year&gt;2022&lt;/year&gt;&lt;/dates&gt;&lt;publisher&gt;Forskningsrådet&lt;/publisher&gt;&lt;urls&gt;&lt;related-urls&gt;&lt;url&gt;https://www.forskningsradet.no/indikatorrapporten/&lt;/url&gt;&lt;/related-urls&gt;&lt;/urls&gt;&lt;/record&gt;&lt;/Cite&gt;&lt;/EndNote&gt;</w:instrText>
      </w:r>
      <w:r w:rsidR="00DC7D71">
        <w:fldChar w:fldCharType="separate"/>
      </w:r>
      <w:r w:rsidR="00DC7D71">
        <w:rPr>
          <w:noProof/>
        </w:rPr>
        <w:t>(Forskningsrådet, 2022)</w:t>
      </w:r>
      <w:r w:rsidR="00DC7D71">
        <w:fldChar w:fldCharType="end"/>
      </w:r>
      <w:r w:rsidR="00DC7D71">
        <w:t>.</w:t>
      </w:r>
      <w:r w:rsidR="004B0065" w:rsidRPr="00460867">
        <w:br w:type="page"/>
      </w:r>
    </w:p>
    <w:p w14:paraId="6AF1A577" w14:textId="77777777" w:rsidR="00583978" w:rsidRDefault="00583978" w:rsidP="00AE4B98">
      <w:pPr>
        <w:pStyle w:val="Overskrift3"/>
      </w:pPr>
      <w:bookmarkStart w:id="175" w:name="_Ref129869599"/>
      <w:bookmarkStart w:id="176" w:name="_Toc134792750"/>
      <w:r w:rsidRPr="008178CB">
        <w:lastRenderedPageBreak/>
        <w:t xml:space="preserve">Andre bidrags- og oppdragsinntekter per faglig årsverk </w:t>
      </w:r>
      <w:r>
        <w:t xml:space="preserve">– </w:t>
      </w:r>
      <w:r w:rsidRPr="008178CB">
        <w:t>nasjonal styringsparameter</w:t>
      </w:r>
      <w:bookmarkEnd w:id="175"/>
      <w:bookmarkEnd w:id="176"/>
    </w:p>
    <w:p w14:paraId="5365B439" w14:textId="5F349488" w:rsidR="00583978" w:rsidRPr="00771A74" w:rsidRDefault="00583978" w:rsidP="00583978">
      <w:r w:rsidRPr="001A1458">
        <w:t>Bidrags- og oppdragsfinansiert aktivitet utenom Forskningsrådet, regionale forskningsfond og EU (andre BOA-inntekter) er en indikasjon på UH-sektorens samspill med samfunnet. I andre BOA-inntekter inngår midler til både utdanning og FoU fra et bredt spekter av kilder og samarbeidspartnere i privat næringsliv, offentlig sektor og frivillige organisasjoner.</w:t>
      </w:r>
      <w:r w:rsidR="007B18B0">
        <w:t xml:space="preserve"> </w:t>
      </w:r>
      <w:proofErr w:type="spellStart"/>
      <w:r w:rsidR="00C061D8">
        <w:t>Vedleggstabell</w:t>
      </w:r>
      <w:proofErr w:type="spellEnd"/>
      <w:r w:rsidR="00C061D8">
        <w:t xml:space="preserve"> </w:t>
      </w:r>
      <w:hyperlink r:id="rId121" w:history="1">
        <w:r w:rsidR="007D68B2" w:rsidRPr="00402933">
          <w:rPr>
            <w:rStyle w:val="Hyperkobling"/>
          </w:rPr>
          <w:t>V3.25</w:t>
        </w:r>
      </w:hyperlink>
      <w:r w:rsidR="007D68B2">
        <w:t xml:space="preserve"> viser hvordan </w:t>
      </w:r>
      <w:r w:rsidR="004117E0">
        <w:t xml:space="preserve">inntektene er fordelt på kilde for sektoren samlet. </w:t>
      </w:r>
      <w:r w:rsidR="00DA3B3F">
        <w:t>Andelen fra o</w:t>
      </w:r>
      <w:r w:rsidR="006C29B6">
        <w:t xml:space="preserve">ffentlige </w:t>
      </w:r>
      <w:r w:rsidR="0004741E">
        <w:t xml:space="preserve">kilder </w:t>
      </w:r>
      <w:r w:rsidR="00DA3B3F">
        <w:t>har steget</w:t>
      </w:r>
      <w:r w:rsidR="007A5862">
        <w:t xml:space="preserve"> fra </w:t>
      </w:r>
      <w:r w:rsidR="00566F7A">
        <w:t xml:space="preserve">59 til </w:t>
      </w:r>
      <w:r w:rsidR="00AF7FFA">
        <w:t xml:space="preserve">62 prosent </w:t>
      </w:r>
      <w:r w:rsidR="00E54123">
        <w:t xml:space="preserve">siden </w:t>
      </w:r>
      <w:r w:rsidR="00E161E5">
        <w:t xml:space="preserve">2013, mens </w:t>
      </w:r>
      <w:r w:rsidR="00431885">
        <w:t>næringslivets andel har sunket fra 24 til 14 prosent i samme periode.</w:t>
      </w:r>
    </w:p>
    <w:p w14:paraId="61042088" w14:textId="62996401" w:rsidR="00B60248" w:rsidRDefault="00583978" w:rsidP="00583978">
      <w:r>
        <w:t>Institusjonenes andre bidrags- og oppdragsinntekter steg kraftig i 2022. For sektoren sett under ett, økte inntektene per faglig årsverk med hele 20 prosent fra 164 000 kroner i 2021 til 198 000 i 2022.</w:t>
      </w:r>
      <w:r w:rsidR="005D1078">
        <w:t xml:space="preserve"> </w:t>
      </w:r>
      <w:proofErr w:type="spellStart"/>
      <w:r w:rsidR="005D1078">
        <w:t>Vedleggstabell</w:t>
      </w:r>
      <w:proofErr w:type="spellEnd"/>
      <w:r w:rsidR="005D1078">
        <w:t xml:space="preserve"> </w:t>
      </w:r>
      <w:hyperlink r:id="rId122" w:history="1">
        <w:r w:rsidR="005D1078" w:rsidRPr="00402933">
          <w:rPr>
            <w:rStyle w:val="Hyperkobling"/>
          </w:rPr>
          <w:t>V3.2</w:t>
        </w:r>
        <w:r w:rsidR="00D6017D" w:rsidRPr="00402933">
          <w:rPr>
            <w:rStyle w:val="Hyperkobling"/>
          </w:rPr>
          <w:t>4</w:t>
        </w:r>
      </w:hyperlink>
      <w:r w:rsidR="00D6017D">
        <w:t xml:space="preserve"> viser </w:t>
      </w:r>
      <w:r w:rsidR="009706EE">
        <w:t>andre bidrags- og oppdragsfinansierte inntekter per faglig årsve</w:t>
      </w:r>
      <w:r w:rsidR="008D2535">
        <w:t>rk i tidsserie på institusjonsnivå.</w:t>
      </w:r>
    </w:p>
    <w:p w14:paraId="7FBFE16B" w14:textId="53839798" w:rsidR="00583978" w:rsidRDefault="00583978" w:rsidP="00583978">
      <w:r>
        <w:t xml:space="preserve">For sektoren </w:t>
      </w:r>
      <w:r w:rsidR="00AE2305">
        <w:t>som helhet</w:t>
      </w:r>
      <w:r>
        <w:t xml:space="preserve"> har denne typen finansering tilnærmelsesvis samme omfang som tildelingene fra Forskningsrådet</w:t>
      </w:r>
      <w:r w:rsidR="006F19B7">
        <w:t xml:space="preserve">, se kapittel </w:t>
      </w:r>
      <w:r w:rsidR="004A3C22">
        <w:fldChar w:fldCharType="begin"/>
      </w:r>
      <w:r w:rsidR="004A3C22">
        <w:instrText xml:space="preserve"> REF _Ref134377645 \r \h </w:instrText>
      </w:r>
      <w:r w:rsidR="004A3C22">
        <w:fldChar w:fldCharType="separate"/>
      </w:r>
      <w:r w:rsidR="00F262EF">
        <w:t>3.10</w:t>
      </w:r>
      <w:r w:rsidR="004A3C22">
        <w:fldChar w:fldCharType="end"/>
      </w:r>
      <w:r w:rsidR="004A3C22">
        <w:t xml:space="preserve">. </w:t>
      </w:r>
      <w:r w:rsidR="006F19B7">
        <w:t>D</w:t>
      </w:r>
      <w:r>
        <w:t xml:space="preserve">e andre BOA-inntektene er </w:t>
      </w:r>
      <w:r w:rsidR="00AE2305">
        <w:t xml:space="preserve">imidlertid </w:t>
      </w:r>
      <w:r>
        <w:t>jevnere fordelt mellom flertallet av institusjoner</w:t>
      </w:r>
      <w:r w:rsidR="00E378AB">
        <w:t xml:space="preserve">, </w:t>
      </w:r>
      <w:r>
        <w:t>se</w:t>
      </w:r>
      <w:r w:rsidR="00DC658D">
        <w:t xml:space="preserve"> </w:t>
      </w:r>
      <w:r w:rsidR="00BF11CA">
        <w:fldChar w:fldCharType="begin"/>
      </w:r>
      <w:r w:rsidR="00BF11CA">
        <w:instrText xml:space="preserve"> REF  _Ref133168870 \* Lower \h </w:instrText>
      </w:r>
      <w:r w:rsidR="00BF11CA">
        <w:fldChar w:fldCharType="separate"/>
      </w:r>
      <w:r w:rsidR="00F262EF">
        <w:t xml:space="preserve">figur </w:t>
      </w:r>
      <w:r w:rsidR="00F262EF">
        <w:rPr>
          <w:noProof/>
        </w:rPr>
        <w:t>3</w:t>
      </w:r>
      <w:r w:rsidR="00F262EF">
        <w:t>.</w:t>
      </w:r>
      <w:r w:rsidR="00F262EF">
        <w:rPr>
          <w:noProof/>
        </w:rPr>
        <w:t>18</w:t>
      </w:r>
      <w:r w:rsidR="00BF11CA">
        <w:fldChar w:fldCharType="end"/>
      </w:r>
      <w:r>
        <w:t>. SH skiller seg ut med nesten 500 000 kroner per faglig årsverk</w:t>
      </w:r>
      <w:r w:rsidR="0035447F">
        <w:t xml:space="preserve"> og</w:t>
      </w:r>
      <w:r w:rsidR="00A05A85">
        <w:t xml:space="preserve"> </w:t>
      </w:r>
      <w:r w:rsidR="00A47206">
        <w:t>bemerker i sin årsrapport at dette ligger langt over institusjonen</w:t>
      </w:r>
      <w:r w:rsidR="0035447F">
        <w:t>s eget mål</w:t>
      </w:r>
      <w:r w:rsidR="00A47206">
        <w:t>, som er 200 000 kroner per faglig årsverk</w:t>
      </w:r>
      <w:r w:rsidR="005B4B06">
        <w:t xml:space="preserve"> </w:t>
      </w:r>
      <w:r w:rsidR="000E5F08">
        <w:fldChar w:fldCharType="begin"/>
      </w:r>
      <w:r w:rsidR="00320973">
        <w:instrText xml:space="preserve"> ADDIN EN.CITE &lt;EndNote&gt;&lt;Cite&gt;&lt;Author&gt;Samisk høgskole&lt;/Author&gt;&lt;Year&gt;2023&lt;/Year&gt;&lt;RecNum&gt;1875&lt;/RecNum&gt;&lt;DisplayText&gt;(Samisk høgskole, 2023)&lt;/DisplayText&gt;&lt;record&gt;&lt;rec-number&gt;1875&lt;/rec-number&gt;&lt;foreign-keys&gt;&lt;key app="EN" db-id="s09wp0wxtwz9aue509w52eagvset90vxefrw" timestamp="1683633605" guid="34cc0faa-49db-49b7-b9b7-3aaf6a05623c"&gt;1875&lt;/key&gt;&lt;/foreign-keys&gt;&lt;ref-type name="Report"&gt;27&lt;/ref-type&gt;&lt;contributors&gt;&lt;authors&gt;&lt;author&gt;Samisk høgskole,&lt;/author&gt;&lt;/authors&gt;&lt;tertiary-authors&gt;&lt;author&gt;Samisk høgskole,&lt;/author&gt;&lt;/tertiary-authors&gt;&lt;/contributors&gt;&lt;titles&gt;&lt;title&gt;Årsrapport&lt;/title&gt;&lt;/titles&gt;&lt;dates&gt;&lt;year&gt;2023&lt;/year&gt;&lt;/dates&gt;&lt;publisher&gt;Samisk høgskole&lt;/publisher&gt;&lt;urls&gt;&lt;related-urls&gt;&lt;url&gt;https://dbh.hkdir.no/tall-og-statistikk/aars-rapporter/statistikk-side/18.1?undermeny=statistikk_dokumenter&amp;amp;tabellId=621&lt;/url&gt;&lt;/related-urls&gt;&lt;/urls&gt;&lt;/record&gt;&lt;/Cite&gt;&lt;/EndNote&gt;</w:instrText>
      </w:r>
      <w:r w:rsidR="000E5F08">
        <w:fldChar w:fldCharType="separate"/>
      </w:r>
      <w:r w:rsidR="000E5F08">
        <w:rPr>
          <w:noProof/>
        </w:rPr>
        <w:t>(Samisk høgskole, 2023)</w:t>
      </w:r>
      <w:r w:rsidR="000E5F08">
        <w:fldChar w:fldCharType="end"/>
      </w:r>
      <w:r w:rsidR="001E62F8">
        <w:t>.</w:t>
      </w:r>
    </w:p>
    <w:p w14:paraId="4BFB4978" w14:textId="323AB7E1" w:rsidR="00583978" w:rsidRDefault="00583978" w:rsidP="00583978">
      <w:pPr>
        <w:pStyle w:val="Bildetekst"/>
        <w:keepNext/>
      </w:pPr>
      <w:bookmarkStart w:id="177" w:name="_Ref129871968"/>
      <w:bookmarkStart w:id="178" w:name="_Ref133168870"/>
      <w:bookmarkStart w:id="179" w:name="_Toc134792800"/>
      <w:r>
        <w:t xml:space="preserve">Figur </w:t>
      </w:r>
      <w:bookmarkEnd w:id="177"/>
      <w:r w:rsidR="004F2208">
        <w:fldChar w:fldCharType="begin"/>
      </w:r>
      <w:r w:rsidR="004F2208">
        <w:instrText xml:space="preserve"> STYLEREF 1 \s </w:instrText>
      </w:r>
      <w:r w:rsidR="004F2208">
        <w:fldChar w:fldCharType="separate"/>
      </w:r>
      <w:r w:rsidR="00F262EF">
        <w:rPr>
          <w:noProof/>
        </w:rPr>
        <w:t>3</w:t>
      </w:r>
      <w:r w:rsidR="004F2208">
        <w:fldChar w:fldCharType="end"/>
      </w:r>
      <w:r w:rsidR="004F2208">
        <w:t>.</w:t>
      </w:r>
      <w:r>
        <w:fldChar w:fldCharType="begin"/>
      </w:r>
      <w:r>
        <w:instrText>SEQ Figur \* ARABIC \s 1</w:instrText>
      </w:r>
      <w:r>
        <w:fldChar w:fldCharType="separate"/>
      </w:r>
      <w:r w:rsidR="00F262EF">
        <w:rPr>
          <w:noProof/>
        </w:rPr>
        <w:t>18</w:t>
      </w:r>
      <w:r>
        <w:fldChar w:fldCharType="end"/>
      </w:r>
      <w:bookmarkEnd w:id="178"/>
      <w:r>
        <w:t xml:space="preserve"> </w:t>
      </w:r>
      <w:r w:rsidRPr="009128F5">
        <w:t>Andre bidrags- og oppdragsinntekter per faglig årsverk 2022, statlige institusjoner. 1000 kr</w:t>
      </w:r>
      <w:bookmarkEnd w:id="179"/>
    </w:p>
    <w:p w14:paraId="023E5F28" w14:textId="77777777" w:rsidR="00583978" w:rsidRDefault="00583978" w:rsidP="00583978">
      <w:r>
        <w:rPr>
          <w:noProof/>
        </w:rPr>
        <w:drawing>
          <wp:inline distT="0" distB="0" distL="0" distR="0" wp14:anchorId="68B29023" wp14:editId="5CF9A675">
            <wp:extent cx="5143500" cy="3000375"/>
            <wp:effectExtent l="0" t="0" r="0" b="9525"/>
            <wp:docPr id="15" name="Diagram 15">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DD53DDA" w14:textId="0AFF67B4" w:rsidR="00583978" w:rsidRDefault="00583978" w:rsidP="00583978">
      <w:pPr>
        <w:pStyle w:val="Kilde"/>
      </w:pPr>
      <w:r>
        <w:t xml:space="preserve">Kilde: </w:t>
      </w:r>
      <w:proofErr w:type="spellStart"/>
      <w:r>
        <w:t>DBH</w:t>
      </w:r>
      <w:proofErr w:type="spellEnd"/>
    </w:p>
    <w:p w14:paraId="571D3E2F" w14:textId="7C518056" w:rsidR="00E378AB" w:rsidRDefault="00E378AB" w:rsidP="00E378AB">
      <w:r>
        <w:t xml:space="preserve">Mens tildelingene fra Forskningsrådet henger tydelig sammen med institusjonenes faglige profil, er det ikke et slikt mønster i fordelingen av andre bidrags- og oppdragsinntekter. Blant institusjonene med høyest inntekter i denne kategorien finner vi så ulike institusjoner som SH, </w:t>
      </w:r>
      <w:proofErr w:type="spellStart"/>
      <w:r>
        <w:t>HINN</w:t>
      </w:r>
      <w:proofErr w:type="spellEnd"/>
      <w:r>
        <w:t>, NIH og UiO. Omvendt finner vi institusjoner med likeartet profil (</w:t>
      </w:r>
      <w:proofErr w:type="spellStart"/>
      <w:r>
        <w:t>HINN</w:t>
      </w:r>
      <w:proofErr w:type="spellEnd"/>
      <w:r>
        <w:t xml:space="preserve">, </w:t>
      </w:r>
      <w:proofErr w:type="spellStart"/>
      <w:r>
        <w:t>HVL</w:t>
      </w:r>
      <w:proofErr w:type="spellEnd"/>
      <w:r>
        <w:t xml:space="preserve"> og </w:t>
      </w:r>
      <w:proofErr w:type="spellStart"/>
      <w:r>
        <w:t>USN</w:t>
      </w:r>
      <w:proofErr w:type="spellEnd"/>
      <w:r>
        <w:t xml:space="preserve">) både i hver ende og i midten </w:t>
      </w:r>
      <w:r w:rsidR="00594A22">
        <w:t xml:space="preserve">når vi sorterer institusjonene etter </w:t>
      </w:r>
      <w:r w:rsidR="007C58F7">
        <w:t>størrelsen på slike inntekter</w:t>
      </w:r>
      <w:r>
        <w:t>. Institusjonenes regnskaper viser at ulike institusjoner henter midler fra ulike typer kilde</w:t>
      </w:r>
      <w:r w:rsidR="00B25574">
        <w:t>r</w:t>
      </w:r>
      <w:r>
        <w:t xml:space="preserve"> og at de samhandler med omverden på ulike måter og arenaer. Mens NTNU får en stor del av sine BOA-inntekter fra næringsliv og private, har SH nesten ingen slike inntekter. For SH kommer disse inntektene framfor alt fra offentlige etater, inkludert Nordisk </w:t>
      </w:r>
      <w:r>
        <w:lastRenderedPageBreak/>
        <w:t xml:space="preserve">ministerråd, samt organisasjoner og stiftelser. Også for </w:t>
      </w:r>
      <w:proofErr w:type="spellStart"/>
      <w:r>
        <w:t>HINN</w:t>
      </w:r>
      <w:proofErr w:type="spellEnd"/>
      <w:r>
        <w:t xml:space="preserve"> er det i hovedsak statlige, kommunale og fylkeskommunale etater de viktigste kildene til denne inntektstypen</w:t>
      </w:r>
      <w:r w:rsidR="00F36EE4">
        <w:t xml:space="preserve"> </w:t>
      </w:r>
      <w:r w:rsidR="00FA2158">
        <w:fldChar w:fldCharType="begin"/>
      </w:r>
      <w:r w:rsidR="00320973">
        <w:instrText xml:space="preserve"> ADDIN EN.CITE &lt;EndNote&gt;&lt;Cite&gt;&lt;Author&gt;Høgskolen i Innlandet&lt;/Author&gt;&lt;Year&gt;2023&lt;/Year&gt;&lt;RecNum&gt;1876&lt;/RecNum&gt;&lt;DisplayText&gt;(Høgskolen i Innlandet, 2023)&lt;/DisplayText&gt;&lt;record&gt;&lt;rec-number&gt;1876&lt;/rec-number&gt;&lt;foreign-keys&gt;&lt;key app="EN" db-id="s09wp0wxtwz9aue509w52eagvset90vxefrw" timestamp="1683633994" guid="48868774-55cb-4783-8d0c-22f9e64df117"&gt;1876&lt;/key&gt;&lt;/foreign-keys&gt;&lt;ref-type name="Report"&gt;27&lt;/ref-type&gt;&lt;contributors&gt;&lt;authors&gt;&lt;author&gt;Høgskolen i Innlandet,&lt;/author&gt;&lt;/authors&gt;&lt;/contributors&gt;&lt;titles&gt;&lt;title&gt;Årsrapport&lt;/title&gt;&lt;/titles&gt;&lt;dates&gt;&lt;year&gt;2023&lt;/year&gt;&lt;/dates&gt;&lt;publisher&gt;Høgskolen i Innlandet&lt;/publisher&gt;&lt;urls&gt;&lt;related-urls&gt;&lt;url&gt;https://dbh.hkdir.no/tall-og-statistikk/aars-rapporter/statistikk-side/18.1?undermeny=statistikk_dokumenter&amp;amp;tabellId=621&lt;/url&gt;&lt;/related-urls&gt;&lt;/urls&gt;&lt;/record&gt;&lt;/Cite&gt;&lt;/EndNote&gt;</w:instrText>
      </w:r>
      <w:r w:rsidR="00FA2158">
        <w:fldChar w:fldCharType="separate"/>
      </w:r>
      <w:r w:rsidR="00FA2158">
        <w:rPr>
          <w:noProof/>
        </w:rPr>
        <w:t>(Høgskolen i Innlandet, 2023)</w:t>
      </w:r>
      <w:r w:rsidR="00FA2158">
        <w:fldChar w:fldCharType="end"/>
      </w:r>
      <w:r w:rsidR="00FA2158">
        <w:t>.</w:t>
      </w:r>
    </w:p>
    <w:p w14:paraId="4F1264B4" w14:textId="26425420" w:rsidR="00E22BC8" w:rsidRDefault="00E22BC8" w:rsidP="00E22BC8">
      <w:r>
        <w:t xml:space="preserve">Flere av de private institusjonene har store inntekter i denne kategorien. </w:t>
      </w:r>
      <w:proofErr w:type="spellStart"/>
      <w:r>
        <w:t>HGUT</w:t>
      </w:r>
      <w:proofErr w:type="spellEnd"/>
      <w:r>
        <w:t xml:space="preserve"> har hele 645 000 per faglig årsverk, BI 263 000 og, </w:t>
      </w:r>
      <w:proofErr w:type="spellStart"/>
      <w:r>
        <w:t>DMMH</w:t>
      </w:r>
      <w:proofErr w:type="spellEnd"/>
      <w:r>
        <w:t xml:space="preserve"> og </w:t>
      </w:r>
      <w:proofErr w:type="spellStart"/>
      <w:r>
        <w:t>ATH</w:t>
      </w:r>
      <w:proofErr w:type="spellEnd"/>
      <w:r>
        <w:t xml:space="preserve"> i overkant av 230 000 og VID i underkant av 200 000. Se </w:t>
      </w:r>
      <w:hyperlink r:id="rId124" w:history="1">
        <w:r w:rsidRPr="00893EF1">
          <w:rPr>
            <w:rStyle w:val="Hyperkobling"/>
          </w:rPr>
          <w:t>V3.24</w:t>
        </w:r>
      </w:hyperlink>
      <w:r>
        <w:t xml:space="preserve"> for tidsserie med andre BOA-inntekter per institusjon for både statlige og private institusjoner.</w:t>
      </w:r>
    </w:p>
    <w:p w14:paraId="3D3E876D" w14:textId="77777777" w:rsidR="00583978" w:rsidRPr="002D1EC7" w:rsidRDefault="00583978">
      <w:pPr>
        <w:rPr>
          <w:rFonts w:asciiTheme="majorHAnsi" w:eastAsiaTheme="majorEastAsia" w:hAnsiTheme="majorHAnsi" w:cstheme="majorBidi"/>
          <w:b/>
          <w:color w:val="362683"/>
          <w:sz w:val="24"/>
          <w:szCs w:val="26"/>
        </w:rPr>
      </w:pPr>
      <w:r w:rsidRPr="002D1EC7">
        <w:br w:type="page"/>
      </w:r>
    </w:p>
    <w:p w14:paraId="056402D4" w14:textId="73EF4532" w:rsidR="00D43D44" w:rsidRPr="002D1EC7" w:rsidRDefault="00D43D44" w:rsidP="00AE4B98">
      <w:pPr>
        <w:pStyle w:val="Overskrift3"/>
        <w:rPr>
          <w:lang w:val="nn-NO"/>
        </w:rPr>
      </w:pPr>
      <w:bookmarkStart w:id="180" w:name="_Toc134792751"/>
      <w:r w:rsidRPr="002D1EC7">
        <w:rPr>
          <w:lang w:val="nn-NO"/>
        </w:rPr>
        <w:lastRenderedPageBreak/>
        <w:t xml:space="preserve">Sikring og bevaring av </w:t>
      </w:r>
      <w:proofErr w:type="spellStart"/>
      <w:r w:rsidRPr="002D1EC7">
        <w:rPr>
          <w:lang w:val="nn-NO"/>
        </w:rPr>
        <w:t>universitetsmuseene</w:t>
      </w:r>
      <w:proofErr w:type="spellEnd"/>
      <w:r w:rsidRPr="002D1EC7">
        <w:rPr>
          <w:lang w:val="nn-NO"/>
        </w:rPr>
        <w:t xml:space="preserve"> </w:t>
      </w:r>
      <w:r w:rsidR="00D313BA" w:rsidRPr="002D1EC7">
        <w:rPr>
          <w:lang w:val="nn-NO"/>
        </w:rPr>
        <w:t xml:space="preserve">– </w:t>
      </w:r>
      <w:r w:rsidRPr="002D1EC7">
        <w:rPr>
          <w:lang w:val="nn-NO"/>
        </w:rPr>
        <w:t>nasjonal styringsparameter</w:t>
      </w:r>
      <w:bookmarkEnd w:id="180"/>
    </w:p>
    <w:p w14:paraId="5600EC98" w14:textId="11C4B8D1" w:rsidR="004125BE" w:rsidRPr="007F342B" w:rsidRDefault="004125BE" w:rsidP="00D32673">
      <w:r w:rsidRPr="007F342B">
        <w:t>Det er seks universitetsmuseer i Norge: Kulturhistorisk museum og Naturhistorisk museum ved UiO, Universitetsmuseet i Bergen ved UiB, Vitenskapsmuseet ved NTNU,</w:t>
      </w:r>
      <w:r w:rsidR="00F3243C" w:rsidRPr="007F342B">
        <w:t xml:space="preserve"> Norges arktiske universitetsmuseum ved UiT, </w:t>
      </w:r>
      <w:r w:rsidRPr="007F342B">
        <w:t xml:space="preserve">og Arkeologisk museum ved </w:t>
      </w:r>
      <w:proofErr w:type="spellStart"/>
      <w:r w:rsidRPr="007F342B">
        <w:t>UiS</w:t>
      </w:r>
      <w:proofErr w:type="spellEnd"/>
      <w:r w:rsidRPr="007F342B">
        <w:t xml:space="preserve">. </w:t>
      </w:r>
    </w:p>
    <w:p w14:paraId="53FE5384" w14:textId="77777777" w:rsidR="003815ED" w:rsidRPr="009B56DD" w:rsidRDefault="004125BE" w:rsidP="00D32673">
      <w:r w:rsidRPr="009B56DD">
        <w:t xml:space="preserve">Nasjonal styringsparameter måler graden av sikring av museenes magasinarealer og bevaring av objekter eller samlinger etter gitte kriterier. </w:t>
      </w:r>
      <w:r w:rsidR="003E1299" w:rsidRPr="009B56DD">
        <w:t xml:space="preserve">Om </w:t>
      </w:r>
      <w:r w:rsidR="003E5142" w:rsidRPr="009B56DD">
        <w:t>«</w:t>
      </w:r>
      <w:r w:rsidR="003E1299" w:rsidRPr="009B56DD">
        <w:t>sikring</w:t>
      </w:r>
      <w:r w:rsidR="003E5142" w:rsidRPr="009B56DD">
        <w:t>»</w:t>
      </w:r>
      <w:r w:rsidR="003E1299" w:rsidRPr="009B56DD">
        <w:t xml:space="preserve"> rapporterer i</w:t>
      </w:r>
      <w:r w:rsidR="00C85AF4" w:rsidRPr="009B56DD">
        <w:t xml:space="preserve">nstitusjonene </w:t>
      </w:r>
      <w:r w:rsidRPr="009B56DD">
        <w:t>prosentandel av arealet sikret etter følgende kriterier: skallsikring, tyverisikring, brannsikring, vannskaderisiko, samt</w:t>
      </w:r>
      <w:r w:rsidR="003E1299" w:rsidRPr="009B56DD">
        <w:t xml:space="preserve"> </w:t>
      </w:r>
      <w:r w:rsidRPr="009B56DD">
        <w:t xml:space="preserve">rutiner og beredskap. På området </w:t>
      </w:r>
      <w:r w:rsidR="007459B8" w:rsidRPr="009B56DD">
        <w:t>«</w:t>
      </w:r>
      <w:r w:rsidRPr="009B56DD">
        <w:t>bevaring</w:t>
      </w:r>
      <w:r w:rsidR="007459B8" w:rsidRPr="009B56DD">
        <w:t>»</w:t>
      </w:r>
      <w:r w:rsidRPr="009B56DD">
        <w:t xml:space="preserve"> rapporterer institusjonene prosentandel av det totale antallet objekter/samlinger som har tilfredsstillende grad av bevaring etter følgende kriterier: luftfuktighet og temperatur, lysforhold, aktiv konservering, og preventiv konservering. Vurderingene gjøres skjønnsmessig, og kultur- og naturhistoriske samlinger vurderes hver for seg. </w:t>
      </w:r>
    </w:p>
    <w:p w14:paraId="2311D4CE" w14:textId="02FA7C15" w:rsidR="004125BE" w:rsidRPr="003815ED" w:rsidRDefault="003815ED" w:rsidP="00D32673">
      <w:r w:rsidRPr="003815ED">
        <w:fldChar w:fldCharType="begin"/>
      </w:r>
      <w:r w:rsidRPr="00576A04">
        <w:instrText xml:space="preserve"> REF _Ref130556416 \h </w:instrText>
      </w:r>
      <w:r w:rsidRPr="003815ED">
        <w:fldChar w:fldCharType="separate"/>
      </w:r>
      <w:r w:rsidR="00F262EF">
        <w:t xml:space="preserve">Tabell </w:t>
      </w:r>
      <w:r w:rsidR="00F262EF">
        <w:rPr>
          <w:noProof/>
        </w:rPr>
        <w:t>3</w:t>
      </w:r>
      <w:r w:rsidR="00F262EF">
        <w:t>.</w:t>
      </w:r>
      <w:r w:rsidR="00F262EF">
        <w:rPr>
          <w:noProof/>
        </w:rPr>
        <w:t>2</w:t>
      </w:r>
      <w:r w:rsidRPr="003815ED">
        <w:fldChar w:fldCharType="end"/>
      </w:r>
      <w:r w:rsidRPr="00576A04">
        <w:t xml:space="preserve"> </w:t>
      </w:r>
      <w:r w:rsidR="004125BE" w:rsidRPr="00576A04">
        <w:t xml:space="preserve">viser institusjonenes rapportering på sikring og bevaring for 2022 for tre av de nevnte kriteriene fordelt på kulturhistoriske- og naturhistoriske samlinger/museer. </w:t>
      </w:r>
      <w:r w:rsidR="004125BE" w:rsidRPr="003815ED">
        <w:t>Som tidligere fremstår risiko for vannskade som den største utfordringen for de fleste museene.</w:t>
      </w:r>
      <w:r w:rsidR="00D62F70" w:rsidRPr="003815ED">
        <w:t xml:space="preserve"> I </w:t>
      </w:r>
      <w:r w:rsidR="004125BE" w:rsidRPr="003815ED">
        <w:t xml:space="preserve">vurderingen av rutiner og beredskap er det </w:t>
      </w:r>
      <w:r w:rsidR="00143C65" w:rsidRPr="003815ED">
        <w:t>en del</w:t>
      </w:r>
      <w:r w:rsidR="004125BE" w:rsidRPr="003815ED">
        <w:t xml:space="preserve"> forskjell mellom institusjonene,</w:t>
      </w:r>
      <w:r w:rsidR="000B2093" w:rsidRPr="003815ED">
        <w:t xml:space="preserve"> </w:t>
      </w:r>
      <w:r w:rsidR="00BF3126" w:rsidRPr="003815ED">
        <w:t xml:space="preserve">og </w:t>
      </w:r>
      <w:r w:rsidR="00821218" w:rsidRPr="003815ED">
        <w:t xml:space="preserve">tallet </w:t>
      </w:r>
      <w:r w:rsidR="00E91E68" w:rsidRPr="003815ED">
        <w:t>for</w:t>
      </w:r>
      <w:r w:rsidR="00A22F5E" w:rsidRPr="003815ED">
        <w:t xml:space="preserve"> </w:t>
      </w:r>
      <w:r w:rsidR="00646AF8" w:rsidRPr="003815ED">
        <w:t xml:space="preserve">UiOs naturhistoriske samlinger </w:t>
      </w:r>
      <w:r w:rsidR="00892436" w:rsidRPr="003815ED">
        <w:t>peker seg ut med lav skår</w:t>
      </w:r>
      <w:r w:rsidR="006F3658" w:rsidRPr="003815ED">
        <w:t xml:space="preserve"> for tilfredsstillende </w:t>
      </w:r>
      <w:r w:rsidR="00CD1E17" w:rsidRPr="003815ED">
        <w:t>ruti</w:t>
      </w:r>
      <w:r w:rsidR="009D44F0" w:rsidRPr="003815ED">
        <w:t>ner og beredskap</w:t>
      </w:r>
      <w:r w:rsidR="00892436" w:rsidRPr="003815ED">
        <w:t xml:space="preserve">, </w:t>
      </w:r>
      <w:r w:rsidR="00154815" w:rsidRPr="003815ED">
        <w:t xml:space="preserve">med </w:t>
      </w:r>
      <w:r w:rsidR="00892436" w:rsidRPr="003815ED">
        <w:t>33 prosent</w:t>
      </w:r>
      <w:r w:rsidR="0031568C" w:rsidRPr="003815ED">
        <w:t>.</w:t>
      </w:r>
      <w:r w:rsidR="00F561F4" w:rsidRPr="003815ED">
        <w:t xml:space="preserve"> UiOs kulturhistoriske samlinger skal samles på Økern, men fullføringen ble forsinket pga. koronapandemien. Det er ventet at dette arbeidet blir fullført i løpet av 2023</w:t>
      </w:r>
      <w:r w:rsidR="00731C2F">
        <w:t>,</w:t>
      </w:r>
      <w:r w:rsidR="00F561F4" w:rsidRPr="003815ED">
        <w:t xml:space="preserve"> og disse samlingene vil da være bedre sikret. NTNU har etablert et nytt magasin for kulturhistorisk arkiv i 2022 </w:t>
      </w:r>
      <w:r w:rsidR="00F807FC">
        <w:t>på grunn av</w:t>
      </w:r>
      <w:r w:rsidR="00F561F4" w:rsidRPr="003815ED">
        <w:t xml:space="preserve"> problemer med vanninntrenging. I tillegg ble et vannførende rør lagt utenfor et samlingsmagasin for å redusere faren for vannskade. Etter bekymringsmeldinger om sikkerheten for de besøkende, ble de kulturhistoriske samlingene ved UiB stengt for publikum fra og med våren 2022.</w:t>
      </w:r>
    </w:p>
    <w:p w14:paraId="4BF81B28" w14:textId="3E67A315" w:rsidR="0031568C" w:rsidRPr="00D32673" w:rsidRDefault="00892BD6" w:rsidP="00D32673">
      <w:r w:rsidRPr="003815ED">
        <w:t xml:space="preserve">Når vi sammenlikner </w:t>
      </w:r>
      <w:r w:rsidR="005518A1" w:rsidRPr="003815ED">
        <w:t>202</w:t>
      </w:r>
      <w:r w:rsidR="0071504E" w:rsidRPr="003815ED">
        <w:t>2-tallene med tilsvarende</w:t>
      </w:r>
      <w:r w:rsidR="00D34EF2">
        <w:t xml:space="preserve"> tall</w:t>
      </w:r>
      <w:r w:rsidR="0071504E" w:rsidRPr="003815ED">
        <w:t xml:space="preserve"> for 2021, </w:t>
      </w:r>
      <w:r w:rsidR="00B548D7" w:rsidRPr="003815ED">
        <w:t>er den største endringen at</w:t>
      </w:r>
      <w:r w:rsidR="00B548D7">
        <w:t xml:space="preserve"> </w:t>
      </w:r>
      <w:r w:rsidR="002C064B">
        <w:t>naturhistoriske samlinger ved UiT</w:t>
      </w:r>
      <w:r w:rsidR="00DF6150">
        <w:t xml:space="preserve"> er bedre sikret med tanke på luftfuktighet og temperatur. </w:t>
      </w:r>
      <w:r w:rsidR="008E3899">
        <w:t xml:space="preserve">Sikringsgraden har </w:t>
      </w:r>
      <w:r w:rsidR="00250A93">
        <w:t xml:space="preserve">her </w:t>
      </w:r>
      <w:r w:rsidR="008E3899">
        <w:t>økt fra</w:t>
      </w:r>
      <w:r w:rsidR="009372E9">
        <w:t xml:space="preserve"> </w:t>
      </w:r>
      <w:r w:rsidR="00265A8C">
        <w:t xml:space="preserve">12 til </w:t>
      </w:r>
      <w:r w:rsidR="00345BF0">
        <w:t xml:space="preserve">80 prosent. </w:t>
      </w:r>
      <w:r w:rsidR="009E2DF6">
        <w:t>For kul</w:t>
      </w:r>
      <w:r w:rsidR="004F45DF">
        <w:t xml:space="preserve">turhistoriske samlinger ved </w:t>
      </w:r>
      <w:r w:rsidR="002B085D">
        <w:t>UiT, derimot, er sikringsgraden</w:t>
      </w:r>
      <w:r w:rsidR="00E41F51">
        <w:t xml:space="preserve"> </w:t>
      </w:r>
      <w:r w:rsidR="001D7E02">
        <w:t>på samme område fortsatt lav</w:t>
      </w:r>
      <w:r w:rsidR="00E201E4">
        <w:t xml:space="preserve"> </w:t>
      </w:r>
      <w:r w:rsidR="006440BA">
        <w:t xml:space="preserve">med </w:t>
      </w:r>
      <w:r w:rsidR="0036499E">
        <w:t>21 prosent</w:t>
      </w:r>
      <w:r w:rsidR="00C17748">
        <w:t>,</w:t>
      </w:r>
      <w:r w:rsidR="006440BA">
        <w:t xml:space="preserve"> det samme som </w:t>
      </w:r>
      <w:r w:rsidR="0036499E">
        <w:t>i 2021.</w:t>
      </w:r>
      <w:r w:rsidR="009742C4" w:rsidRPr="009742C4">
        <w:t xml:space="preserve"> </w:t>
      </w:r>
      <w:r w:rsidR="009742C4">
        <w:t xml:space="preserve">Utover dette er den rapporterte tilstanden nokså uendret fra foregående år. </w:t>
      </w:r>
    </w:p>
    <w:p w14:paraId="5564AD69" w14:textId="00768EE5" w:rsidR="00403DA8" w:rsidRPr="00D32673" w:rsidRDefault="004C1282" w:rsidP="00D32673">
      <w:r w:rsidRPr="004C1282">
        <w:t xml:space="preserve">Vedleggstabellene </w:t>
      </w:r>
      <w:hyperlink r:id="rId125" w:history="1">
        <w:r w:rsidRPr="00893EF1">
          <w:rPr>
            <w:rStyle w:val="Hyperkobling"/>
          </w:rPr>
          <w:t>V3.42</w:t>
        </w:r>
      </w:hyperlink>
      <w:r w:rsidRPr="004C1282">
        <w:t xml:space="preserve">, </w:t>
      </w:r>
      <w:hyperlink r:id="rId126" w:history="1">
        <w:r w:rsidRPr="00893EF1">
          <w:rPr>
            <w:rStyle w:val="Hyperkobling"/>
          </w:rPr>
          <w:t>V3.43</w:t>
        </w:r>
      </w:hyperlink>
      <w:r w:rsidRPr="004C1282">
        <w:t xml:space="preserve">, </w:t>
      </w:r>
      <w:hyperlink r:id="rId127" w:history="1">
        <w:r w:rsidRPr="00893EF1">
          <w:rPr>
            <w:rStyle w:val="Hyperkobling"/>
          </w:rPr>
          <w:t>V3.44</w:t>
        </w:r>
      </w:hyperlink>
      <w:r w:rsidRPr="004C1282">
        <w:t xml:space="preserve"> og </w:t>
      </w:r>
      <w:hyperlink r:id="rId128" w:history="1">
        <w:r w:rsidRPr="00893EF1">
          <w:rPr>
            <w:rStyle w:val="Hyperkobling"/>
          </w:rPr>
          <w:t>V3.45</w:t>
        </w:r>
      </w:hyperlink>
      <w:r w:rsidRPr="004C1282">
        <w:t xml:space="preserve"> gir detaljert informasjon om bevaring og sikring, mens </w:t>
      </w:r>
      <w:hyperlink r:id="rId129" w:history="1">
        <w:r w:rsidRPr="00893EF1">
          <w:rPr>
            <w:rStyle w:val="Hyperkobling"/>
          </w:rPr>
          <w:t>V3.46</w:t>
        </w:r>
      </w:hyperlink>
      <w:r w:rsidRPr="004C1282">
        <w:t xml:space="preserve"> viser utvikling og status for formidling ved universitetsmuseene</w:t>
      </w:r>
      <w:r w:rsidR="0037045B">
        <w:t>.</w:t>
      </w:r>
    </w:p>
    <w:p w14:paraId="0B459DC3" w14:textId="48095F2B" w:rsidR="00D10EC5" w:rsidRDefault="00D10EC5" w:rsidP="00D10EC5">
      <w:pPr>
        <w:pStyle w:val="Bildetekst"/>
        <w:keepNext/>
      </w:pPr>
      <w:bookmarkStart w:id="181" w:name="_Ref130556416"/>
      <w:bookmarkStart w:id="182" w:name="_Toc134792813"/>
      <w:r>
        <w:t xml:space="preserve">Tabell </w:t>
      </w:r>
      <w:r>
        <w:fldChar w:fldCharType="begin"/>
      </w:r>
      <w:r>
        <w:instrText>STYLEREF 1 \s</w:instrText>
      </w:r>
      <w:r>
        <w:fldChar w:fldCharType="separate"/>
      </w:r>
      <w:r w:rsidR="00F262EF">
        <w:rPr>
          <w:noProof/>
        </w:rPr>
        <w:t>3</w:t>
      </w:r>
      <w:r>
        <w:fldChar w:fldCharType="end"/>
      </w:r>
      <w:r w:rsidR="00FE01A3">
        <w:t>.</w:t>
      </w:r>
      <w:r>
        <w:fldChar w:fldCharType="begin"/>
      </w:r>
      <w:r>
        <w:instrText>SEQ Tabell \* ARABIC \s 1</w:instrText>
      </w:r>
      <w:r>
        <w:fldChar w:fldCharType="separate"/>
      </w:r>
      <w:r w:rsidR="00F262EF">
        <w:rPr>
          <w:noProof/>
        </w:rPr>
        <w:t>2</w:t>
      </w:r>
      <w:r>
        <w:fldChar w:fldCharType="end"/>
      </w:r>
      <w:bookmarkEnd w:id="181"/>
      <w:r>
        <w:t xml:space="preserve"> </w:t>
      </w:r>
      <w:r w:rsidRPr="00D6373C">
        <w:t>Graden av tilfredsstillende sikring og bevaring 2022, utvalgte kriterier. Prosent</w:t>
      </w:r>
      <w:bookmarkEnd w:id="182"/>
    </w:p>
    <w:tbl>
      <w:tblPr>
        <w:tblW w:w="0" w:type="auto"/>
        <w:tblCellMar>
          <w:left w:w="70" w:type="dxa"/>
          <w:right w:w="70" w:type="dxa"/>
        </w:tblCellMar>
        <w:tblLook w:val="04A0" w:firstRow="1" w:lastRow="0" w:firstColumn="1" w:lastColumn="0" w:noHBand="0" w:noVBand="1"/>
      </w:tblPr>
      <w:tblGrid>
        <w:gridCol w:w="2346"/>
        <w:gridCol w:w="794"/>
        <w:gridCol w:w="525"/>
        <w:gridCol w:w="536"/>
        <w:gridCol w:w="513"/>
        <w:gridCol w:w="502"/>
        <w:gridCol w:w="949"/>
        <w:gridCol w:w="627"/>
        <w:gridCol w:w="641"/>
        <w:gridCol w:w="600"/>
      </w:tblGrid>
      <w:tr w:rsidR="002D4373" w:rsidRPr="002D4373" w14:paraId="3B397D4C" w14:textId="77777777" w:rsidTr="00705B63">
        <w:trPr>
          <w:trHeight w:val="300"/>
        </w:trPr>
        <w:tc>
          <w:tcPr>
            <w:tcW w:w="0" w:type="auto"/>
            <w:vMerge w:val="restart"/>
            <w:tcBorders>
              <w:top w:val="nil"/>
              <w:left w:val="single" w:sz="8" w:space="0" w:color="0079AC"/>
              <w:bottom w:val="nil"/>
              <w:right w:val="single" w:sz="8" w:space="0" w:color="2E91BB"/>
            </w:tcBorders>
            <w:shd w:val="clear" w:color="000000" w:fill="0079AC"/>
            <w:vAlign w:val="center"/>
            <w:hideMark/>
          </w:tcPr>
          <w:p w14:paraId="7B4256D4" w14:textId="77777777" w:rsidR="002D4373" w:rsidRPr="002D4373" w:rsidRDefault="002D4373" w:rsidP="002D4373">
            <w:pPr>
              <w:spacing w:after="0" w:line="240" w:lineRule="auto"/>
              <w:rPr>
                <w:rFonts w:ascii="Times New Roman" w:eastAsia="Times New Roman" w:hAnsi="Times New Roman" w:cs="Times New Roman"/>
                <w:color w:val="000000"/>
                <w:lang w:eastAsia="nb-NO"/>
              </w:rPr>
            </w:pPr>
            <w:r w:rsidRPr="002D4373">
              <w:rPr>
                <w:rFonts w:ascii="Times New Roman" w:eastAsia="Times New Roman" w:hAnsi="Times New Roman" w:cs="Times New Roman"/>
                <w:color w:val="000000"/>
                <w:lang w:eastAsia="nb-NO"/>
              </w:rPr>
              <w:t> </w:t>
            </w:r>
          </w:p>
        </w:tc>
        <w:tc>
          <w:tcPr>
            <w:tcW w:w="0" w:type="auto"/>
            <w:gridSpan w:val="5"/>
            <w:tcBorders>
              <w:top w:val="nil"/>
              <w:left w:val="nil"/>
              <w:bottom w:val="single" w:sz="8" w:space="0" w:color="2E91BB"/>
              <w:right w:val="single" w:sz="8" w:space="0" w:color="2E91BB"/>
            </w:tcBorders>
            <w:shd w:val="clear" w:color="000000" w:fill="0079AC"/>
            <w:vAlign w:val="center"/>
            <w:hideMark/>
          </w:tcPr>
          <w:p w14:paraId="3B0A0398"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Kulturhistoriske samlinger/museum</w:t>
            </w:r>
          </w:p>
        </w:tc>
        <w:tc>
          <w:tcPr>
            <w:tcW w:w="0" w:type="auto"/>
            <w:gridSpan w:val="4"/>
            <w:tcBorders>
              <w:top w:val="nil"/>
              <w:left w:val="nil"/>
              <w:bottom w:val="single" w:sz="8" w:space="0" w:color="2E91BB"/>
              <w:right w:val="nil"/>
            </w:tcBorders>
            <w:shd w:val="clear" w:color="000000" w:fill="0079AC"/>
            <w:vAlign w:val="center"/>
            <w:hideMark/>
          </w:tcPr>
          <w:p w14:paraId="0A38AC5F"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Naturhistoriske samlinger/museum</w:t>
            </w:r>
          </w:p>
        </w:tc>
      </w:tr>
      <w:tr w:rsidR="00B31EC7" w:rsidRPr="002D4373" w14:paraId="6AE38635" w14:textId="77777777" w:rsidTr="00705B63">
        <w:trPr>
          <w:trHeight w:val="300"/>
        </w:trPr>
        <w:tc>
          <w:tcPr>
            <w:tcW w:w="0" w:type="auto"/>
            <w:vMerge/>
            <w:tcBorders>
              <w:top w:val="nil"/>
              <w:left w:val="single" w:sz="8" w:space="0" w:color="0079AC"/>
              <w:bottom w:val="nil"/>
              <w:right w:val="single" w:sz="8" w:space="0" w:color="2E91BB"/>
            </w:tcBorders>
            <w:vAlign w:val="center"/>
            <w:hideMark/>
          </w:tcPr>
          <w:p w14:paraId="27889CB6" w14:textId="77777777" w:rsidR="002D4373" w:rsidRPr="002D4373" w:rsidRDefault="002D4373" w:rsidP="002D4373">
            <w:pPr>
              <w:spacing w:after="0" w:line="240" w:lineRule="auto"/>
              <w:rPr>
                <w:rFonts w:ascii="Times New Roman" w:eastAsia="Times New Roman" w:hAnsi="Times New Roman" w:cs="Times New Roman"/>
                <w:color w:val="000000"/>
                <w:lang w:eastAsia="nb-NO"/>
              </w:rPr>
            </w:pPr>
          </w:p>
        </w:tc>
        <w:tc>
          <w:tcPr>
            <w:tcW w:w="0" w:type="auto"/>
            <w:tcBorders>
              <w:top w:val="nil"/>
              <w:left w:val="nil"/>
              <w:bottom w:val="nil"/>
              <w:right w:val="nil"/>
            </w:tcBorders>
            <w:shd w:val="clear" w:color="000000" w:fill="0079AC"/>
            <w:vAlign w:val="center"/>
            <w:hideMark/>
          </w:tcPr>
          <w:p w14:paraId="3EF0AC43"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 xml:space="preserve"> NTNU</w:t>
            </w:r>
          </w:p>
        </w:tc>
        <w:tc>
          <w:tcPr>
            <w:tcW w:w="0" w:type="auto"/>
            <w:tcBorders>
              <w:top w:val="nil"/>
              <w:left w:val="single" w:sz="8" w:space="0" w:color="2E91BB"/>
              <w:bottom w:val="nil"/>
              <w:right w:val="nil"/>
            </w:tcBorders>
            <w:shd w:val="clear" w:color="000000" w:fill="0079AC"/>
            <w:vAlign w:val="center"/>
            <w:hideMark/>
          </w:tcPr>
          <w:p w14:paraId="320D5E62"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UiB</w:t>
            </w:r>
          </w:p>
        </w:tc>
        <w:tc>
          <w:tcPr>
            <w:tcW w:w="0" w:type="auto"/>
            <w:tcBorders>
              <w:top w:val="nil"/>
              <w:left w:val="single" w:sz="8" w:space="0" w:color="2E91BB"/>
              <w:bottom w:val="nil"/>
              <w:right w:val="nil"/>
            </w:tcBorders>
            <w:shd w:val="clear" w:color="000000" w:fill="0079AC"/>
            <w:vAlign w:val="center"/>
            <w:hideMark/>
          </w:tcPr>
          <w:p w14:paraId="45EA997D"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UiO</w:t>
            </w:r>
          </w:p>
        </w:tc>
        <w:tc>
          <w:tcPr>
            <w:tcW w:w="0" w:type="auto"/>
            <w:tcBorders>
              <w:top w:val="nil"/>
              <w:left w:val="single" w:sz="8" w:space="0" w:color="2E91BB"/>
              <w:bottom w:val="nil"/>
              <w:right w:val="nil"/>
            </w:tcBorders>
            <w:shd w:val="clear" w:color="000000" w:fill="0079AC"/>
            <w:vAlign w:val="center"/>
            <w:hideMark/>
          </w:tcPr>
          <w:p w14:paraId="540F199D"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proofErr w:type="spellStart"/>
            <w:r w:rsidRPr="002D4373">
              <w:rPr>
                <w:rFonts w:ascii="Arial" w:eastAsia="Times New Roman" w:hAnsi="Arial" w:cs="Arial"/>
                <w:b/>
                <w:bCs/>
                <w:color w:val="FFFFFF"/>
                <w:sz w:val="16"/>
                <w:szCs w:val="16"/>
                <w:lang w:eastAsia="nb-NO"/>
              </w:rPr>
              <w:t>UiS</w:t>
            </w:r>
            <w:proofErr w:type="spellEnd"/>
          </w:p>
        </w:tc>
        <w:tc>
          <w:tcPr>
            <w:tcW w:w="0" w:type="auto"/>
            <w:tcBorders>
              <w:top w:val="nil"/>
              <w:left w:val="single" w:sz="8" w:space="0" w:color="2E91BB"/>
              <w:bottom w:val="nil"/>
              <w:right w:val="nil"/>
            </w:tcBorders>
            <w:shd w:val="clear" w:color="000000" w:fill="0079AC"/>
            <w:vAlign w:val="center"/>
            <w:hideMark/>
          </w:tcPr>
          <w:p w14:paraId="625687A1"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UiT</w:t>
            </w:r>
          </w:p>
        </w:tc>
        <w:tc>
          <w:tcPr>
            <w:tcW w:w="0" w:type="auto"/>
            <w:tcBorders>
              <w:top w:val="nil"/>
              <w:left w:val="single" w:sz="8" w:space="0" w:color="2E91BB"/>
              <w:bottom w:val="nil"/>
              <w:right w:val="nil"/>
            </w:tcBorders>
            <w:shd w:val="clear" w:color="000000" w:fill="0079AC"/>
            <w:vAlign w:val="center"/>
            <w:hideMark/>
          </w:tcPr>
          <w:p w14:paraId="2C9E2566"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 xml:space="preserve"> NTNU</w:t>
            </w:r>
          </w:p>
        </w:tc>
        <w:tc>
          <w:tcPr>
            <w:tcW w:w="0" w:type="auto"/>
            <w:tcBorders>
              <w:top w:val="nil"/>
              <w:left w:val="single" w:sz="8" w:space="0" w:color="2E91BB"/>
              <w:bottom w:val="nil"/>
              <w:right w:val="nil"/>
            </w:tcBorders>
            <w:shd w:val="clear" w:color="000000" w:fill="0079AC"/>
            <w:vAlign w:val="center"/>
            <w:hideMark/>
          </w:tcPr>
          <w:p w14:paraId="4A0D81D6"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UiB</w:t>
            </w:r>
          </w:p>
        </w:tc>
        <w:tc>
          <w:tcPr>
            <w:tcW w:w="0" w:type="auto"/>
            <w:tcBorders>
              <w:top w:val="nil"/>
              <w:left w:val="single" w:sz="8" w:space="0" w:color="2E91BB"/>
              <w:bottom w:val="nil"/>
              <w:right w:val="nil"/>
            </w:tcBorders>
            <w:shd w:val="clear" w:color="000000" w:fill="0079AC"/>
            <w:vAlign w:val="center"/>
            <w:hideMark/>
          </w:tcPr>
          <w:p w14:paraId="033AC909"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UiO</w:t>
            </w:r>
          </w:p>
        </w:tc>
        <w:tc>
          <w:tcPr>
            <w:tcW w:w="0" w:type="auto"/>
            <w:tcBorders>
              <w:top w:val="nil"/>
              <w:left w:val="single" w:sz="8" w:space="0" w:color="2E91BB"/>
              <w:bottom w:val="nil"/>
              <w:right w:val="nil"/>
            </w:tcBorders>
            <w:shd w:val="clear" w:color="000000" w:fill="0079AC"/>
            <w:vAlign w:val="center"/>
            <w:hideMark/>
          </w:tcPr>
          <w:p w14:paraId="013F0D07" w14:textId="77777777" w:rsidR="002D4373" w:rsidRPr="002D4373" w:rsidRDefault="002D4373" w:rsidP="002D4373">
            <w:pPr>
              <w:spacing w:after="0" w:line="240" w:lineRule="auto"/>
              <w:jc w:val="center"/>
              <w:rPr>
                <w:rFonts w:ascii="Arial" w:eastAsia="Times New Roman" w:hAnsi="Arial" w:cs="Arial"/>
                <w:b/>
                <w:bCs/>
                <w:color w:val="FFFFFF"/>
                <w:sz w:val="16"/>
                <w:szCs w:val="16"/>
                <w:lang w:eastAsia="nb-NO"/>
              </w:rPr>
            </w:pPr>
            <w:r w:rsidRPr="002D4373">
              <w:rPr>
                <w:rFonts w:ascii="Arial" w:eastAsia="Times New Roman" w:hAnsi="Arial" w:cs="Arial"/>
                <w:b/>
                <w:bCs/>
                <w:color w:val="FFFFFF"/>
                <w:sz w:val="16"/>
                <w:szCs w:val="16"/>
                <w:lang w:eastAsia="nb-NO"/>
              </w:rPr>
              <w:t>UiT</w:t>
            </w:r>
          </w:p>
        </w:tc>
      </w:tr>
      <w:tr w:rsidR="00B31EC7" w:rsidRPr="002D4373" w14:paraId="2B9E643C" w14:textId="77777777" w:rsidTr="00705B63">
        <w:trPr>
          <w:trHeight w:val="397"/>
        </w:trPr>
        <w:tc>
          <w:tcPr>
            <w:tcW w:w="0" w:type="auto"/>
            <w:tcBorders>
              <w:top w:val="nil"/>
              <w:left w:val="nil"/>
              <w:bottom w:val="nil"/>
              <w:right w:val="nil"/>
            </w:tcBorders>
            <w:shd w:val="clear" w:color="000000" w:fill="EEEEEE"/>
            <w:vAlign w:val="center"/>
            <w:hideMark/>
          </w:tcPr>
          <w:p w14:paraId="35A086BA" w14:textId="77777777" w:rsidR="002D4373" w:rsidRPr="002D4373" w:rsidRDefault="002D4373" w:rsidP="002D4373">
            <w:pPr>
              <w:spacing w:after="0" w:line="240" w:lineRule="auto"/>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 xml:space="preserve">Vannskaderisiko (%) </w:t>
            </w:r>
          </w:p>
        </w:tc>
        <w:tc>
          <w:tcPr>
            <w:tcW w:w="0" w:type="auto"/>
            <w:tcBorders>
              <w:top w:val="nil"/>
              <w:left w:val="nil"/>
              <w:bottom w:val="nil"/>
              <w:right w:val="nil"/>
            </w:tcBorders>
            <w:shd w:val="clear" w:color="000000" w:fill="EEEEEE"/>
            <w:vAlign w:val="center"/>
            <w:hideMark/>
          </w:tcPr>
          <w:p w14:paraId="6A5D4E62"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57</w:t>
            </w:r>
          </w:p>
        </w:tc>
        <w:tc>
          <w:tcPr>
            <w:tcW w:w="0" w:type="auto"/>
            <w:tcBorders>
              <w:top w:val="nil"/>
              <w:left w:val="nil"/>
              <w:bottom w:val="nil"/>
              <w:right w:val="nil"/>
            </w:tcBorders>
            <w:shd w:val="clear" w:color="000000" w:fill="EEEEEE"/>
            <w:vAlign w:val="center"/>
            <w:hideMark/>
          </w:tcPr>
          <w:p w14:paraId="1894E404"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85</w:t>
            </w:r>
          </w:p>
        </w:tc>
        <w:tc>
          <w:tcPr>
            <w:tcW w:w="0" w:type="auto"/>
            <w:tcBorders>
              <w:top w:val="nil"/>
              <w:left w:val="nil"/>
              <w:bottom w:val="nil"/>
              <w:right w:val="nil"/>
            </w:tcBorders>
            <w:shd w:val="clear" w:color="000000" w:fill="EEEEEE"/>
            <w:vAlign w:val="center"/>
            <w:hideMark/>
          </w:tcPr>
          <w:p w14:paraId="22FC1BD6"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85</w:t>
            </w:r>
          </w:p>
        </w:tc>
        <w:tc>
          <w:tcPr>
            <w:tcW w:w="0" w:type="auto"/>
            <w:tcBorders>
              <w:top w:val="nil"/>
              <w:left w:val="nil"/>
              <w:bottom w:val="nil"/>
              <w:right w:val="nil"/>
            </w:tcBorders>
            <w:shd w:val="clear" w:color="000000" w:fill="EEEEEE"/>
            <w:vAlign w:val="center"/>
            <w:hideMark/>
          </w:tcPr>
          <w:p w14:paraId="3CC4A4ED"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65</w:t>
            </w:r>
          </w:p>
        </w:tc>
        <w:tc>
          <w:tcPr>
            <w:tcW w:w="0" w:type="auto"/>
            <w:tcBorders>
              <w:top w:val="nil"/>
              <w:left w:val="nil"/>
              <w:bottom w:val="nil"/>
              <w:right w:val="nil"/>
            </w:tcBorders>
            <w:shd w:val="clear" w:color="000000" w:fill="EEEEEE"/>
            <w:vAlign w:val="center"/>
            <w:hideMark/>
          </w:tcPr>
          <w:p w14:paraId="5EF7FD2D"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53</w:t>
            </w:r>
          </w:p>
        </w:tc>
        <w:tc>
          <w:tcPr>
            <w:tcW w:w="0" w:type="auto"/>
            <w:tcBorders>
              <w:top w:val="nil"/>
              <w:left w:val="nil"/>
              <w:bottom w:val="nil"/>
              <w:right w:val="nil"/>
            </w:tcBorders>
            <w:shd w:val="clear" w:color="000000" w:fill="EEEEEE"/>
            <w:vAlign w:val="center"/>
            <w:hideMark/>
          </w:tcPr>
          <w:p w14:paraId="6AB88275"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82</w:t>
            </w:r>
          </w:p>
        </w:tc>
        <w:tc>
          <w:tcPr>
            <w:tcW w:w="0" w:type="auto"/>
            <w:tcBorders>
              <w:top w:val="nil"/>
              <w:left w:val="nil"/>
              <w:bottom w:val="nil"/>
              <w:right w:val="nil"/>
            </w:tcBorders>
            <w:shd w:val="clear" w:color="000000" w:fill="EEEEEE"/>
            <w:vAlign w:val="center"/>
            <w:hideMark/>
          </w:tcPr>
          <w:p w14:paraId="4371BDE9"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60</w:t>
            </w:r>
          </w:p>
        </w:tc>
        <w:tc>
          <w:tcPr>
            <w:tcW w:w="0" w:type="auto"/>
            <w:tcBorders>
              <w:top w:val="nil"/>
              <w:left w:val="nil"/>
              <w:bottom w:val="nil"/>
              <w:right w:val="nil"/>
            </w:tcBorders>
            <w:shd w:val="clear" w:color="000000" w:fill="EEEEEE"/>
            <w:vAlign w:val="center"/>
            <w:hideMark/>
          </w:tcPr>
          <w:p w14:paraId="7D8F73B3"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44</w:t>
            </w:r>
          </w:p>
        </w:tc>
        <w:tc>
          <w:tcPr>
            <w:tcW w:w="0" w:type="auto"/>
            <w:tcBorders>
              <w:top w:val="nil"/>
              <w:left w:val="nil"/>
              <w:bottom w:val="nil"/>
              <w:right w:val="nil"/>
            </w:tcBorders>
            <w:shd w:val="clear" w:color="000000" w:fill="EEEEEE"/>
            <w:vAlign w:val="center"/>
            <w:hideMark/>
          </w:tcPr>
          <w:p w14:paraId="035694FD"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17</w:t>
            </w:r>
          </w:p>
        </w:tc>
      </w:tr>
      <w:tr w:rsidR="00B31EC7" w:rsidRPr="002D4373" w14:paraId="7DA9346F" w14:textId="77777777" w:rsidTr="00705B63">
        <w:trPr>
          <w:trHeight w:val="397"/>
        </w:trPr>
        <w:tc>
          <w:tcPr>
            <w:tcW w:w="0" w:type="auto"/>
            <w:tcBorders>
              <w:top w:val="nil"/>
              <w:left w:val="single" w:sz="8" w:space="0" w:color="EEEEEE"/>
              <w:bottom w:val="nil"/>
              <w:right w:val="nil"/>
            </w:tcBorders>
            <w:shd w:val="clear" w:color="000000" w:fill="FFFFFF"/>
            <w:vAlign w:val="center"/>
            <w:hideMark/>
          </w:tcPr>
          <w:p w14:paraId="76781FB8" w14:textId="77777777" w:rsidR="002D4373" w:rsidRPr="002D4373" w:rsidRDefault="002D4373" w:rsidP="002D4373">
            <w:pPr>
              <w:spacing w:after="0" w:line="240" w:lineRule="auto"/>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 xml:space="preserve">Rutiner og beredskap (%) </w:t>
            </w:r>
          </w:p>
        </w:tc>
        <w:tc>
          <w:tcPr>
            <w:tcW w:w="0" w:type="auto"/>
            <w:tcBorders>
              <w:top w:val="nil"/>
              <w:left w:val="single" w:sz="8" w:space="0" w:color="EEEEEE"/>
              <w:bottom w:val="nil"/>
              <w:right w:val="nil"/>
            </w:tcBorders>
            <w:shd w:val="clear" w:color="000000" w:fill="FFFFFF"/>
            <w:vAlign w:val="center"/>
            <w:hideMark/>
          </w:tcPr>
          <w:p w14:paraId="7965D272"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80</w:t>
            </w:r>
          </w:p>
        </w:tc>
        <w:tc>
          <w:tcPr>
            <w:tcW w:w="0" w:type="auto"/>
            <w:tcBorders>
              <w:top w:val="nil"/>
              <w:left w:val="single" w:sz="8" w:space="0" w:color="EEEEEE"/>
              <w:bottom w:val="nil"/>
              <w:right w:val="nil"/>
            </w:tcBorders>
            <w:shd w:val="clear" w:color="000000" w:fill="FFFFFF"/>
            <w:vAlign w:val="center"/>
            <w:hideMark/>
          </w:tcPr>
          <w:p w14:paraId="52476250"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85</w:t>
            </w:r>
          </w:p>
        </w:tc>
        <w:tc>
          <w:tcPr>
            <w:tcW w:w="0" w:type="auto"/>
            <w:tcBorders>
              <w:top w:val="nil"/>
              <w:left w:val="single" w:sz="8" w:space="0" w:color="EEEEEE"/>
              <w:bottom w:val="nil"/>
              <w:right w:val="nil"/>
            </w:tcBorders>
            <w:shd w:val="clear" w:color="000000" w:fill="FFFFFF"/>
            <w:vAlign w:val="center"/>
            <w:hideMark/>
          </w:tcPr>
          <w:p w14:paraId="17937D7E"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74</w:t>
            </w:r>
          </w:p>
        </w:tc>
        <w:tc>
          <w:tcPr>
            <w:tcW w:w="0" w:type="auto"/>
            <w:tcBorders>
              <w:top w:val="nil"/>
              <w:left w:val="single" w:sz="8" w:space="0" w:color="EEEEEE"/>
              <w:bottom w:val="nil"/>
              <w:right w:val="nil"/>
            </w:tcBorders>
            <w:shd w:val="clear" w:color="000000" w:fill="FFFFFF"/>
            <w:vAlign w:val="center"/>
            <w:hideMark/>
          </w:tcPr>
          <w:p w14:paraId="104209DE"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90</w:t>
            </w:r>
          </w:p>
        </w:tc>
        <w:tc>
          <w:tcPr>
            <w:tcW w:w="0" w:type="auto"/>
            <w:tcBorders>
              <w:top w:val="nil"/>
              <w:left w:val="single" w:sz="8" w:space="0" w:color="EEEEEE"/>
              <w:bottom w:val="nil"/>
              <w:right w:val="nil"/>
            </w:tcBorders>
            <w:shd w:val="clear" w:color="000000" w:fill="FFFFFF"/>
            <w:vAlign w:val="center"/>
            <w:hideMark/>
          </w:tcPr>
          <w:p w14:paraId="50813AE0"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90</w:t>
            </w:r>
          </w:p>
        </w:tc>
        <w:tc>
          <w:tcPr>
            <w:tcW w:w="0" w:type="auto"/>
            <w:tcBorders>
              <w:top w:val="nil"/>
              <w:left w:val="single" w:sz="8" w:space="0" w:color="EEEEEE"/>
              <w:bottom w:val="nil"/>
              <w:right w:val="nil"/>
            </w:tcBorders>
            <w:shd w:val="clear" w:color="000000" w:fill="FFFFFF"/>
            <w:vAlign w:val="center"/>
            <w:hideMark/>
          </w:tcPr>
          <w:p w14:paraId="08BC8A2E"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50</w:t>
            </w:r>
          </w:p>
        </w:tc>
        <w:tc>
          <w:tcPr>
            <w:tcW w:w="0" w:type="auto"/>
            <w:tcBorders>
              <w:top w:val="nil"/>
              <w:left w:val="single" w:sz="8" w:space="0" w:color="EEEEEE"/>
              <w:bottom w:val="nil"/>
              <w:right w:val="nil"/>
            </w:tcBorders>
            <w:shd w:val="clear" w:color="000000" w:fill="FFFFFF"/>
            <w:vAlign w:val="center"/>
            <w:hideMark/>
          </w:tcPr>
          <w:p w14:paraId="440DC247"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85</w:t>
            </w:r>
          </w:p>
        </w:tc>
        <w:tc>
          <w:tcPr>
            <w:tcW w:w="0" w:type="auto"/>
            <w:tcBorders>
              <w:top w:val="nil"/>
              <w:left w:val="single" w:sz="8" w:space="0" w:color="EEEEEE"/>
              <w:bottom w:val="nil"/>
              <w:right w:val="nil"/>
            </w:tcBorders>
            <w:shd w:val="clear" w:color="000000" w:fill="FFFFFF"/>
            <w:vAlign w:val="center"/>
            <w:hideMark/>
          </w:tcPr>
          <w:p w14:paraId="5EE30724"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33</w:t>
            </w:r>
          </w:p>
        </w:tc>
        <w:tc>
          <w:tcPr>
            <w:tcW w:w="0" w:type="auto"/>
            <w:tcBorders>
              <w:top w:val="nil"/>
              <w:left w:val="single" w:sz="8" w:space="0" w:color="EEEEEE"/>
              <w:bottom w:val="nil"/>
              <w:right w:val="nil"/>
            </w:tcBorders>
            <w:shd w:val="clear" w:color="000000" w:fill="FFFFFF"/>
            <w:vAlign w:val="center"/>
            <w:hideMark/>
          </w:tcPr>
          <w:p w14:paraId="4695D8C1"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95</w:t>
            </w:r>
          </w:p>
        </w:tc>
      </w:tr>
      <w:tr w:rsidR="00B31EC7" w:rsidRPr="002D4373" w14:paraId="7089C2B0" w14:textId="77777777" w:rsidTr="00705B63">
        <w:trPr>
          <w:trHeight w:val="397"/>
        </w:trPr>
        <w:tc>
          <w:tcPr>
            <w:tcW w:w="0" w:type="auto"/>
            <w:tcBorders>
              <w:top w:val="nil"/>
              <w:left w:val="nil"/>
              <w:bottom w:val="nil"/>
              <w:right w:val="nil"/>
            </w:tcBorders>
            <w:shd w:val="clear" w:color="000000" w:fill="EEEEEE"/>
            <w:vAlign w:val="center"/>
            <w:hideMark/>
          </w:tcPr>
          <w:p w14:paraId="5F4D7BBC" w14:textId="77777777" w:rsidR="002D4373" w:rsidRPr="002D4373" w:rsidRDefault="002D4373" w:rsidP="002D4373">
            <w:pPr>
              <w:spacing w:after="0" w:line="240" w:lineRule="auto"/>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 xml:space="preserve">Luftfuktighet og temperatur (%) </w:t>
            </w:r>
          </w:p>
        </w:tc>
        <w:tc>
          <w:tcPr>
            <w:tcW w:w="0" w:type="auto"/>
            <w:tcBorders>
              <w:top w:val="nil"/>
              <w:left w:val="nil"/>
              <w:bottom w:val="nil"/>
              <w:right w:val="nil"/>
            </w:tcBorders>
            <w:shd w:val="clear" w:color="000000" w:fill="EEEEEE"/>
            <w:vAlign w:val="center"/>
            <w:hideMark/>
          </w:tcPr>
          <w:p w14:paraId="3A90CD6A"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94</w:t>
            </w:r>
          </w:p>
        </w:tc>
        <w:tc>
          <w:tcPr>
            <w:tcW w:w="0" w:type="auto"/>
            <w:tcBorders>
              <w:top w:val="nil"/>
              <w:left w:val="nil"/>
              <w:bottom w:val="nil"/>
              <w:right w:val="nil"/>
            </w:tcBorders>
            <w:shd w:val="clear" w:color="000000" w:fill="EEEEEE"/>
            <w:vAlign w:val="center"/>
            <w:hideMark/>
          </w:tcPr>
          <w:p w14:paraId="6025277C"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90</w:t>
            </w:r>
          </w:p>
        </w:tc>
        <w:tc>
          <w:tcPr>
            <w:tcW w:w="0" w:type="auto"/>
            <w:tcBorders>
              <w:top w:val="nil"/>
              <w:left w:val="nil"/>
              <w:bottom w:val="nil"/>
              <w:right w:val="nil"/>
            </w:tcBorders>
            <w:shd w:val="clear" w:color="000000" w:fill="EEEEEE"/>
            <w:vAlign w:val="center"/>
            <w:hideMark/>
          </w:tcPr>
          <w:p w14:paraId="0C68A0EF"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97</w:t>
            </w:r>
          </w:p>
        </w:tc>
        <w:tc>
          <w:tcPr>
            <w:tcW w:w="0" w:type="auto"/>
            <w:tcBorders>
              <w:top w:val="nil"/>
              <w:left w:val="nil"/>
              <w:bottom w:val="nil"/>
              <w:right w:val="nil"/>
            </w:tcBorders>
            <w:shd w:val="clear" w:color="000000" w:fill="EEEEEE"/>
            <w:vAlign w:val="center"/>
            <w:hideMark/>
          </w:tcPr>
          <w:p w14:paraId="24F29EFB"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50</w:t>
            </w:r>
          </w:p>
        </w:tc>
        <w:tc>
          <w:tcPr>
            <w:tcW w:w="0" w:type="auto"/>
            <w:tcBorders>
              <w:top w:val="nil"/>
              <w:left w:val="nil"/>
              <w:bottom w:val="nil"/>
              <w:right w:val="nil"/>
            </w:tcBorders>
            <w:shd w:val="clear" w:color="000000" w:fill="EEEEEE"/>
            <w:vAlign w:val="center"/>
            <w:hideMark/>
          </w:tcPr>
          <w:p w14:paraId="0AC9D8D5"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21</w:t>
            </w:r>
          </w:p>
        </w:tc>
        <w:tc>
          <w:tcPr>
            <w:tcW w:w="0" w:type="auto"/>
            <w:tcBorders>
              <w:top w:val="nil"/>
              <w:left w:val="nil"/>
              <w:bottom w:val="nil"/>
              <w:right w:val="nil"/>
            </w:tcBorders>
            <w:shd w:val="clear" w:color="000000" w:fill="EEEEEE"/>
            <w:vAlign w:val="center"/>
            <w:hideMark/>
          </w:tcPr>
          <w:p w14:paraId="7C900817"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94</w:t>
            </w:r>
          </w:p>
        </w:tc>
        <w:tc>
          <w:tcPr>
            <w:tcW w:w="0" w:type="auto"/>
            <w:tcBorders>
              <w:top w:val="nil"/>
              <w:left w:val="nil"/>
              <w:bottom w:val="nil"/>
              <w:right w:val="nil"/>
            </w:tcBorders>
            <w:shd w:val="clear" w:color="000000" w:fill="EEEEEE"/>
            <w:vAlign w:val="center"/>
            <w:hideMark/>
          </w:tcPr>
          <w:p w14:paraId="3C935AB5"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90</w:t>
            </w:r>
          </w:p>
        </w:tc>
        <w:tc>
          <w:tcPr>
            <w:tcW w:w="0" w:type="auto"/>
            <w:tcBorders>
              <w:top w:val="nil"/>
              <w:left w:val="nil"/>
              <w:bottom w:val="nil"/>
              <w:right w:val="nil"/>
            </w:tcBorders>
            <w:shd w:val="clear" w:color="000000" w:fill="EEEEEE"/>
            <w:vAlign w:val="center"/>
            <w:hideMark/>
          </w:tcPr>
          <w:p w14:paraId="7C0BB16F"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50</w:t>
            </w:r>
          </w:p>
        </w:tc>
        <w:tc>
          <w:tcPr>
            <w:tcW w:w="0" w:type="auto"/>
            <w:tcBorders>
              <w:top w:val="nil"/>
              <w:left w:val="nil"/>
              <w:bottom w:val="nil"/>
              <w:right w:val="nil"/>
            </w:tcBorders>
            <w:shd w:val="clear" w:color="000000" w:fill="EEEEEE"/>
            <w:vAlign w:val="center"/>
            <w:hideMark/>
          </w:tcPr>
          <w:p w14:paraId="67A2EDCD" w14:textId="77777777" w:rsidR="002D4373" w:rsidRPr="002D4373" w:rsidRDefault="002D4373" w:rsidP="002D4373">
            <w:pPr>
              <w:spacing w:after="0" w:line="240" w:lineRule="auto"/>
              <w:jc w:val="right"/>
              <w:rPr>
                <w:rFonts w:ascii="Arial" w:eastAsia="Times New Roman" w:hAnsi="Arial" w:cs="Arial"/>
                <w:color w:val="000000"/>
                <w:sz w:val="16"/>
                <w:szCs w:val="16"/>
                <w:lang w:eastAsia="nb-NO"/>
              </w:rPr>
            </w:pPr>
            <w:r w:rsidRPr="002D4373">
              <w:rPr>
                <w:rFonts w:ascii="Arial" w:eastAsia="Times New Roman" w:hAnsi="Arial" w:cs="Arial"/>
                <w:color w:val="000000"/>
                <w:sz w:val="16"/>
                <w:szCs w:val="16"/>
                <w:lang w:eastAsia="nb-NO"/>
              </w:rPr>
              <w:t>80</w:t>
            </w:r>
          </w:p>
        </w:tc>
      </w:tr>
    </w:tbl>
    <w:p w14:paraId="735638DD" w14:textId="5124C9D8" w:rsidR="00FC2236" w:rsidRPr="002D4373" w:rsidRDefault="002D4373" w:rsidP="002D4373">
      <w:pPr>
        <w:pStyle w:val="Kilde"/>
      </w:pPr>
      <w:r w:rsidRPr="002D4373">
        <w:t xml:space="preserve">Kilde: </w:t>
      </w:r>
      <w:proofErr w:type="spellStart"/>
      <w:r w:rsidRPr="002D4373">
        <w:t>DBH</w:t>
      </w:r>
      <w:proofErr w:type="spellEnd"/>
    </w:p>
    <w:p w14:paraId="0B304DAF" w14:textId="77777777" w:rsidR="00AB6E1D" w:rsidRPr="009A4B9A" w:rsidRDefault="00AB6E1D" w:rsidP="009A4B9A"/>
    <w:p w14:paraId="3EE7E440" w14:textId="30AB15B1" w:rsidR="00FC2236" w:rsidRDefault="00FC2236" w:rsidP="009242E0"/>
    <w:p w14:paraId="529A82B5" w14:textId="01568420" w:rsidR="00D43D44" w:rsidRDefault="00181B7B" w:rsidP="00AE4B98">
      <w:pPr>
        <w:pStyle w:val="Overskrift2"/>
      </w:pPr>
      <w:bookmarkStart w:id="183" w:name="_Toc134792752"/>
      <w:r>
        <w:lastRenderedPageBreak/>
        <w:t>Styring, økonomi og personal</w:t>
      </w:r>
      <w:bookmarkEnd w:id="183"/>
    </w:p>
    <w:p w14:paraId="065CADA8" w14:textId="7B70C485" w:rsidR="00181B7B" w:rsidRDefault="00513EFB" w:rsidP="00736C2B">
      <w:r w:rsidRPr="00513EFB">
        <w:t>Dette kapit</w:t>
      </w:r>
      <w:r w:rsidR="00E95DBC">
        <w:t>te</w:t>
      </w:r>
      <w:r w:rsidRPr="00513EFB">
        <w:t>let tar for seg styrings- og ledelsesmodellen ved universiteter og statlige høyskoler, institusjonenes ulike finansieringskilder</w:t>
      </w:r>
      <w:r w:rsidR="00FA60AF">
        <w:t>,</w:t>
      </w:r>
      <w:r w:rsidRPr="00513EFB">
        <w:t xml:space="preserve"> samt </w:t>
      </w:r>
      <w:r w:rsidR="000442F4">
        <w:t>nøkkeltall om</w:t>
      </w:r>
      <w:r w:rsidR="000442F4" w:rsidRPr="00513EFB">
        <w:t xml:space="preserve"> </w:t>
      </w:r>
      <w:r w:rsidRPr="00513EFB">
        <w:t>ansatte</w:t>
      </w:r>
      <w:r w:rsidR="00971507">
        <w:t xml:space="preserve"> etter </w:t>
      </w:r>
      <w:r w:rsidRPr="00513EFB">
        <w:t>stillingsgrupper</w:t>
      </w:r>
      <w:r w:rsidR="007117BC">
        <w:t xml:space="preserve"> og</w:t>
      </w:r>
      <w:r w:rsidRPr="00513EFB">
        <w:t xml:space="preserve"> kompetansenivåer.</w:t>
      </w:r>
      <w:r w:rsidR="00CA50AD">
        <w:t xml:space="preserve"> </w:t>
      </w:r>
      <w:r w:rsidR="00440357">
        <w:t xml:space="preserve">I tillegg </w:t>
      </w:r>
      <w:r w:rsidR="00143F58">
        <w:t>dekker kapittelet kjønnsbalanse</w:t>
      </w:r>
      <w:r w:rsidR="007F785A" w:rsidRPr="007F785A">
        <w:t xml:space="preserve"> i faglige toppstillinger</w:t>
      </w:r>
      <w:r w:rsidR="00CF346D">
        <w:t xml:space="preserve"> og </w:t>
      </w:r>
      <w:r w:rsidR="00143F58">
        <w:t>omfanget av</w:t>
      </w:r>
      <w:r w:rsidR="00CF346D" w:rsidRPr="00CF346D">
        <w:t xml:space="preserve"> midlertidig ansatte i undervisnings- og forskningsstillinger</w:t>
      </w:r>
      <w:r w:rsidR="00CF346D">
        <w:t>.</w:t>
      </w:r>
      <w:r w:rsidR="002962F3">
        <w:t xml:space="preserve"> </w:t>
      </w:r>
    </w:p>
    <w:p w14:paraId="13D64AF4" w14:textId="14869674" w:rsidR="00181B7B" w:rsidRDefault="008A083C" w:rsidP="00AE4B98">
      <w:pPr>
        <w:pStyle w:val="Overskrift3"/>
      </w:pPr>
      <w:bookmarkStart w:id="184" w:name="_Toc134792753"/>
      <w:r w:rsidRPr="008A083C">
        <w:t>Styrings- og ledelsesmodell ved universiteter og høyskoler</w:t>
      </w:r>
      <w:bookmarkEnd w:id="184"/>
    </w:p>
    <w:p w14:paraId="326336BA" w14:textId="4CDF7B78" w:rsidR="006C3E18" w:rsidRDefault="00147E5D">
      <w:bookmarkStart w:id="185" w:name="_Ref71103100"/>
      <w:r>
        <w:t>Gjeldende Lov om universiteter og høyskoler fastsetter at styret er det øverste organet ved institusjonen. Styret ved de statlige institusjonene har normalt elleve medlemmer, hvorav fire er valgt blant ansatte i undervisnings- og forskerstillinger, ett er valgt blant de teknisk</w:t>
      </w:r>
      <w:r w:rsidR="00D120D9">
        <w:t>-</w:t>
      </w:r>
      <w:r>
        <w:t>administrativt ansatte, to er valgt blant studentene og fire oppnevnt av Kunnskapsdepartementet (KD). Styremedlemmer valgt av KD er listet opp på departementets nettsider</w:t>
      </w:r>
      <w:r w:rsidR="00BB08E3">
        <w:t xml:space="preserve"> </w:t>
      </w:r>
      <w:r w:rsidR="00BB08E3">
        <w:fldChar w:fldCharType="begin"/>
      </w:r>
      <w:r w:rsidR="00F5165C">
        <w:instrText xml:space="preserve"> ADDIN EN.CITE &lt;EndNote&gt;&lt;Cite&gt;&lt;Author&gt;Regjeringen&lt;/Author&gt;&lt;Year&gt;2023&lt;/Year&gt;&lt;RecNum&gt;1862&lt;/RecNum&gt;&lt;DisplayText&gt;(Regjeringen, 2023)&lt;/DisplayText&gt;&lt;record&gt;&lt;rec-number&gt;1862&lt;/rec-number&gt;&lt;foreign-keys&gt;&lt;key app="EN" db-id="s09wp0wxtwz9aue509w52eagvset90vxefrw" timestamp="1683281102" guid="c51fed92-2033-4912-9d58-123b4c7fa841"&gt;1862&lt;/key&gt;&lt;/foreign-keys&gt;&lt;ref-type name="Web Page"&gt;12&lt;/ref-type&gt;&lt;contributors&gt;&lt;authors&gt;&lt;author&gt;Regjeringen&lt;/author&gt;&lt;/authors&gt;&lt;/contributors&gt;&lt;titles&gt;&lt;title&gt;Styrer ved universiteter og høyskoler&lt;/title&gt;&lt;/titles&gt;&lt;dates&gt;&lt;year&gt;2023&lt;/year&gt;&lt;/dates&gt;&lt;publisher&gt;Regjeringen&lt;/publisher&gt;&lt;urls&gt;&lt;related-urls&gt;&lt;url&gt;https://www.regjeringen.no/no/dep/kd/org/styrer-rad-og-utvalg/styrer-ved-universiteter-og-hoyskoler/id568047/&lt;/url&gt;&lt;/related-urls&gt;&lt;/urls&gt;&lt;/record&gt;&lt;/Cite&gt;&lt;/EndNote&gt;</w:instrText>
      </w:r>
      <w:r w:rsidR="00BB08E3">
        <w:fldChar w:fldCharType="separate"/>
      </w:r>
      <w:r w:rsidR="00BB08E3">
        <w:rPr>
          <w:noProof/>
        </w:rPr>
        <w:t>(Regjeringen, 2023)</w:t>
      </w:r>
      <w:r w:rsidR="00BB08E3">
        <w:fldChar w:fldCharType="end"/>
      </w:r>
      <w:r>
        <w:t>. Kravene i likestillingsloven om representasjon av begge kjønn skal være oppfylt. Styremedlemme</w:t>
      </w:r>
      <w:r w:rsidR="00DF3402">
        <w:t>r</w:t>
      </w:r>
      <w:r>
        <w:t xml:space="preserve"> velges/utnevnes </w:t>
      </w:r>
      <w:r w:rsidR="008E1D98">
        <w:t xml:space="preserve">i hovedsak </w:t>
      </w:r>
      <w:r>
        <w:t>for fire år</w:t>
      </w:r>
      <w:r w:rsidR="009E2B48">
        <w:t>, me</w:t>
      </w:r>
      <w:r w:rsidR="00DF3402">
        <w:t>d to unntak:</w:t>
      </w:r>
      <w:r w:rsidR="00BE69FB">
        <w:t xml:space="preserve"> I situasjoner der </w:t>
      </w:r>
      <w:r w:rsidR="00DF15F9">
        <w:t xml:space="preserve">midlertidig ansatte i </w:t>
      </w:r>
      <w:r w:rsidR="00B94D1A">
        <w:t>undervisnings</w:t>
      </w:r>
      <w:r w:rsidR="00DF15F9">
        <w:t xml:space="preserve">- og </w:t>
      </w:r>
      <w:r w:rsidR="00B94D1A">
        <w:t>forsknings</w:t>
      </w:r>
      <w:r w:rsidR="00DF15F9">
        <w:t xml:space="preserve">stillinger </w:t>
      </w:r>
      <w:r w:rsidR="00B94D1A">
        <w:t xml:space="preserve">utgjør mer enn 25 prosent av alle </w:t>
      </w:r>
      <w:r w:rsidR="001D1EBB">
        <w:t>ansatte i denne typen stillinger ved institusjonen</w:t>
      </w:r>
      <w:r w:rsidR="0007482B">
        <w:t xml:space="preserve">, skal de midlertidig ansatte velge ett av </w:t>
      </w:r>
      <w:r w:rsidR="00596B8E">
        <w:t>styremedlemmene</w:t>
      </w:r>
      <w:r w:rsidR="00A76A7B">
        <w:t>. Dette styremedlemmet velges for ett år</w:t>
      </w:r>
      <w:r w:rsidR="00DC003A">
        <w:t xml:space="preserve">. </w:t>
      </w:r>
      <w:r w:rsidR="00DF3402">
        <w:t>I tillegg velges</w:t>
      </w:r>
      <w:r w:rsidR="009C589D">
        <w:t xml:space="preserve"> </w:t>
      </w:r>
      <w:r w:rsidR="00192E5D">
        <w:t xml:space="preserve">styremedlemmer fra </w:t>
      </w:r>
      <w:r w:rsidR="003109C3">
        <w:t>studentgruppen</w:t>
      </w:r>
      <w:r w:rsidR="009E2B48">
        <w:t xml:space="preserve"> for ett år</w:t>
      </w:r>
      <w:r w:rsidR="008E08A2">
        <w:t>.</w:t>
      </w:r>
      <w:r>
        <w:t xml:space="preserve"> Loven angir to alternative styrings- og ledelsesmodeller på institusjonsnivå for de statlige institusjonene: </w:t>
      </w:r>
    </w:p>
    <w:p w14:paraId="60BE92BC" w14:textId="77777777" w:rsidR="006C3E18" w:rsidRPr="006C3E18" w:rsidRDefault="006C3E18" w:rsidP="006C3E18">
      <w:pPr>
        <w:pStyle w:val="Listeavsnitt"/>
        <w:numPr>
          <w:ilvl w:val="0"/>
          <w:numId w:val="20"/>
        </w:numPr>
        <w:rPr>
          <w:rFonts w:asciiTheme="majorHAnsi" w:eastAsiaTheme="majorEastAsia" w:hAnsiTheme="majorHAnsi" w:cstheme="majorBidi"/>
          <w:b/>
          <w:color w:val="362683"/>
          <w:sz w:val="24"/>
          <w:szCs w:val="26"/>
        </w:rPr>
      </w:pPr>
      <w:r>
        <w:t>Ekstern styreleder utpekt av departementet, styret ansetter rektor på åremål (hovedmodell)</w:t>
      </w:r>
    </w:p>
    <w:p w14:paraId="7304F95B" w14:textId="527BC18B" w:rsidR="00DD2409" w:rsidRPr="00E77C41" w:rsidRDefault="006C3E18" w:rsidP="00DD2409">
      <w:pPr>
        <w:pStyle w:val="Listeavsnitt"/>
        <w:numPr>
          <w:ilvl w:val="0"/>
          <w:numId w:val="20"/>
        </w:numPr>
        <w:rPr>
          <w:rFonts w:asciiTheme="majorHAnsi" w:eastAsiaTheme="majorEastAsia" w:hAnsiTheme="majorHAnsi" w:cstheme="majorBidi"/>
          <w:b/>
          <w:color w:val="362683"/>
          <w:sz w:val="24"/>
          <w:szCs w:val="26"/>
        </w:rPr>
      </w:pPr>
      <w:r>
        <w:t>Rektor velges av de ansatte og studentene. Rektor er styrets leder</w:t>
      </w:r>
    </w:p>
    <w:p w14:paraId="753B0161" w14:textId="0979F9AC" w:rsidR="00E77C41" w:rsidRDefault="00E77C41" w:rsidP="00E77C41">
      <w:pPr>
        <w:pStyle w:val="Bildetekst"/>
        <w:keepNext/>
      </w:pPr>
      <w:bookmarkStart w:id="186" w:name="_Toc134792814"/>
      <w:r>
        <w:t xml:space="preserve">Tabell </w:t>
      </w:r>
      <w:r>
        <w:fldChar w:fldCharType="begin"/>
      </w:r>
      <w:r>
        <w:instrText>STYLEREF 1 \s</w:instrText>
      </w:r>
      <w:r>
        <w:fldChar w:fldCharType="separate"/>
      </w:r>
      <w:r w:rsidR="00F262EF">
        <w:rPr>
          <w:noProof/>
        </w:rPr>
        <w:t>4</w:t>
      </w:r>
      <w:r>
        <w:fldChar w:fldCharType="end"/>
      </w:r>
      <w:r w:rsidR="00FE01A3">
        <w:t>.</w:t>
      </w:r>
      <w:r>
        <w:fldChar w:fldCharType="begin"/>
      </w:r>
      <w:r>
        <w:instrText>SEQ Tabell \* ARABIC \s 1</w:instrText>
      </w:r>
      <w:r>
        <w:fldChar w:fldCharType="separate"/>
      </w:r>
      <w:r w:rsidR="00F262EF">
        <w:rPr>
          <w:noProof/>
        </w:rPr>
        <w:t>1</w:t>
      </w:r>
      <w:r>
        <w:fldChar w:fldCharType="end"/>
      </w:r>
      <w:r>
        <w:t xml:space="preserve"> </w:t>
      </w:r>
      <w:r w:rsidRPr="003A3F17">
        <w:t>Styringsform ved statlige høyere utdanningsinstitusjoner</w:t>
      </w:r>
      <w:bookmarkEnd w:id="186"/>
    </w:p>
    <w:tbl>
      <w:tblPr>
        <w:tblW w:w="5118" w:type="pct"/>
        <w:tblCellMar>
          <w:left w:w="70" w:type="dxa"/>
          <w:right w:w="70" w:type="dxa"/>
        </w:tblCellMar>
        <w:tblLook w:val="04A0" w:firstRow="1" w:lastRow="0" w:firstColumn="1" w:lastColumn="0" w:noHBand="0" w:noVBand="1"/>
      </w:tblPr>
      <w:tblGrid>
        <w:gridCol w:w="4055"/>
        <w:gridCol w:w="4302"/>
      </w:tblGrid>
      <w:tr w:rsidR="00DD2409" w:rsidRPr="00C8490B" w14:paraId="54DCE0CD" w14:textId="77777777">
        <w:trPr>
          <w:trHeight w:hRule="exact" w:val="284"/>
        </w:trPr>
        <w:tc>
          <w:tcPr>
            <w:tcW w:w="2426" w:type="pct"/>
            <w:tcBorders>
              <w:top w:val="nil"/>
              <w:left w:val="nil"/>
              <w:bottom w:val="nil"/>
              <w:right w:val="nil"/>
            </w:tcBorders>
            <w:shd w:val="clear" w:color="000000" w:fill="0079AC"/>
            <w:vAlign w:val="center"/>
            <w:hideMark/>
          </w:tcPr>
          <w:p w14:paraId="20DF0E73" w14:textId="77777777" w:rsidR="00DD2409" w:rsidRPr="00C8490B" w:rsidRDefault="00DD2409">
            <w:pPr>
              <w:spacing w:after="0" w:line="240" w:lineRule="auto"/>
              <w:rPr>
                <w:rFonts w:ascii="Arial" w:eastAsia="Times New Roman" w:hAnsi="Arial" w:cs="Arial"/>
                <w:b/>
                <w:bCs/>
                <w:color w:val="FFFFFF"/>
                <w:sz w:val="16"/>
                <w:szCs w:val="16"/>
                <w:lang w:eastAsia="nb-NO"/>
              </w:rPr>
            </w:pPr>
            <w:r w:rsidRPr="00C8490B">
              <w:rPr>
                <w:rFonts w:ascii="Arial" w:eastAsia="Times New Roman" w:hAnsi="Arial" w:cs="Arial"/>
                <w:b/>
                <w:bCs/>
                <w:color w:val="FFFFFF"/>
                <w:sz w:val="16"/>
                <w:szCs w:val="16"/>
                <w:lang w:eastAsia="nb-NO"/>
              </w:rPr>
              <w:t>Ekstern styreleder og ansatt rektor</w:t>
            </w:r>
          </w:p>
        </w:tc>
        <w:tc>
          <w:tcPr>
            <w:tcW w:w="2574" w:type="pct"/>
            <w:tcBorders>
              <w:top w:val="nil"/>
              <w:left w:val="nil"/>
              <w:bottom w:val="nil"/>
              <w:right w:val="nil"/>
            </w:tcBorders>
            <w:shd w:val="clear" w:color="000000" w:fill="0079AC"/>
            <w:vAlign w:val="center"/>
            <w:hideMark/>
          </w:tcPr>
          <w:p w14:paraId="283A04F5" w14:textId="77777777" w:rsidR="00DD2409" w:rsidRPr="00C8490B" w:rsidRDefault="00DD2409">
            <w:pPr>
              <w:spacing w:after="0" w:line="240" w:lineRule="auto"/>
              <w:rPr>
                <w:rFonts w:ascii="Arial" w:eastAsia="Times New Roman" w:hAnsi="Arial" w:cs="Arial"/>
                <w:b/>
                <w:bCs/>
                <w:color w:val="FFFFFF"/>
                <w:sz w:val="16"/>
                <w:szCs w:val="16"/>
                <w:lang w:eastAsia="nb-NO"/>
              </w:rPr>
            </w:pPr>
            <w:r w:rsidRPr="00C8490B">
              <w:rPr>
                <w:rFonts w:ascii="Arial" w:eastAsia="Times New Roman" w:hAnsi="Arial" w:cs="Arial"/>
                <w:b/>
                <w:bCs/>
                <w:color w:val="FFFFFF"/>
                <w:sz w:val="16"/>
                <w:szCs w:val="16"/>
                <w:lang w:eastAsia="nb-NO"/>
              </w:rPr>
              <w:t>Valgt rektor som styrets leder</w:t>
            </w:r>
          </w:p>
        </w:tc>
      </w:tr>
      <w:tr w:rsidR="00DD2409" w:rsidRPr="00C8490B" w14:paraId="15EC624B" w14:textId="77777777">
        <w:trPr>
          <w:trHeight w:hRule="exact" w:val="284"/>
        </w:trPr>
        <w:tc>
          <w:tcPr>
            <w:tcW w:w="2426" w:type="pct"/>
            <w:tcBorders>
              <w:top w:val="nil"/>
              <w:left w:val="nil"/>
              <w:bottom w:val="nil"/>
              <w:right w:val="nil"/>
            </w:tcBorders>
            <w:shd w:val="clear" w:color="000000" w:fill="F2F2F2"/>
            <w:vAlign w:val="center"/>
            <w:hideMark/>
          </w:tcPr>
          <w:p w14:paraId="38A90259" w14:textId="77777777" w:rsidR="00DD2409" w:rsidRPr="008F0DF5" w:rsidRDefault="00DD2409">
            <w:pPr>
              <w:spacing w:after="0" w:line="240" w:lineRule="auto"/>
              <w:rPr>
                <w:rFonts w:ascii="Arial" w:eastAsia="Times New Roman" w:hAnsi="Arial" w:cs="Arial"/>
                <w:color w:val="000000"/>
                <w:sz w:val="16"/>
                <w:szCs w:val="16"/>
                <w:lang w:val="nn-NO" w:eastAsia="nb-NO"/>
              </w:rPr>
            </w:pPr>
            <w:r w:rsidRPr="008F0DF5">
              <w:rPr>
                <w:rFonts w:ascii="Arial" w:eastAsia="Times New Roman" w:hAnsi="Arial" w:cs="Arial"/>
                <w:color w:val="000000"/>
                <w:sz w:val="16"/>
                <w:szCs w:val="16"/>
                <w:lang w:val="nn-NO" w:eastAsia="nb-NO"/>
              </w:rPr>
              <w:t>Arkitektur- og designhøgskolen i Oslo (AHO)</w:t>
            </w:r>
          </w:p>
        </w:tc>
        <w:tc>
          <w:tcPr>
            <w:tcW w:w="2574" w:type="pct"/>
            <w:tcBorders>
              <w:top w:val="nil"/>
              <w:left w:val="nil"/>
              <w:bottom w:val="nil"/>
              <w:right w:val="nil"/>
            </w:tcBorders>
            <w:shd w:val="clear" w:color="000000" w:fill="F2F2F2"/>
            <w:vAlign w:val="center"/>
            <w:hideMark/>
          </w:tcPr>
          <w:p w14:paraId="46CBDD0F"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Høgskolen i Molde, vitenskapelig høgskole i logistikk (</w:t>
            </w:r>
            <w:proofErr w:type="spellStart"/>
            <w:r w:rsidRPr="00C8490B">
              <w:rPr>
                <w:rFonts w:ascii="Arial" w:eastAsia="Times New Roman" w:hAnsi="Arial" w:cs="Arial"/>
                <w:color w:val="000000"/>
                <w:sz w:val="16"/>
                <w:szCs w:val="16"/>
                <w:lang w:eastAsia="nb-NO"/>
              </w:rPr>
              <w:t>HiM</w:t>
            </w:r>
            <w:proofErr w:type="spellEnd"/>
            <w:r w:rsidRPr="00C8490B">
              <w:rPr>
                <w:rFonts w:ascii="Arial" w:eastAsia="Times New Roman" w:hAnsi="Arial" w:cs="Arial"/>
                <w:color w:val="000000"/>
                <w:sz w:val="16"/>
                <w:szCs w:val="16"/>
                <w:lang w:eastAsia="nb-NO"/>
              </w:rPr>
              <w:t>)</w:t>
            </w:r>
          </w:p>
        </w:tc>
      </w:tr>
      <w:tr w:rsidR="00DD2409" w:rsidRPr="00C8490B" w14:paraId="6B92F70B" w14:textId="77777777">
        <w:trPr>
          <w:trHeight w:hRule="exact" w:val="284"/>
        </w:trPr>
        <w:tc>
          <w:tcPr>
            <w:tcW w:w="2426" w:type="pct"/>
            <w:tcBorders>
              <w:top w:val="nil"/>
              <w:left w:val="nil"/>
              <w:bottom w:val="nil"/>
              <w:right w:val="nil"/>
            </w:tcBorders>
            <w:shd w:val="clear" w:color="auto" w:fill="auto"/>
            <w:vAlign w:val="center"/>
            <w:hideMark/>
          </w:tcPr>
          <w:p w14:paraId="2883828E"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Høgskolen i Innlandet (</w:t>
            </w:r>
            <w:proofErr w:type="spellStart"/>
            <w:r w:rsidRPr="00C8490B">
              <w:rPr>
                <w:rFonts w:ascii="Arial" w:eastAsia="Times New Roman" w:hAnsi="Arial" w:cs="Arial"/>
                <w:color w:val="000000"/>
                <w:sz w:val="16"/>
                <w:szCs w:val="16"/>
                <w:lang w:eastAsia="nb-NO"/>
              </w:rPr>
              <w:t>HINN</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auto" w:fill="auto"/>
            <w:vAlign w:val="center"/>
            <w:hideMark/>
          </w:tcPr>
          <w:p w14:paraId="58345AF9" w14:textId="77777777" w:rsidR="00DD2409" w:rsidRPr="00C8490B" w:rsidRDefault="00DD2409">
            <w:pPr>
              <w:spacing w:after="0" w:line="240" w:lineRule="auto"/>
              <w:rPr>
                <w:rFonts w:ascii="Arial" w:eastAsia="Times New Roman" w:hAnsi="Arial" w:cs="Arial"/>
                <w:color w:val="000000"/>
                <w:sz w:val="16"/>
                <w:szCs w:val="16"/>
                <w:lang w:eastAsia="nb-NO"/>
              </w:rPr>
            </w:pPr>
            <w:proofErr w:type="spellStart"/>
            <w:r w:rsidRPr="00C8490B">
              <w:rPr>
                <w:rFonts w:ascii="Arial" w:eastAsia="Times New Roman" w:hAnsi="Arial" w:cs="Arial"/>
                <w:color w:val="000000"/>
                <w:sz w:val="16"/>
                <w:szCs w:val="16"/>
                <w:lang w:eastAsia="nb-NO"/>
              </w:rPr>
              <w:t>Høgskulen</w:t>
            </w:r>
            <w:proofErr w:type="spellEnd"/>
            <w:r w:rsidRPr="00C8490B">
              <w:rPr>
                <w:rFonts w:ascii="Arial" w:eastAsia="Times New Roman" w:hAnsi="Arial" w:cs="Arial"/>
                <w:color w:val="000000"/>
                <w:sz w:val="16"/>
                <w:szCs w:val="16"/>
                <w:lang w:eastAsia="nb-NO"/>
              </w:rPr>
              <w:t xml:space="preserve"> i Volda (HVO)</w:t>
            </w:r>
          </w:p>
        </w:tc>
      </w:tr>
      <w:tr w:rsidR="00DD2409" w:rsidRPr="00C8490B" w14:paraId="6839A158" w14:textId="77777777">
        <w:trPr>
          <w:trHeight w:hRule="exact" w:val="284"/>
        </w:trPr>
        <w:tc>
          <w:tcPr>
            <w:tcW w:w="2426" w:type="pct"/>
            <w:tcBorders>
              <w:top w:val="nil"/>
              <w:left w:val="nil"/>
              <w:bottom w:val="nil"/>
              <w:right w:val="nil"/>
            </w:tcBorders>
            <w:shd w:val="clear" w:color="000000" w:fill="F2F2F2"/>
            <w:vAlign w:val="center"/>
            <w:hideMark/>
          </w:tcPr>
          <w:p w14:paraId="001C531E" w14:textId="77777777" w:rsidR="00DD2409" w:rsidRPr="00C8490B" w:rsidRDefault="00DD2409">
            <w:pPr>
              <w:spacing w:after="0" w:line="240" w:lineRule="auto"/>
              <w:rPr>
                <w:rFonts w:ascii="Arial" w:eastAsia="Times New Roman" w:hAnsi="Arial" w:cs="Arial"/>
                <w:color w:val="000000"/>
                <w:sz w:val="16"/>
                <w:szCs w:val="16"/>
                <w:lang w:eastAsia="nb-NO"/>
              </w:rPr>
            </w:pPr>
            <w:proofErr w:type="spellStart"/>
            <w:r w:rsidRPr="00C8490B">
              <w:rPr>
                <w:rFonts w:ascii="Arial" w:eastAsia="Times New Roman" w:hAnsi="Arial" w:cs="Arial"/>
                <w:color w:val="000000"/>
                <w:sz w:val="16"/>
                <w:szCs w:val="16"/>
                <w:lang w:eastAsia="nb-NO"/>
              </w:rPr>
              <w:t>Høgskulen</w:t>
            </w:r>
            <w:proofErr w:type="spellEnd"/>
            <w:r w:rsidRPr="00C8490B">
              <w:rPr>
                <w:rFonts w:ascii="Arial" w:eastAsia="Times New Roman" w:hAnsi="Arial" w:cs="Arial"/>
                <w:color w:val="000000"/>
                <w:sz w:val="16"/>
                <w:szCs w:val="16"/>
                <w:lang w:eastAsia="nb-NO"/>
              </w:rPr>
              <w:t xml:space="preserve"> på Vestlandet (</w:t>
            </w:r>
            <w:proofErr w:type="spellStart"/>
            <w:r w:rsidRPr="00C8490B">
              <w:rPr>
                <w:rFonts w:ascii="Arial" w:eastAsia="Times New Roman" w:hAnsi="Arial" w:cs="Arial"/>
                <w:color w:val="000000"/>
                <w:sz w:val="16"/>
                <w:szCs w:val="16"/>
                <w:lang w:eastAsia="nb-NO"/>
              </w:rPr>
              <w:t>HVL</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000000" w:fill="F2F2F2"/>
            <w:vAlign w:val="center"/>
          </w:tcPr>
          <w:p w14:paraId="59AD4B96" w14:textId="68C9ACD3" w:rsidR="00DD2409" w:rsidRPr="00C8490B" w:rsidRDefault="004A6E17">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Norges idrettshøgskole (NIH)</w:t>
            </w:r>
          </w:p>
        </w:tc>
      </w:tr>
      <w:tr w:rsidR="00DD2409" w:rsidRPr="00C8490B" w14:paraId="6304852F" w14:textId="77777777">
        <w:trPr>
          <w:trHeight w:hRule="exact" w:val="284"/>
        </w:trPr>
        <w:tc>
          <w:tcPr>
            <w:tcW w:w="2426" w:type="pct"/>
            <w:tcBorders>
              <w:top w:val="nil"/>
              <w:left w:val="nil"/>
              <w:bottom w:val="nil"/>
              <w:right w:val="nil"/>
            </w:tcBorders>
            <w:shd w:val="clear" w:color="auto" w:fill="auto"/>
            <w:vAlign w:val="center"/>
            <w:hideMark/>
          </w:tcPr>
          <w:p w14:paraId="05EF8BC2"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Nord universitet (NU)</w:t>
            </w:r>
          </w:p>
        </w:tc>
        <w:tc>
          <w:tcPr>
            <w:tcW w:w="2574" w:type="pct"/>
            <w:tcBorders>
              <w:top w:val="nil"/>
              <w:left w:val="nil"/>
              <w:bottom w:val="nil"/>
              <w:right w:val="nil"/>
            </w:tcBorders>
            <w:shd w:val="clear" w:color="auto" w:fill="auto"/>
            <w:vAlign w:val="center"/>
          </w:tcPr>
          <w:p w14:paraId="51D13C56" w14:textId="1BF80760" w:rsidR="00DD2409" w:rsidRPr="00C8490B" w:rsidRDefault="004A6E17">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Norges musikkhøgskole (NMH)</w:t>
            </w:r>
          </w:p>
        </w:tc>
      </w:tr>
      <w:tr w:rsidR="00DD2409" w:rsidRPr="00B53FA3" w14:paraId="1D2B0678" w14:textId="77777777">
        <w:trPr>
          <w:trHeight w:hRule="exact" w:val="284"/>
        </w:trPr>
        <w:tc>
          <w:tcPr>
            <w:tcW w:w="2426" w:type="pct"/>
            <w:tcBorders>
              <w:top w:val="nil"/>
              <w:left w:val="nil"/>
              <w:bottom w:val="nil"/>
              <w:right w:val="nil"/>
            </w:tcBorders>
            <w:shd w:val="clear" w:color="000000" w:fill="F2F2F2"/>
            <w:vAlign w:val="center"/>
            <w:hideMark/>
          </w:tcPr>
          <w:p w14:paraId="3F764307"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Norges handelshøyskole (NHH)</w:t>
            </w:r>
          </w:p>
        </w:tc>
        <w:tc>
          <w:tcPr>
            <w:tcW w:w="2574" w:type="pct"/>
            <w:tcBorders>
              <w:top w:val="nil"/>
              <w:left w:val="nil"/>
              <w:bottom w:val="nil"/>
              <w:right w:val="nil"/>
            </w:tcBorders>
            <w:shd w:val="clear" w:color="000000" w:fill="F2F2F2"/>
            <w:vAlign w:val="center"/>
          </w:tcPr>
          <w:p w14:paraId="36F62D0C" w14:textId="153FB6DC" w:rsidR="00DD2409" w:rsidRPr="002D25F7" w:rsidRDefault="004A6E17">
            <w:pPr>
              <w:spacing w:after="0" w:line="240" w:lineRule="auto"/>
              <w:rPr>
                <w:rFonts w:ascii="Arial" w:eastAsia="Times New Roman" w:hAnsi="Arial" w:cs="Arial"/>
                <w:color w:val="000000"/>
                <w:sz w:val="16"/>
                <w:szCs w:val="16"/>
                <w:lang w:val="nn-NO" w:eastAsia="nb-NO"/>
              </w:rPr>
            </w:pPr>
            <w:proofErr w:type="spellStart"/>
            <w:r w:rsidRPr="008F0DF5">
              <w:rPr>
                <w:rFonts w:ascii="Arial" w:eastAsia="Times New Roman" w:hAnsi="Arial" w:cs="Arial"/>
                <w:color w:val="000000"/>
                <w:sz w:val="16"/>
                <w:szCs w:val="16"/>
                <w:lang w:val="nn-NO" w:eastAsia="nb-NO"/>
              </w:rPr>
              <w:t>Sámi</w:t>
            </w:r>
            <w:proofErr w:type="spellEnd"/>
            <w:r w:rsidRPr="008F0DF5">
              <w:rPr>
                <w:rFonts w:ascii="Arial" w:eastAsia="Times New Roman" w:hAnsi="Arial" w:cs="Arial"/>
                <w:color w:val="000000"/>
                <w:sz w:val="16"/>
                <w:szCs w:val="16"/>
                <w:lang w:val="nn-NO" w:eastAsia="nb-NO"/>
              </w:rPr>
              <w:t xml:space="preserve"> </w:t>
            </w:r>
            <w:proofErr w:type="spellStart"/>
            <w:r w:rsidRPr="008F0DF5">
              <w:rPr>
                <w:rFonts w:ascii="Arial" w:eastAsia="Times New Roman" w:hAnsi="Arial" w:cs="Arial"/>
                <w:color w:val="000000"/>
                <w:sz w:val="16"/>
                <w:szCs w:val="16"/>
                <w:lang w:val="nn-NO" w:eastAsia="nb-NO"/>
              </w:rPr>
              <w:t>allaskuvla</w:t>
            </w:r>
            <w:proofErr w:type="spellEnd"/>
            <w:r w:rsidRPr="008F0DF5">
              <w:rPr>
                <w:rFonts w:ascii="Arial" w:eastAsia="Times New Roman" w:hAnsi="Arial" w:cs="Arial"/>
                <w:color w:val="000000"/>
                <w:sz w:val="16"/>
                <w:szCs w:val="16"/>
                <w:lang w:val="nn-NO" w:eastAsia="nb-NO"/>
              </w:rPr>
              <w:t xml:space="preserve"> / Samisk høgskole (SH)</w:t>
            </w:r>
          </w:p>
        </w:tc>
      </w:tr>
      <w:tr w:rsidR="00DD2409" w:rsidRPr="00C8490B" w14:paraId="7A577343" w14:textId="77777777">
        <w:trPr>
          <w:trHeight w:hRule="exact" w:val="284"/>
        </w:trPr>
        <w:tc>
          <w:tcPr>
            <w:tcW w:w="2426" w:type="pct"/>
            <w:tcBorders>
              <w:top w:val="nil"/>
              <w:left w:val="nil"/>
              <w:bottom w:val="nil"/>
              <w:right w:val="nil"/>
            </w:tcBorders>
            <w:shd w:val="clear" w:color="auto" w:fill="auto"/>
            <w:vAlign w:val="center"/>
            <w:hideMark/>
          </w:tcPr>
          <w:p w14:paraId="16A3ECA8"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Norges miljø- og biovitenskapelige universitet (</w:t>
            </w:r>
            <w:proofErr w:type="spellStart"/>
            <w:r w:rsidRPr="00C8490B">
              <w:rPr>
                <w:rFonts w:ascii="Arial" w:eastAsia="Times New Roman" w:hAnsi="Arial" w:cs="Arial"/>
                <w:color w:val="000000"/>
                <w:sz w:val="16"/>
                <w:szCs w:val="16"/>
                <w:lang w:eastAsia="nb-NO"/>
              </w:rPr>
              <w:t>NMBU</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auto" w:fill="auto"/>
            <w:vAlign w:val="center"/>
          </w:tcPr>
          <w:p w14:paraId="29BAB250" w14:textId="44006529" w:rsidR="00DD2409" w:rsidRPr="008F0DF5" w:rsidRDefault="004A6E17">
            <w:pPr>
              <w:spacing w:after="0" w:line="240" w:lineRule="auto"/>
              <w:rPr>
                <w:rFonts w:ascii="Arial" w:eastAsia="Times New Roman" w:hAnsi="Arial" w:cs="Arial"/>
                <w:color w:val="000000"/>
                <w:sz w:val="16"/>
                <w:szCs w:val="16"/>
                <w:lang w:val="nn-NO" w:eastAsia="nb-NO"/>
              </w:rPr>
            </w:pPr>
            <w:r w:rsidRPr="00C8490B">
              <w:rPr>
                <w:rFonts w:ascii="Arial" w:eastAsia="Times New Roman" w:hAnsi="Arial" w:cs="Arial"/>
                <w:color w:val="000000"/>
                <w:sz w:val="16"/>
                <w:szCs w:val="16"/>
                <w:lang w:eastAsia="nb-NO"/>
              </w:rPr>
              <w:t>Universitetet i Agder (</w:t>
            </w:r>
            <w:proofErr w:type="spellStart"/>
            <w:r w:rsidRPr="00C8490B">
              <w:rPr>
                <w:rFonts w:ascii="Arial" w:eastAsia="Times New Roman" w:hAnsi="Arial" w:cs="Arial"/>
                <w:color w:val="000000"/>
                <w:sz w:val="16"/>
                <w:szCs w:val="16"/>
                <w:lang w:eastAsia="nb-NO"/>
              </w:rPr>
              <w:t>UiA</w:t>
            </w:r>
            <w:proofErr w:type="spellEnd"/>
            <w:r w:rsidRPr="00C8490B">
              <w:rPr>
                <w:rFonts w:ascii="Arial" w:eastAsia="Times New Roman" w:hAnsi="Arial" w:cs="Arial"/>
                <w:color w:val="000000"/>
                <w:sz w:val="16"/>
                <w:szCs w:val="16"/>
                <w:lang w:eastAsia="nb-NO"/>
              </w:rPr>
              <w:t>)</w:t>
            </w:r>
          </w:p>
        </w:tc>
      </w:tr>
      <w:tr w:rsidR="00DD2409" w:rsidRPr="00C8490B" w14:paraId="50BB3335" w14:textId="77777777">
        <w:trPr>
          <w:trHeight w:hRule="exact" w:val="284"/>
        </w:trPr>
        <w:tc>
          <w:tcPr>
            <w:tcW w:w="2426" w:type="pct"/>
            <w:tcBorders>
              <w:top w:val="nil"/>
              <w:left w:val="nil"/>
              <w:bottom w:val="nil"/>
              <w:right w:val="nil"/>
            </w:tcBorders>
            <w:shd w:val="clear" w:color="000000" w:fill="F2F2F2"/>
            <w:vAlign w:val="center"/>
            <w:hideMark/>
          </w:tcPr>
          <w:p w14:paraId="07EDC722"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Norges teknisk- naturvitenskapelige universitet (NTNU)</w:t>
            </w:r>
          </w:p>
        </w:tc>
        <w:tc>
          <w:tcPr>
            <w:tcW w:w="2574" w:type="pct"/>
            <w:tcBorders>
              <w:top w:val="nil"/>
              <w:left w:val="nil"/>
              <w:bottom w:val="nil"/>
              <w:right w:val="nil"/>
            </w:tcBorders>
            <w:shd w:val="clear" w:color="000000" w:fill="F2F2F2"/>
            <w:vAlign w:val="center"/>
          </w:tcPr>
          <w:p w14:paraId="47FD0525" w14:textId="5E359C8D" w:rsidR="00DD2409" w:rsidRPr="00C8490B" w:rsidRDefault="004A6E17">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Universitetet i Bergen (UiB)</w:t>
            </w:r>
          </w:p>
        </w:tc>
      </w:tr>
      <w:tr w:rsidR="00DD2409" w:rsidRPr="00C8490B" w14:paraId="425CB2B1" w14:textId="77777777">
        <w:trPr>
          <w:trHeight w:hRule="exact" w:val="284"/>
        </w:trPr>
        <w:tc>
          <w:tcPr>
            <w:tcW w:w="2426" w:type="pct"/>
            <w:tcBorders>
              <w:top w:val="nil"/>
              <w:left w:val="nil"/>
              <w:bottom w:val="nil"/>
              <w:right w:val="nil"/>
            </w:tcBorders>
            <w:shd w:val="clear" w:color="auto" w:fill="auto"/>
            <w:vAlign w:val="center"/>
            <w:hideMark/>
          </w:tcPr>
          <w:p w14:paraId="38A85F22" w14:textId="77777777" w:rsidR="00DD2409" w:rsidRPr="00C8490B" w:rsidRDefault="00DD2409">
            <w:pPr>
              <w:spacing w:after="0" w:line="240" w:lineRule="auto"/>
              <w:rPr>
                <w:rFonts w:ascii="Arial" w:eastAsia="Times New Roman" w:hAnsi="Arial" w:cs="Arial"/>
                <w:color w:val="000000"/>
                <w:sz w:val="16"/>
                <w:szCs w:val="16"/>
                <w:lang w:eastAsia="nb-NO"/>
              </w:rPr>
            </w:pPr>
            <w:proofErr w:type="spellStart"/>
            <w:r w:rsidRPr="00C8490B">
              <w:rPr>
                <w:rFonts w:ascii="Arial" w:eastAsia="Times New Roman" w:hAnsi="Arial" w:cs="Arial"/>
                <w:color w:val="000000"/>
                <w:sz w:val="16"/>
                <w:szCs w:val="16"/>
                <w:lang w:eastAsia="nb-NO"/>
              </w:rPr>
              <w:t>OsloMet</w:t>
            </w:r>
            <w:proofErr w:type="spellEnd"/>
            <w:r w:rsidRPr="00C8490B">
              <w:rPr>
                <w:rFonts w:ascii="Arial" w:eastAsia="Times New Roman" w:hAnsi="Arial" w:cs="Arial"/>
                <w:color w:val="000000"/>
                <w:sz w:val="16"/>
                <w:szCs w:val="16"/>
                <w:lang w:eastAsia="nb-NO"/>
              </w:rPr>
              <w:t xml:space="preserve"> – storbyuniversitetet (</w:t>
            </w:r>
            <w:proofErr w:type="spellStart"/>
            <w:r w:rsidRPr="00C8490B">
              <w:rPr>
                <w:rFonts w:ascii="Arial" w:eastAsia="Times New Roman" w:hAnsi="Arial" w:cs="Arial"/>
                <w:color w:val="000000"/>
                <w:sz w:val="16"/>
                <w:szCs w:val="16"/>
                <w:lang w:eastAsia="nb-NO"/>
              </w:rPr>
              <w:t>OsloMet</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auto" w:fill="auto"/>
            <w:vAlign w:val="center"/>
          </w:tcPr>
          <w:p w14:paraId="2E565DE4" w14:textId="49C3B213" w:rsidR="00DD2409" w:rsidRPr="00C8490B" w:rsidRDefault="004A6E17">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Universitetet i Oslo (UiO)</w:t>
            </w:r>
          </w:p>
        </w:tc>
      </w:tr>
      <w:tr w:rsidR="00DD2409" w:rsidRPr="00C8490B" w14:paraId="074B0F06" w14:textId="77777777">
        <w:trPr>
          <w:trHeight w:hRule="exact" w:val="284"/>
        </w:trPr>
        <w:tc>
          <w:tcPr>
            <w:tcW w:w="2426" w:type="pct"/>
            <w:tcBorders>
              <w:top w:val="nil"/>
              <w:left w:val="nil"/>
              <w:bottom w:val="nil"/>
              <w:right w:val="nil"/>
            </w:tcBorders>
            <w:shd w:val="clear" w:color="000000" w:fill="F2F2F2"/>
            <w:vAlign w:val="center"/>
            <w:hideMark/>
          </w:tcPr>
          <w:p w14:paraId="79401959"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Universitetet i Stavanger (</w:t>
            </w:r>
            <w:proofErr w:type="spellStart"/>
            <w:r w:rsidRPr="00C8490B">
              <w:rPr>
                <w:rFonts w:ascii="Arial" w:eastAsia="Times New Roman" w:hAnsi="Arial" w:cs="Arial"/>
                <w:color w:val="000000"/>
                <w:sz w:val="16"/>
                <w:szCs w:val="16"/>
                <w:lang w:eastAsia="nb-NO"/>
              </w:rPr>
              <w:t>UiS</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000000" w:fill="F2F2F2"/>
            <w:vAlign w:val="center"/>
          </w:tcPr>
          <w:p w14:paraId="2B195E80" w14:textId="73936F78" w:rsidR="00DD2409" w:rsidRPr="00C8490B" w:rsidRDefault="00DD2409">
            <w:pPr>
              <w:spacing w:after="0" w:line="240" w:lineRule="auto"/>
              <w:rPr>
                <w:rFonts w:ascii="Arial" w:eastAsia="Times New Roman" w:hAnsi="Arial" w:cs="Arial"/>
                <w:color w:val="000000"/>
                <w:sz w:val="16"/>
                <w:szCs w:val="16"/>
                <w:lang w:eastAsia="nb-NO"/>
              </w:rPr>
            </w:pPr>
          </w:p>
        </w:tc>
      </w:tr>
      <w:tr w:rsidR="00DD2409" w:rsidRPr="00C8490B" w14:paraId="19F3268C" w14:textId="77777777">
        <w:trPr>
          <w:trHeight w:hRule="exact" w:val="284"/>
        </w:trPr>
        <w:tc>
          <w:tcPr>
            <w:tcW w:w="2426" w:type="pct"/>
            <w:tcBorders>
              <w:top w:val="nil"/>
              <w:left w:val="nil"/>
              <w:bottom w:val="nil"/>
              <w:right w:val="nil"/>
            </w:tcBorders>
            <w:shd w:val="clear" w:color="auto" w:fill="auto"/>
            <w:vAlign w:val="center"/>
            <w:hideMark/>
          </w:tcPr>
          <w:p w14:paraId="658C0755"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Universitetet i Sørøst-Norge (</w:t>
            </w:r>
            <w:proofErr w:type="spellStart"/>
            <w:r w:rsidRPr="00C8490B">
              <w:rPr>
                <w:rFonts w:ascii="Arial" w:eastAsia="Times New Roman" w:hAnsi="Arial" w:cs="Arial"/>
                <w:color w:val="000000"/>
                <w:sz w:val="16"/>
                <w:szCs w:val="16"/>
                <w:lang w:eastAsia="nb-NO"/>
              </w:rPr>
              <w:t>USN</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auto" w:fill="auto"/>
            <w:vAlign w:val="center"/>
          </w:tcPr>
          <w:p w14:paraId="480243E3" w14:textId="77777777" w:rsidR="00DD2409" w:rsidRPr="00C8490B" w:rsidRDefault="00DD2409">
            <w:pPr>
              <w:spacing w:after="0" w:line="240" w:lineRule="auto"/>
              <w:rPr>
                <w:rFonts w:ascii="Arial" w:eastAsia="Times New Roman" w:hAnsi="Arial" w:cs="Arial"/>
                <w:color w:val="000000"/>
                <w:sz w:val="16"/>
                <w:szCs w:val="16"/>
                <w:lang w:eastAsia="nb-NO"/>
              </w:rPr>
            </w:pPr>
          </w:p>
        </w:tc>
      </w:tr>
      <w:tr w:rsidR="00DD2409" w:rsidRPr="00C8490B" w14:paraId="67227E2D" w14:textId="77777777">
        <w:trPr>
          <w:trHeight w:hRule="exact" w:val="363"/>
        </w:trPr>
        <w:tc>
          <w:tcPr>
            <w:tcW w:w="2426" w:type="pct"/>
            <w:tcBorders>
              <w:top w:val="nil"/>
              <w:left w:val="nil"/>
              <w:bottom w:val="nil"/>
              <w:right w:val="nil"/>
            </w:tcBorders>
            <w:shd w:val="clear" w:color="000000" w:fill="F2F2F2"/>
            <w:vAlign w:val="center"/>
            <w:hideMark/>
          </w:tcPr>
          <w:p w14:paraId="201A7C7D"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Universitetet i Tromsø – Norges arktiske universitet (UiT)</w:t>
            </w:r>
          </w:p>
        </w:tc>
        <w:tc>
          <w:tcPr>
            <w:tcW w:w="2574" w:type="pct"/>
            <w:tcBorders>
              <w:top w:val="nil"/>
              <w:left w:val="nil"/>
              <w:bottom w:val="nil"/>
              <w:right w:val="nil"/>
            </w:tcBorders>
            <w:shd w:val="clear" w:color="000000" w:fill="F2F2F2"/>
            <w:vAlign w:val="center"/>
          </w:tcPr>
          <w:p w14:paraId="332680A8" w14:textId="77777777" w:rsidR="00DD2409" w:rsidRPr="00C8490B" w:rsidRDefault="00DD2409">
            <w:pPr>
              <w:spacing w:after="0" w:line="240" w:lineRule="auto"/>
              <w:rPr>
                <w:rFonts w:ascii="Arial" w:eastAsia="Times New Roman" w:hAnsi="Arial" w:cs="Arial"/>
                <w:color w:val="000000"/>
                <w:sz w:val="16"/>
                <w:szCs w:val="16"/>
                <w:lang w:eastAsia="nb-NO"/>
              </w:rPr>
            </w:pPr>
          </w:p>
        </w:tc>
      </w:tr>
      <w:tr w:rsidR="00DD2409" w:rsidRPr="00C8490B" w14:paraId="7270BE6F" w14:textId="77777777">
        <w:trPr>
          <w:trHeight w:hRule="exact" w:val="284"/>
        </w:trPr>
        <w:tc>
          <w:tcPr>
            <w:tcW w:w="2426" w:type="pct"/>
            <w:tcBorders>
              <w:top w:val="nil"/>
              <w:left w:val="nil"/>
              <w:bottom w:val="nil"/>
              <w:right w:val="nil"/>
            </w:tcBorders>
            <w:shd w:val="clear" w:color="auto" w:fill="auto"/>
            <w:vAlign w:val="center"/>
          </w:tcPr>
          <w:p w14:paraId="314F79B0" w14:textId="77777777" w:rsidR="00DD2409" w:rsidRPr="00C8490B" w:rsidRDefault="00DD2409">
            <w:pPr>
              <w:spacing w:after="0" w:line="240" w:lineRule="auto"/>
              <w:rPr>
                <w:rFonts w:ascii="Arial" w:eastAsia="Times New Roman" w:hAnsi="Arial" w:cs="Arial"/>
                <w:color w:val="000000"/>
                <w:sz w:val="16"/>
                <w:szCs w:val="16"/>
                <w:lang w:eastAsia="nb-NO"/>
              </w:rPr>
            </w:pPr>
            <w:r w:rsidRPr="00C8490B">
              <w:rPr>
                <w:rFonts w:ascii="Arial" w:eastAsia="Times New Roman" w:hAnsi="Arial" w:cs="Arial"/>
                <w:color w:val="000000"/>
                <w:sz w:val="16"/>
                <w:szCs w:val="16"/>
                <w:lang w:eastAsia="nb-NO"/>
              </w:rPr>
              <w:t>Høgskolen i Østfold (</w:t>
            </w:r>
            <w:proofErr w:type="spellStart"/>
            <w:r w:rsidRPr="00C8490B">
              <w:rPr>
                <w:rFonts w:ascii="Arial" w:eastAsia="Times New Roman" w:hAnsi="Arial" w:cs="Arial"/>
                <w:color w:val="000000"/>
                <w:sz w:val="16"/>
                <w:szCs w:val="16"/>
                <w:lang w:eastAsia="nb-NO"/>
              </w:rPr>
              <w:t>HiØ</w:t>
            </w:r>
            <w:proofErr w:type="spellEnd"/>
            <w:r w:rsidRPr="00C8490B">
              <w:rPr>
                <w:rFonts w:ascii="Arial" w:eastAsia="Times New Roman" w:hAnsi="Arial" w:cs="Arial"/>
                <w:color w:val="000000"/>
                <w:sz w:val="16"/>
                <w:szCs w:val="16"/>
                <w:lang w:eastAsia="nb-NO"/>
              </w:rPr>
              <w:t>)</w:t>
            </w:r>
          </w:p>
        </w:tc>
        <w:tc>
          <w:tcPr>
            <w:tcW w:w="2574" w:type="pct"/>
            <w:tcBorders>
              <w:top w:val="nil"/>
              <w:left w:val="nil"/>
              <w:bottom w:val="nil"/>
              <w:right w:val="nil"/>
            </w:tcBorders>
            <w:shd w:val="clear" w:color="auto" w:fill="auto"/>
            <w:vAlign w:val="center"/>
          </w:tcPr>
          <w:p w14:paraId="50FC19A5" w14:textId="77777777" w:rsidR="00DD2409" w:rsidRPr="00C8490B" w:rsidRDefault="00DD2409">
            <w:pPr>
              <w:spacing w:after="0" w:line="240" w:lineRule="auto"/>
              <w:rPr>
                <w:rFonts w:ascii="Arial" w:eastAsia="Times New Roman" w:hAnsi="Arial" w:cs="Arial"/>
                <w:color w:val="000000"/>
                <w:sz w:val="16"/>
                <w:szCs w:val="16"/>
                <w:lang w:eastAsia="nb-NO"/>
              </w:rPr>
            </w:pPr>
          </w:p>
        </w:tc>
      </w:tr>
      <w:tr w:rsidR="00B54104" w:rsidRPr="00B53FA3" w14:paraId="43906935" w14:textId="77777777" w:rsidTr="00AC0549">
        <w:trPr>
          <w:trHeight w:hRule="exact" w:val="284"/>
        </w:trPr>
        <w:tc>
          <w:tcPr>
            <w:tcW w:w="2426" w:type="pct"/>
            <w:tcBorders>
              <w:top w:val="nil"/>
              <w:left w:val="nil"/>
              <w:bottom w:val="nil"/>
              <w:right w:val="nil"/>
            </w:tcBorders>
            <w:shd w:val="clear" w:color="auto" w:fill="F2F2F2" w:themeFill="background1" w:themeFillShade="F2"/>
            <w:vAlign w:val="center"/>
          </w:tcPr>
          <w:p w14:paraId="708D25D3" w14:textId="1635D2A7" w:rsidR="00B54104" w:rsidRPr="002D25F7" w:rsidRDefault="002D208C">
            <w:pPr>
              <w:spacing w:after="0" w:line="240" w:lineRule="auto"/>
              <w:rPr>
                <w:rFonts w:ascii="Arial" w:eastAsia="Times New Roman" w:hAnsi="Arial" w:cs="Arial"/>
                <w:color w:val="000000"/>
                <w:sz w:val="16"/>
                <w:szCs w:val="16"/>
                <w:lang w:val="nn-NO" w:eastAsia="nb-NO"/>
              </w:rPr>
            </w:pPr>
            <w:r w:rsidRPr="002D25F7">
              <w:rPr>
                <w:rFonts w:ascii="Arial" w:eastAsia="Times New Roman" w:hAnsi="Arial" w:cs="Arial"/>
                <w:color w:val="000000"/>
                <w:sz w:val="16"/>
                <w:szCs w:val="16"/>
                <w:lang w:val="nn-NO" w:eastAsia="nb-NO"/>
              </w:rPr>
              <w:t>Kunsthøgskolen i Oslo (</w:t>
            </w:r>
            <w:proofErr w:type="spellStart"/>
            <w:r w:rsidRPr="002D25F7">
              <w:rPr>
                <w:rFonts w:ascii="Arial" w:eastAsia="Times New Roman" w:hAnsi="Arial" w:cs="Arial"/>
                <w:color w:val="000000"/>
                <w:sz w:val="16"/>
                <w:szCs w:val="16"/>
                <w:lang w:val="nn-NO" w:eastAsia="nb-NO"/>
              </w:rPr>
              <w:t>KHiO</w:t>
            </w:r>
            <w:proofErr w:type="spellEnd"/>
            <w:r w:rsidRPr="002D25F7">
              <w:rPr>
                <w:rFonts w:ascii="Arial" w:eastAsia="Times New Roman" w:hAnsi="Arial" w:cs="Arial"/>
                <w:color w:val="000000"/>
                <w:sz w:val="16"/>
                <w:szCs w:val="16"/>
                <w:lang w:val="nn-NO" w:eastAsia="nb-NO"/>
              </w:rPr>
              <w:t>)</w:t>
            </w:r>
            <w:r w:rsidR="004A6E17" w:rsidRPr="002D25F7">
              <w:rPr>
                <w:rFonts w:ascii="Arial" w:eastAsia="Times New Roman" w:hAnsi="Arial" w:cs="Arial"/>
                <w:color w:val="000000"/>
                <w:sz w:val="16"/>
                <w:szCs w:val="16"/>
                <w:lang w:val="nn-NO" w:eastAsia="nb-NO"/>
              </w:rPr>
              <w:t xml:space="preserve"> (</w:t>
            </w:r>
            <w:proofErr w:type="spellStart"/>
            <w:r w:rsidR="004A6E17" w:rsidRPr="002D25F7">
              <w:rPr>
                <w:rFonts w:ascii="Arial" w:eastAsia="Times New Roman" w:hAnsi="Arial" w:cs="Arial"/>
                <w:color w:val="000000"/>
                <w:sz w:val="16"/>
                <w:szCs w:val="16"/>
                <w:lang w:val="nn-NO" w:eastAsia="nb-NO"/>
              </w:rPr>
              <w:t>fra</w:t>
            </w:r>
            <w:proofErr w:type="spellEnd"/>
            <w:r w:rsidR="004A6E17" w:rsidRPr="002D25F7">
              <w:rPr>
                <w:rFonts w:ascii="Arial" w:eastAsia="Times New Roman" w:hAnsi="Arial" w:cs="Arial"/>
                <w:color w:val="000000"/>
                <w:sz w:val="16"/>
                <w:szCs w:val="16"/>
                <w:lang w:val="nn-NO" w:eastAsia="nb-NO"/>
              </w:rPr>
              <w:t xml:space="preserve"> 1. august 2023)</w:t>
            </w:r>
          </w:p>
        </w:tc>
        <w:tc>
          <w:tcPr>
            <w:tcW w:w="2574" w:type="pct"/>
            <w:tcBorders>
              <w:top w:val="nil"/>
              <w:left w:val="nil"/>
              <w:bottom w:val="nil"/>
              <w:right w:val="nil"/>
            </w:tcBorders>
            <w:shd w:val="clear" w:color="auto" w:fill="F2F2F2" w:themeFill="background1" w:themeFillShade="F2"/>
            <w:vAlign w:val="center"/>
          </w:tcPr>
          <w:p w14:paraId="71F0F268" w14:textId="77777777" w:rsidR="00B54104" w:rsidRPr="002D25F7" w:rsidRDefault="00B54104">
            <w:pPr>
              <w:spacing w:after="0" w:line="240" w:lineRule="auto"/>
              <w:rPr>
                <w:rFonts w:ascii="Arial" w:eastAsia="Times New Roman" w:hAnsi="Arial" w:cs="Arial"/>
                <w:color w:val="000000"/>
                <w:sz w:val="16"/>
                <w:szCs w:val="16"/>
                <w:lang w:val="nn-NO" w:eastAsia="nb-NO"/>
              </w:rPr>
            </w:pPr>
          </w:p>
        </w:tc>
      </w:tr>
    </w:tbl>
    <w:p w14:paraId="3AFF91C2" w14:textId="4F4A5453" w:rsidR="00FE2EF6" w:rsidRPr="002D25F7" w:rsidRDefault="00FE2EF6">
      <w:pPr>
        <w:rPr>
          <w:rFonts w:asciiTheme="majorHAnsi" w:eastAsiaTheme="majorEastAsia" w:hAnsiTheme="majorHAnsi" w:cstheme="majorBidi"/>
          <w:b/>
          <w:color w:val="362683"/>
          <w:sz w:val="24"/>
          <w:szCs w:val="26"/>
          <w:lang w:val="nn-NO"/>
        </w:rPr>
      </w:pPr>
    </w:p>
    <w:p w14:paraId="75FA438B" w14:textId="65DBC41E" w:rsidR="008A083C" w:rsidRDefault="008A083C" w:rsidP="00AE4B98">
      <w:pPr>
        <w:pStyle w:val="Overskrift3"/>
      </w:pPr>
      <w:bookmarkStart w:id="187" w:name="_Ref134630699"/>
      <w:bookmarkStart w:id="188" w:name="_Toc134792754"/>
      <w:r w:rsidRPr="008A083C">
        <w:t>Finansielle ressurser fordelt på kilde</w:t>
      </w:r>
      <w:bookmarkEnd w:id="185"/>
      <w:bookmarkEnd w:id="187"/>
      <w:bookmarkEnd w:id="188"/>
    </w:p>
    <w:p w14:paraId="24E6FE9E" w14:textId="122E930A" w:rsidR="00F9677D" w:rsidRDefault="00C23E2F" w:rsidP="00C23E2F">
      <w:r>
        <w:t>De samlede driftsinntektene til universiteter og høyskoler var i 202</w:t>
      </w:r>
      <w:r w:rsidR="00FB3316">
        <w:t>2</w:t>
      </w:r>
      <w:r>
        <w:t xml:space="preserve"> </w:t>
      </w:r>
      <w:r w:rsidR="0032622A">
        <w:t>på noe over 58</w:t>
      </w:r>
      <w:r>
        <w:t xml:space="preserve"> milliarder kroner </w:t>
      </w:r>
      <w:r w:rsidR="0032622A">
        <w:t>(</w:t>
      </w:r>
      <w:r>
        <w:t xml:space="preserve">se </w:t>
      </w:r>
      <w:r w:rsidR="005A4852">
        <w:fldChar w:fldCharType="begin"/>
      </w:r>
      <w:r w:rsidR="005A4852">
        <w:instrText xml:space="preserve"> REF  _Ref133245663 \* Lower \h </w:instrText>
      </w:r>
      <w:r w:rsidR="005A4852">
        <w:fldChar w:fldCharType="separate"/>
      </w:r>
      <w:r w:rsidR="00F262EF">
        <w:t xml:space="preserve">figur </w:t>
      </w:r>
      <w:r w:rsidR="00F262EF">
        <w:rPr>
          <w:noProof/>
        </w:rPr>
        <w:t>4</w:t>
      </w:r>
      <w:r w:rsidR="00F262EF">
        <w:t>.</w:t>
      </w:r>
      <w:r w:rsidR="00F262EF">
        <w:rPr>
          <w:noProof/>
        </w:rPr>
        <w:t>1</w:t>
      </w:r>
      <w:r w:rsidR="005A4852">
        <w:fldChar w:fldCharType="end"/>
      </w:r>
      <w:r w:rsidR="0032622A">
        <w:t>)</w:t>
      </w:r>
      <w:r>
        <w:t>.</w:t>
      </w:r>
      <w:r w:rsidR="00E2799F">
        <w:t xml:space="preserve"> Av dette </w:t>
      </w:r>
      <w:r w:rsidR="00624023">
        <w:t xml:space="preserve">har </w:t>
      </w:r>
      <w:r w:rsidR="00835308">
        <w:t>53,3 milliarder</w:t>
      </w:r>
      <w:r>
        <w:t xml:space="preserve"> </w:t>
      </w:r>
      <w:r w:rsidR="00FB35A9">
        <w:t xml:space="preserve">gått til statlige institusjoner og </w:t>
      </w:r>
      <w:r w:rsidR="00A4410C">
        <w:t>4,9 milliarder til private.</w:t>
      </w:r>
      <w:r>
        <w:t xml:space="preserve"> Fordelingen av universiteter og høyskolers finansielle ressurser på kilde </w:t>
      </w:r>
      <w:r w:rsidR="00107432">
        <w:t>har vært</w:t>
      </w:r>
      <w:r w:rsidR="00F051A9">
        <w:t xml:space="preserve"> </w:t>
      </w:r>
      <w:r w:rsidR="00107432">
        <w:t>nokså</w:t>
      </w:r>
      <w:r w:rsidR="00F051A9">
        <w:t xml:space="preserve"> </w:t>
      </w:r>
      <w:r>
        <w:t xml:space="preserve">stabil </w:t>
      </w:r>
      <w:r w:rsidR="00107432">
        <w:t xml:space="preserve">siden </w:t>
      </w:r>
      <w:r w:rsidR="00F051A9">
        <w:t>2013</w:t>
      </w:r>
      <w:r w:rsidR="008614DA">
        <w:t>.</w:t>
      </w:r>
      <w:r w:rsidR="00F051A9">
        <w:t xml:space="preserve"> </w:t>
      </w:r>
      <w:r w:rsidR="005B6EFA">
        <w:t>I</w:t>
      </w:r>
      <w:r w:rsidR="00276605">
        <w:t xml:space="preserve"> 2022 </w:t>
      </w:r>
      <w:r w:rsidR="00BF0A61">
        <w:t>falt</w:t>
      </w:r>
      <w:r w:rsidR="005B6EFA">
        <w:t xml:space="preserve"> imidlertid</w:t>
      </w:r>
      <w:r w:rsidR="00BF0A61">
        <w:t xml:space="preserve"> </w:t>
      </w:r>
      <w:r w:rsidR="001D7D84">
        <w:t xml:space="preserve">de statlige bevilgningenes </w:t>
      </w:r>
      <w:r w:rsidR="00365CDE">
        <w:t xml:space="preserve">andel av </w:t>
      </w:r>
      <w:r w:rsidR="007530B4">
        <w:t xml:space="preserve">driftsinntektene </w:t>
      </w:r>
      <w:r w:rsidR="003F6509">
        <w:t xml:space="preserve">med </w:t>
      </w:r>
      <w:r w:rsidR="003B5E25">
        <w:t>to</w:t>
      </w:r>
      <w:r w:rsidR="00000E28">
        <w:t xml:space="preserve"> prosentpoeng</w:t>
      </w:r>
      <w:r w:rsidR="00A3789C">
        <w:t xml:space="preserve"> for de statlige institusjonene</w:t>
      </w:r>
      <w:r>
        <w:t>.</w:t>
      </w:r>
      <w:r w:rsidR="00E24765">
        <w:t xml:space="preserve"> </w:t>
      </w:r>
      <w:r w:rsidR="0050164C">
        <w:t xml:space="preserve">I 2022 utgjorde </w:t>
      </w:r>
      <w:r w:rsidR="005E7C8D">
        <w:t xml:space="preserve">bevilgninger </w:t>
      </w:r>
      <w:r w:rsidR="0050164C">
        <w:t>7</w:t>
      </w:r>
      <w:r w:rsidR="003B5E25">
        <w:t>7</w:t>
      </w:r>
      <w:r w:rsidR="0050164C">
        <w:t xml:space="preserve"> prosent av driftsinntektene, mot 7</w:t>
      </w:r>
      <w:r w:rsidR="00A50102">
        <w:t>9</w:t>
      </w:r>
      <w:r w:rsidR="0050164C">
        <w:t xml:space="preserve"> prosent i 2021 og 80 prosent i 2013. </w:t>
      </w:r>
      <w:r w:rsidR="00695512">
        <w:lastRenderedPageBreak/>
        <w:t xml:space="preserve">Målt i pengeverdi er det likevel </w:t>
      </w:r>
      <w:r w:rsidR="000A7E25">
        <w:t xml:space="preserve">snakk om </w:t>
      </w:r>
      <w:r w:rsidR="00695512">
        <w:t>en</w:t>
      </w:r>
      <w:r w:rsidR="00CA17E3">
        <w:t xml:space="preserve"> li</w:t>
      </w:r>
      <w:r w:rsidR="005D671B">
        <w:t>ten</w:t>
      </w:r>
      <w:r w:rsidR="00695512">
        <w:t xml:space="preserve"> utflating</w:t>
      </w:r>
      <w:r w:rsidR="00F94415">
        <w:t xml:space="preserve"> – og ikke en nedgang</w:t>
      </w:r>
      <w:r w:rsidR="000A7E25">
        <w:t xml:space="preserve"> </w:t>
      </w:r>
      <w:r w:rsidR="00F94415">
        <w:t xml:space="preserve">– </w:t>
      </w:r>
      <w:r w:rsidR="000A7E25">
        <w:t xml:space="preserve">i </w:t>
      </w:r>
      <w:r w:rsidR="001B526B">
        <w:t xml:space="preserve">bevilgninger </w:t>
      </w:r>
      <w:r w:rsidR="00DE426E">
        <w:t>mellom 2021 og 2022</w:t>
      </w:r>
      <w:r w:rsidR="00F94415">
        <w:t>.</w:t>
      </w:r>
      <w:r w:rsidR="00E34A3F">
        <w:t xml:space="preserve"> </w:t>
      </w:r>
      <w:r w:rsidR="00565516">
        <w:t>For de private institusjonene</w:t>
      </w:r>
      <w:r w:rsidR="00E34A3F">
        <w:t xml:space="preserve"> har stats</w:t>
      </w:r>
      <w:r w:rsidR="00F9677D">
        <w:t>tilskudd</w:t>
      </w:r>
      <w:r w:rsidR="0024362B">
        <w:t xml:space="preserve">ets andel av driftsinntektene stort sett ligget på 41 </w:t>
      </w:r>
      <w:r w:rsidR="002818B1">
        <w:t>til</w:t>
      </w:r>
      <w:r w:rsidR="0024362B">
        <w:t xml:space="preserve"> 42 prosent </w:t>
      </w:r>
      <w:r w:rsidR="003253BA">
        <w:t xml:space="preserve">i hele perioden fra 2013, </w:t>
      </w:r>
      <w:r w:rsidR="00BD5AAB">
        <w:t xml:space="preserve">også i 2022 ligger den på </w:t>
      </w:r>
      <w:r w:rsidR="002818B1">
        <w:t>42 prosent.</w:t>
      </w:r>
      <w:r w:rsidR="00FC1833">
        <w:t xml:space="preserve"> Blant de</w:t>
      </w:r>
      <w:r w:rsidR="00327B83">
        <w:t xml:space="preserve"> private er</w:t>
      </w:r>
      <w:r w:rsidR="003D55A2">
        <w:t xml:space="preserve"> det</w:t>
      </w:r>
      <w:r w:rsidR="00327B83">
        <w:t xml:space="preserve"> imidlertid </w:t>
      </w:r>
      <w:r w:rsidR="003D55A2">
        <w:t xml:space="preserve">store </w:t>
      </w:r>
      <w:r w:rsidR="00175766">
        <w:t>forskjell</w:t>
      </w:r>
      <w:r w:rsidR="00921B1B">
        <w:t>er</w:t>
      </w:r>
      <w:r w:rsidR="00175766">
        <w:t xml:space="preserve"> i </w:t>
      </w:r>
      <w:r w:rsidR="003D55A2">
        <w:t xml:space="preserve">hvor stor andel </w:t>
      </w:r>
      <w:r w:rsidR="008574BE">
        <w:t>statstilskuddet utgjør.</w:t>
      </w:r>
      <w:r w:rsidR="003D55A2">
        <w:t xml:space="preserve"> </w:t>
      </w:r>
      <w:r w:rsidR="00B26993">
        <w:t xml:space="preserve">Ved BI er andelen kun 22 prosent, ved </w:t>
      </w:r>
      <w:proofErr w:type="spellStart"/>
      <w:r w:rsidR="00B26993">
        <w:t>LDH</w:t>
      </w:r>
      <w:proofErr w:type="spellEnd"/>
      <w:r w:rsidR="00B26993">
        <w:t>, 88.</w:t>
      </w:r>
    </w:p>
    <w:p w14:paraId="0C3E5EC1" w14:textId="63CF5438" w:rsidR="00C83FB6" w:rsidRDefault="00C83FB6" w:rsidP="00C23E2F">
      <w:proofErr w:type="spellStart"/>
      <w:r>
        <w:t>Vedleggstabell</w:t>
      </w:r>
      <w:proofErr w:type="spellEnd"/>
      <w:r>
        <w:t xml:space="preserve"> </w:t>
      </w:r>
      <w:hyperlink r:id="rId130" w:history="1">
        <w:r w:rsidRPr="00893EF1">
          <w:rPr>
            <w:rStyle w:val="Hyperkobling"/>
          </w:rPr>
          <w:t>V4.1</w:t>
        </w:r>
      </w:hyperlink>
      <w:r>
        <w:t xml:space="preserve"> viser inntektsfordelingen for sektoren samlet, adskilt for statlige og private institusjoner og per institusjon.</w:t>
      </w:r>
    </w:p>
    <w:p w14:paraId="00B24820" w14:textId="20799F01" w:rsidR="0078662A" w:rsidRDefault="0078662A" w:rsidP="0078662A">
      <w:pPr>
        <w:pStyle w:val="Bildetekst"/>
        <w:keepNext/>
      </w:pPr>
      <w:bookmarkStart w:id="189" w:name="_Ref133245663"/>
      <w:bookmarkStart w:id="190" w:name="_Toc134792801"/>
      <w:r>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1</w:t>
      </w:r>
      <w:r>
        <w:fldChar w:fldCharType="end"/>
      </w:r>
      <w:bookmarkEnd w:id="189"/>
      <w:r>
        <w:t xml:space="preserve"> Finansielle ressurser ved universiteter og høyskoler 2013</w:t>
      </w:r>
      <w:r w:rsidRPr="00A85183">
        <w:t>–</w:t>
      </w:r>
      <w:r>
        <w:t>22. 1000 kr</w:t>
      </w:r>
      <w:bookmarkEnd w:id="190"/>
    </w:p>
    <w:p w14:paraId="5E2450D7" w14:textId="2ACE3348" w:rsidR="006131B3" w:rsidRDefault="00BB7B62" w:rsidP="006131B3">
      <w:r>
        <w:rPr>
          <w:noProof/>
        </w:rPr>
        <w:drawing>
          <wp:inline distT="0" distB="0" distL="0" distR="0" wp14:anchorId="43920BFA" wp14:editId="378E96D2">
            <wp:extent cx="5192889" cy="3014133"/>
            <wp:effectExtent l="0" t="0" r="8255" b="15240"/>
            <wp:docPr id="43" name="Diagram 43">
              <a:extLst xmlns:a="http://schemas.openxmlformats.org/drawingml/2006/main">
                <a:ext uri="{FF2B5EF4-FFF2-40B4-BE49-F238E27FC236}">
                  <a16:creationId xmlns:a16="http://schemas.microsoft.com/office/drawing/2014/main" id="{03B17B07-18A5-41CB-8D1F-DF4D9B308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8406389" w14:textId="50D5A717" w:rsidR="00CD0C92" w:rsidRDefault="00CD0C92" w:rsidP="00CD0C92">
      <w:pPr>
        <w:pStyle w:val="Merknad"/>
      </w:pPr>
      <w:r w:rsidRPr="00CD0C92">
        <w:t>Tallene hentes fra Note 1.</w:t>
      </w:r>
    </w:p>
    <w:p w14:paraId="2DE40002" w14:textId="5FAEA7BA" w:rsidR="00CD0C92" w:rsidRPr="006131B3" w:rsidRDefault="00CD0C92" w:rsidP="00CD0C92">
      <w:pPr>
        <w:pStyle w:val="Kilde"/>
      </w:pPr>
      <w:r>
        <w:t xml:space="preserve">Kilde: </w:t>
      </w:r>
      <w:proofErr w:type="spellStart"/>
      <w:r>
        <w:t>DBH</w:t>
      </w:r>
      <w:proofErr w:type="spellEnd"/>
    </w:p>
    <w:p w14:paraId="02CEE69C" w14:textId="4F8DB9D0" w:rsidR="00F72B91" w:rsidRDefault="00F72B91" w:rsidP="00F72B91">
      <w:r>
        <w:t>For statlige institusjoner er forskningsfinansiering fra Forskningsrådet en betydelig inntektskilde. I 2022 utgjorde slik finansiering 4,3 milliarder kroner, eller 8 prosent av de statlige</w:t>
      </w:r>
      <w:r w:rsidRPr="006807E4">
        <w:t xml:space="preserve"> </w:t>
      </w:r>
      <w:r>
        <w:t>institusjonenes samlede driftsinntekter. Dette har endret seg lite de siste årene. Finansiering fra Forskningsrådet, Regionale forskningsfond (</w:t>
      </w:r>
      <w:proofErr w:type="spellStart"/>
      <w:r>
        <w:t>RFF</w:t>
      </w:r>
      <w:proofErr w:type="spellEnd"/>
      <w:r>
        <w:t>) og EU utgjorde til sammen 5,4 milliarder kroner, eller 10 prosent, i 2022. For de private institusjonene utgjorde finansiering fra Forskningsrådet 65 millioner (1,3 prosent)</w:t>
      </w:r>
      <w:r w:rsidR="00584699">
        <w:t>,</w:t>
      </w:r>
      <w:r>
        <w:t xml:space="preserve"> det vil si noe mer enn de foregående årene. For private institusjoner utgjør «andre inntekter» den største enkeltposten, med 51 prosent i 2022. Denne andelen har sunket gradvis fra 55 prosent i 2013. For de private institusjonene er eksamens- og studieavgifter en viktig del av «andre inntekter», dette er omtalt i kapittel 4.4 under. For de statlige institusjonene økte «annen bidrags- og oppdragsfinansiering» med nesten én milliard kroner i 2022, og utgjør nå 9 prosent av de samlede driftsinntektene. For de private institusjonene utgjorde denne inntektsposten 5 prosent av samlede driftsinntekter i 2022, det samme som året før.</w:t>
      </w:r>
    </w:p>
    <w:p w14:paraId="06ECFC8C" w14:textId="346FD530" w:rsidR="008A083C" w:rsidRDefault="008A083C" w:rsidP="00AE4B98">
      <w:pPr>
        <w:pStyle w:val="Overskrift3"/>
      </w:pPr>
      <w:bookmarkStart w:id="191" w:name="_Toc134792755"/>
      <w:r w:rsidRPr="008A083C">
        <w:t>Studie- og eksamensavgifter ved private høyskoler</w:t>
      </w:r>
      <w:bookmarkEnd w:id="191"/>
    </w:p>
    <w:p w14:paraId="67654B62" w14:textId="3A64286E" w:rsidR="00865882" w:rsidRDefault="00865882" w:rsidP="00865882">
      <w:r>
        <w:t xml:space="preserve">Private høyskoler har mulighet til å ta studie- og eksamensavgifter fra studentene. </w:t>
      </w:r>
      <w:r w:rsidR="00AF7581">
        <w:t>Totalt</w:t>
      </w:r>
      <w:r>
        <w:t xml:space="preserve"> mottok de private institusjonene </w:t>
      </w:r>
      <w:r w:rsidR="007B5253">
        <w:t>rundt 2,3</w:t>
      </w:r>
      <w:r>
        <w:t xml:space="preserve"> milliarder kroner i studie- og eksamensavgifter i 202</w:t>
      </w:r>
      <w:r w:rsidR="007B5253">
        <w:t>2</w:t>
      </w:r>
      <w:r>
        <w:t xml:space="preserve">. </w:t>
      </w:r>
      <w:r w:rsidR="004202B7">
        <w:t xml:space="preserve">Studie- og eksamensavgifter utgjør </w:t>
      </w:r>
      <w:r w:rsidR="00E568AB">
        <w:t xml:space="preserve">litt under </w:t>
      </w:r>
      <w:r w:rsidR="00B87A90">
        <w:t>50 prosent av driftsinntekte</w:t>
      </w:r>
      <w:r w:rsidR="007B648F">
        <w:t>ne til de private høyskolene</w:t>
      </w:r>
      <w:r w:rsidR="00756943">
        <w:t xml:space="preserve"> samlet sett</w:t>
      </w:r>
      <w:r w:rsidR="00811B1F">
        <w:t>. Her er det imidlertid</w:t>
      </w:r>
      <w:r w:rsidR="00AF666A">
        <w:t xml:space="preserve"> store forskjeller mellom institusjon</w:t>
      </w:r>
      <w:r w:rsidR="00F85CEC">
        <w:t xml:space="preserve">ene, </w:t>
      </w:r>
      <w:r w:rsidR="00F85CEC">
        <w:lastRenderedPageBreak/>
        <w:t xml:space="preserve">se </w:t>
      </w:r>
      <w:proofErr w:type="spellStart"/>
      <w:r w:rsidR="00F85CEC">
        <w:t>vedleggstabell</w:t>
      </w:r>
      <w:proofErr w:type="spellEnd"/>
      <w:r w:rsidR="00F85CEC">
        <w:t xml:space="preserve"> </w:t>
      </w:r>
      <w:hyperlink r:id="rId132" w:history="1">
        <w:r w:rsidR="00F85CEC" w:rsidRPr="00A8423A">
          <w:rPr>
            <w:rStyle w:val="Hyperkobling"/>
          </w:rPr>
          <w:t>V4.3</w:t>
        </w:r>
      </w:hyperlink>
      <w:r w:rsidR="00F85CEC">
        <w:t xml:space="preserve"> for tidsserie.</w:t>
      </w:r>
      <w:r w:rsidR="00C15490">
        <w:t xml:space="preserve"> </w:t>
      </w:r>
      <w:r w:rsidR="00CA5ABC">
        <w:t>Disse forskjellene henger naturlig nok tett sammen med forskjelle</w:t>
      </w:r>
      <w:r w:rsidR="00BD0C25">
        <w:t>r</w:t>
      </w:r>
      <w:r w:rsidR="00CA5ABC">
        <w:t xml:space="preserve"> i </w:t>
      </w:r>
      <w:r w:rsidR="006A6912">
        <w:t xml:space="preserve">selve </w:t>
      </w:r>
      <w:r w:rsidR="000359F1">
        <w:t xml:space="preserve">størrelsen </w:t>
      </w:r>
      <w:r w:rsidR="009E4078">
        <w:t xml:space="preserve">på </w:t>
      </w:r>
      <w:r w:rsidR="00D77E3E">
        <w:t>avgiftene per student</w:t>
      </w:r>
      <w:r w:rsidR="005430E8">
        <w:t xml:space="preserve"> (se </w:t>
      </w:r>
      <w:r w:rsidR="009D4BFB">
        <w:fldChar w:fldCharType="begin"/>
      </w:r>
      <w:r w:rsidR="009D4BFB">
        <w:instrText xml:space="preserve"> REF  _Ref133245604 \* Lower \h </w:instrText>
      </w:r>
      <w:r w:rsidR="009D4BFB">
        <w:fldChar w:fldCharType="separate"/>
      </w:r>
      <w:r w:rsidR="00F262EF">
        <w:t xml:space="preserve">figur </w:t>
      </w:r>
      <w:r w:rsidR="00F262EF">
        <w:rPr>
          <w:noProof/>
        </w:rPr>
        <w:t>4</w:t>
      </w:r>
      <w:r w:rsidR="00F262EF">
        <w:t>.</w:t>
      </w:r>
      <w:r w:rsidR="00F262EF">
        <w:rPr>
          <w:noProof/>
        </w:rPr>
        <w:t>2</w:t>
      </w:r>
      <w:r w:rsidR="009D4BFB">
        <w:fldChar w:fldCharType="end"/>
      </w:r>
      <w:r w:rsidR="005430E8">
        <w:t>).</w:t>
      </w:r>
    </w:p>
    <w:p w14:paraId="6C83026B" w14:textId="71A852A0" w:rsidR="007808EB" w:rsidRPr="00865882" w:rsidRDefault="007808EB" w:rsidP="00865882">
      <w:r>
        <w:t>I gjennomsnitt mottok de private institusjonene 46</w:t>
      </w:r>
      <w:r w:rsidR="00660F00">
        <w:t> </w:t>
      </w:r>
      <w:r>
        <w:t>400 kroner i studie- og eksamensavgifter per student i 202</w:t>
      </w:r>
      <w:r w:rsidR="00C41EEE">
        <w:t>2</w:t>
      </w:r>
      <w:r>
        <w:t>, mot 4</w:t>
      </w:r>
      <w:r w:rsidR="00C41EEE">
        <w:t>3 </w:t>
      </w:r>
      <w:r>
        <w:t>800 kroner i 202</w:t>
      </w:r>
      <w:r w:rsidR="00C41EEE">
        <w:t>1</w:t>
      </w:r>
      <w:r>
        <w:t>.</w:t>
      </w:r>
      <w:r w:rsidR="00E45008">
        <w:t xml:space="preserve"> </w:t>
      </w:r>
      <w:r w:rsidR="00C63E0D">
        <w:t xml:space="preserve">Imidlertid </w:t>
      </w:r>
      <w:r w:rsidR="001827BE">
        <w:t xml:space="preserve">ser vi </w:t>
      </w:r>
      <w:r w:rsidR="00477D4A">
        <w:t>av</w:t>
      </w:r>
      <w:r w:rsidR="001827BE">
        <w:t xml:space="preserve"> figur 4.2 at</w:t>
      </w:r>
      <w:r w:rsidR="00C63E0D">
        <w:t xml:space="preserve"> variasjonene mellom institusjonene</w:t>
      </w:r>
      <w:r w:rsidR="001827BE">
        <w:t xml:space="preserve"> er</w:t>
      </w:r>
      <w:r w:rsidR="00C63E0D">
        <w:t xml:space="preserve"> svært store</w:t>
      </w:r>
      <w:r w:rsidR="00BF51B8">
        <w:t xml:space="preserve">. </w:t>
      </w:r>
      <w:r w:rsidR="009827EA">
        <w:t xml:space="preserve">I det øvre sjiktet finner vi </w:t>
      </w:r>
      <w:r w:rsidR="00BF51B8">
        <w:t xml:space="preserve">BI og </w:t>
      </w:r>
      <w:proofErr w:type="spellStart"/>
      <w:r w:rsidR="00BF51B8">
        <w:t>HFDK</w:t>
      </w:r>
      <w:proofErr w:type="spellEnd"/>
      <w:r w:rsidR="009827EA">
        <w:t>, som begge ligger</w:t>
      </w:r>
      <w:r w:rsidR="00FE3FA0">
        <w:t xml:space="preserve"> </w:t>
      </w:r>
      <w:r w:rsidR="00BF51B8">
        <w:t xml:space="preserve">over </w:t>
      </w:r>
      <w:r w:rsidR="007C1AC1">
        <w:t>60</w:t>
      </w:r>
      <w:r w:rsidR="008376E7">
        <w:t> </w:t>
      </w:r>
      <w:r w:rsidR="007C1AC1">
        <w:t>000</w:t>
      </w:r>
      <w:r w:rsidR="008376E7">
        <w:t xml:space="preserve"> kroner per student</w:t>
      </w:r>
      <w:r w:rsidR="00F947FA">
        <w:t xml:space="preserve">, samt HK </w:t>
      </w:r>
      <w:r w:rsidR="00F07048">
        <w:t>med nesten 55</w:t>
      </w:r>
      <w:r w:rsidR="008376E7">
        <w:t> </w:t>
      </w:r>
      <w:r w:rsidR="00596726">
        <w:t>000</w:t>
      </w:r>
      <w:r w:rsidR="008376E7">
        <w:t xml:space="preserve"> kroner</w:t>
      </w:r>
      <w:r w:rsidR="00596726">
        <w:t>.</w:t>
      </w:r>
      <w:r w:rsidR="008376E7">
        <w:t xml:space="preserve"> </w:t>
      </w:r>
      <w:r w:rsidR="00730B48">
        <w:t xml:space="preserve">Lavest ligger </w:t>
      </w:r>
      <w:proofErr w:type="spellStart"/>
      <w:r w:rsidR="00237628">
        <w:t>DMMH</w:t>
      </w:r>
      <w:proofErr w:type="spellEnd"/>
      <w:r w:rsidR="00237628">
        <w:t xml:space="preserve"> </w:t>
      </w:r>
      <w:r w:rsidR="00E14DE7">
        <w:t xml:space="preserve">med </w:t>
      </w:r>
      <w:r w:rsidR="00394485">
        <w:t xml:space="preserve">4 900 og MF med </w:t>
      </w:r>
      <w:r w:rsidR="00250489">
        <w:t xml:space="preserve">6 400 </w:t>
      </w:r>
      <w:r w:rsidR="00AE196E">
        <w:t>kroner per student.</w:t>
      </w:r>
      <w:r w:rsidR="00846DDB">
        <w:t xml:space="preserve"> Variasjonen må ses i sammenheng med</w:t>
      </w:r>
      <w:r w:rsidR="00934DCE">
        <w:t xml:space="preserve"> hvor stor andel </w:t>
      </w:r>
      <w:r w:rsidR="00F234CE">
        <w:t xml:space="preserve">statstilskudd utgjør av institusjonenes samlede finansiering, som omtalt </w:t>
      </w:r>
      <w:r w:rsidR="00E301E4">
        <w:t xml:space="preserve">i kapittel </w:t>
      </w:r>
      <w:r w:rsidR="00E301E4">
        <w:fldChar w:fldCharType="begin"/>
      </w:r>
      <w:r w:rsidR="00E301E4">
        <w:instrText xml:space="preserve"> REF _Ref134630699 \r \h </w:instrText>
      </w:r>
      <w:r w:rsidR="00E301E4">
        <w:fldChar w:fldCharType="separate"/>
      </w:r>
      <w:r w:rsidR="00F262EF">
        <w:t>4.2</w:t>
      </w:r>
      <w:r w:rsidR="00E301E4">
        <w:fldChar w:fldCharType="end"/>
      </w:r>
      <w:r w:rsidR="00E301E4">
        <w:t>.</w:t>
      </w:r>
    </w:p>
    <w:p w14:paraId="57316759" w14:textId="7378DFF4" w:rsidR="00AF62DB" w:rsidRDefault="00AF62DB" w:rsidP="00AF62DB">
      <w:pPr>
        <w:pStyle w:val="Bildetekst"/>
        <w:keepNext/>
      </w:pPr>
      <w:bookmarkStart w:id="192" w:name="_Ref133245604"/>
      <w:bookmarkStart w:id="193" w:name="_Toc134792802"/>
      <w:r>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2</w:t>
      </w:r>
      <w:r>
        <w:fldChar w:fldCharType="end"/>
      </w:r>
      <w:bookmarkEnd w:id="192"/>
      <w:r>
        <w:t xml:space="preserve"> Studie- og eksamensavgifter per registrerte student for private høyskoler 202</w:t>
      </w:r>
      <w:r w:rsidR="00584699">
        <w:t>2</w:t>
      </w:r>
      <w:r>
        <w:t>. 1000 kr</w:t>
      </w:r>
      <w:bookmarkEnd w:id="193"/>
    </w:p>
    <w:p w14:paraId="68E64B0D" w14:textId="69B2413B" w:rsidR="00122F19" w:rsidRDefault="00122F19" w:rsidP="00122F19">
      <w:r>
        <w:rPr>
          <w:noProof/>
        </w:rPr>
        <w:drawing>
          <wp:inline distT="0" distB="0" distL="0" distR="0" wp14:anchorId="767D69D8" wp14:editId="0CA54A8B">
            <wp:extent cx="5184140" cy="3318510"/>
            <wp:effectExtent l="0" t="0" r="16510" b="15240"/>
            <wp:docPr id="19" name="Diagram 19">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75F0CC0" w14:textId="21CB873C" w:rsidR="00122F19" w:rsidRPr="00122F19" w:rsidRDefault="00122F19" w:rsidP="00BA373B">
      <w:pPr>
        <w:pStyle w:val="Kilde"/>
        <w:rPr>
          <w:b w:val="0"/>
        </w:rPr>
      </w:pPr>
      <w:r w:rsidRPr="00122F19">
        <w:t xml:space="preserve">Kilde: </w:t>
      </w:r>
      <w:proofErr w:type="spellStart"/>
      <w:r w:rsidRPr="00122F19">
        <w:t>DBH</w:t>
      </w:r>
      <w:proofErr w:type="spellEnd"/>
    </w:p>
    <w:p w14:paraId="65DCC4DE" w14:textId="77777777" w:rsidR="00C10451" w:rsidRDefault="00C10451">
      <w:pPr>
        <w:rPr>
          <w:rFonts w:asciiTheme="majorHAnsi" w:eastAsiaTheme="majorEastAsia" w:hAnsiTheme="majorHAnsi" w:cstheme="majorBidi"/>
          <w:b/>
          <w:color w:val="362683"/>
          <w:sz w:val="24"/>
          <w:szCs w:val="26"/>
        </w:rPr>
      </w:pPr>
      <w:r>
        <w:br w:type="page"/>
      </w:r>
    </w:p>
    <w:p w14:paraId="1B63019F" w14:textId="39C42F3F" w:rsidR="008A083C" w:rsidRDefault="000E1214" w:rsidP="00AE4B98">
      <w:pPr>
        <w:pStyle w:val="Overskrift3"/>
      </w:pPr>
      <w:bookmarkStart w:id="194" w:name="_Ref129858070"/>
      <w:bookmarkStart w:id="195" w:name="_Toc134792756"/>
      <w:r w:rsidRPr="000E1214">
        <w:lastRenderedPageBreak/>
        <w:t>Andelen førstestilling</w:t>
      </w:r>
      <w:r w:rsidR="00F451D9">
        <w:t>er</w:t>
      </w:r>
      <w:r w:rsidRPr="000E1214">
        <w:t xml:space="preserve"> blant de </w:t>
      </w:r>
      <w:r w:rsidR="008104B2">
        <w:t>faglig</w:t>
      </w:r>
      <w:r w:rsidRPr="000E1214">
        <w:t xml:space="preserve"> ansatte</w:t>
      </w:r>
      <w:bookmarkEnd w:id="194"/>
      <w:bookmarkEnd w:id="195"/>
    </w:p>
    <w:p w14:paraId="6992FDD7" w14:textId="045F984F" w:rsidR="008E5582" w:rsidRPr="00307E14" w:rsidRDefault="008E5582" w:rsidP="008E5582">
      <w:r w:rsidRPr="00307E14">
        <w:t>Førstestillinger</w:t>
      </w:r>
      <w:r w:rsidRPr="00307E14" w:rsidDel="0081540B">
        <w:t xml:space="preserve"> </w:t>
      </w:r>
      <w:r w:rsidRPr="00307E14">
        <w:t>krever doktorgrad eller tilsvarende, og omfatter følgende: dosent (inkl. høyskole- og undervisningsdosent), forsker (1109, 1110 og 1183), førsteamanuensis, førstelektor, postdoktor og professor</w:t>
      </w:r>
      <w:r w:rsidR="00147164">
        <w:t xml:space="preserve"> </w:t>
      </w:r>
      <w:r w:rsidR="002B4CEC">
        <w:fldChar w:fldCharType="begin"/>
      </w:r>
      <w:r w:rsidR="00F5165C">
        <w:instrText xml:space="preserve"> ADDIN EN.CITE &lt;EndNote&gt;&lt;Cite&gt;&lt;Author&gt;HK-dir&lt;/Author&gt;&lt;Year&gt;2023&lt;/Year&gt;&lt;RecNum&gt;1863&lt;/RecNum&gt;&lt;DisplayText&gt;(HK-dir, 2023)&lt;/DisplayText&gt;&lt;record&gt;&lt;rec-number&gt;1863&lt;/rec-number&gt;&lt;foreign-keys&gt;&lt;key app="EN" db-id="s09wp0wxtwz9aue509w52eagvset90vxefrw" timestamp="1683281324" guid="715df747-7f65-4287-9338-d202d0409206"&gt;1863&lt;/key&gt;&lt;/foreign-keys&gt;&lt;ref-type name="Web Page"&gt;12&lt;/ref-type&gt;&lt;contributors&gt;&lt;authors&gt;&lt;author&gt;HK-dir&lt;/author&gt;&lt;/authors&gt;&lt;/contributors&gt;&lt;titles&gt;&lt;title&gt;Stillingskoder og deres tilknytning til stillingskategorier&lt;/title&gt;&lt;/titles&gt;&lt;volume&gt;2023&lt;/volume&gt;&lt;number&gt;05.05.2023&lt;/number&gt;&lt;dates&gt;&lt;year&gt;2023&lt;/year&gt;&lt;/dates&gt;&lt;urls&gt;&lt;related-urls&gt;&lt;url&gt;https://dbh.hkdir.no/datainnhold/kodeverk/stillingskoder&lt;/url&gt;&lt;/related-urls&gt;&lt;/urls&gt;&lt;/record&gt;&lt;/Cite&gt;&lt;/EndNote&gt;</w:instrText>
      </w:r>
      <w:r w:rsidR="002B4CEC">
        <w:fldChar w:fldCharType="separate"/>
      </w:r>
      <w:r w:rsidR="002B4CEC">
        <w:rPr>
          <w:noProof/>
        </w:rPr>
        <w:t>(HK-dir, 2023)</w:t>
      </w:r>
      <w:r w:rsidR="002B4CEC">
        <w:fldChar w:fldCharType="end"/>
      </w:r>
      <w:r w:rsidRPr="00307E14">
        <w:t xml:space="preserve">. Andelen førstestillinger </w:t>
      </w:r>
      <w:r w:rsidR="006F2350">
        <w:t>kan være et uttrykk for</w:t>
      </w:r>
      <w:r w:rsidRPr="00307E14">
        <w:t xml:space="preserve"> institusjonens kompetanseprofil.</w:t>
      </w:r>
    </w:p>
    <w:p w14:paraId="23D54A3B" w14:textId="3C130D83" w:rsidR="0016685A" w:rsidRDefault="005A4852" w:rsidP="008E5582">
      <w:r>
        <w:fldChar w:fldCharType="begin"/>
      </w:r>
      <w:r>
        <w:instrText xml:space="preserve"> REF _Ref133245744 \h </w:instrText>
      </w:r>
      <w:r>
        <w:fldChar w:fldCharType="separate"/>
      </w:r>
      <w:r w:rsidR="00F262EF">
        <w:t xml:space="preserve">Figur </w:t>
      </w:r>
      <w:r w:rsidR="00F262EF">
        <w:rPr>
          <w:noProof/>
        </w:rPr>
        <w:t>4</w:t>
      </w:r>
      <w:r w:rsidR="00F262EF">
        <w:t>.</w:t>
      </w:r>
      <w:r w:rsidR="00F262EF">
        <w:rPr>
          <w:noProof/>
        </w:rPr>
        <w:t>3</w:t>
      </w:r>
      <w:r>
        <w:fldChar w:fldCharType="end"/>
      </w:r>
      <w:r w:rsidR="008E5582" w:rsidRPr="00307E14">
        <w:t xml:space="preserve"> viser fordelingen av faglig ansatte i ulike stillingskategorier ved universiteter og høyskoler de siste ti årene. </w:t>
      </w:r>
      <w:r w:rsidR="004E10C2">
        <w:t xml:space="preserve">Figuren viser </w:t>
      </w:r>
      <w:r w:rsidR="0013588A">
        <w:t>en stadig vekst i anta</w:t>
      </w:r>
      <w:r w:rsidR="00525308">
        <w:t xml:space="preserve">ll årsverk i </w:t>
      </w:r>
      <w:r w:rsidR="00F052B2">
        <w:t xml:space="preserve">førstestillinger, særlig </w:t>
      </w:r>
      <w:r w:rsidR="00432B1F">
        <w:t>for stillingstypene</w:t>
      </w:r>
      <w:r w:rsidR="00525308">
        <w:t xml:space="preserve"> førsteamanuens</w:t>
      </w:r>
      <w:r w:rsidR="006D0C98">
        <w:t xml:space="preserve">is </w:t>
      </w:r>
      <w:r w:rsidR="00F052B2">
        <w:t>og</w:t>
      </w:r>
      <w:r w:rsidR="006D0C98">
        <w:t xml:space="preserve"> professor</w:t>
      </w:r>
      <w:r w:rsidR="00432B1F">
        <w:t>.</w:t>
      </w:r>
      <w:r w:rsidR="006D0D5E">
        <w:t xml:space="preserve"> </w:t>
      </w:r>
      <w:r w:rsidR="008173AA">
        <w:t xml:space="preserve">Målt som andel av alle faglige årsverk var det en økning i </w:t>
      </w:r>
      <w:r w:rsidR="00464391">
        <w:t xml:space="preserve">førstestillinger fra 70 prosent i 2013 til </w:t>
      </w:r>
      <w:r w:rsidR="00C75F85">
        <w:t>rundt 76 prosent i 2020</w:t>
      </w:r>
      <w:r w:rsidR="00F23388">
        <w:t xml:space="preserve">. Etter 2020 har andelen ligget stabilt. </w:t>
      </w:r>
      <w:r w:rsidR="00C662F8">
        <w:t>En tilsvarende utvikling ser vi for de statlige institusjonene isolert sett. Her økte andelen årsverk i førstestillinger fra 71 prosent i 2013 til 77 prosent i 2020</w:t>
      </w:r>
      <w:r w:rsidR="005F1C0F">
        <w:t xml:space="preserve">, for så </w:t>
      </w:r>
      <w:r w:rsidR="00276303">
        <w:t xml:space="preserve">å </w:t>
      </w:r>
      <w:r w:rsidR="00E37287">
        <w:t>endre seg lite</w:t>
      </w:r>
      <w:r w:rsidR="00276303">
        <w:t xml:space="preserve"> i årene etter det.</w:t>
      </w:r>
      <w:r w:rsidR="00E37287">
        <w:t xml:space="preserve"> Blant de private har vi derimot sett en </w:t>
      </w:r>
      <w:r w:rsidR="007B1B54">
        <w:t>nær</w:t>
      </w:r>
      <w:r w:rsidR="00E37287">
        <w:t xml:space="preserve"> kontinuerlig økning </w:t>
      </w:r>
      <w:r w:rsidR="007B1B54">
        <w:t xml:space="preserve">fra </w:t>
      </w:r>
      <w:r w:rsidR="0095620F">
        <w:t>56 prosent i 2013 til 64 prosent i 2022.</w:t>
      </w:r>
      <w:r w:rsidR="00870C0C">
        <w:t xml:space="preserve"> Se </w:t>
      </w:r>
      <w:proofErr w:type="spellStart"/>
      <w:r w:rsidR="00870C0C">
        <w:t>vedleggstabell</w:t>
      </w:r>
      <w:proofErr w:type="spellEnd"/>
      <w:r w:rsidR="00870C0C">
        <w:t xml:space="preserve"> </w:t>
      </w:r>
      <w:hyperlink r:id="rId134" w:history="1">
        <w:r w:rsidR="00870C0C" w:rsidRPr="00506AF6">
          <w:rPr>
            <w:rStyle w:val="Hyperkobling"/>
          </w:rPr>
          <w:t>V4.14</w:t>
        </w:r>
      </w:hyperlink>
      <w:r w:rsidR="00870C0C">
        <w:t xml:space="preserve"> og </w:t>
      </w:r>
      <w:hyperlink r:id="rId135" w:history="1">
        <w:r w:rsidR="00870C0C" w:rsidRPr="00872802">
          <w:rPr>
            <w:rStyle w:val="Hyperkobling"/>
          </w:rPr>
          <w:t>V4.15</w:t>
        </w:r>
      </w:hyperlink>
      <w:r w:rsidR="00870C0C">
        <w:t xml:space="preserve"> for tidsserier </w:t>
      </w:r>
      <w:r w:rsidR="00E86853">
        <w:t xml:space="preserve">med andel og antall årsverk i spesifikke stillingstyper </w:t>
      </w:r>
      <w:r w:rsidR="00271112">
        <w:t>og førstestillinger per institusjon.</w:t>
      </w:r>
    </w:p>
    <w:p w14:paraId="7A125203" w14:textId="31EF2D49" w:rsidR="0016685A" w:rsidRDefault="0016685A" w:rsidP="0016685A">
      <w:pPr>
        <w:pStyle w:val="Bildetekst"/>
        <w:keepNext/>
      </w:pPr>
      <w:bookmarkStart w:id="196" w:name="_Ref133245744"/>
      <w:bookmarkStart w:id="197" w:name="_Toc134792803"/>
      <w:r>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3</w:t>
      </w:r>
      <w:r>
        <w:fldChar w:fldCharType="end"/>
      </w:r>
      <w:bookmarkEnd w:id="196"/>
      <w:r>
        <w:t xml:space="preserve"> </w:t>
      </w:r>
      <w:r w:rsidRPr="007D1277">
        <w:t xml:space="preserve">Faglig ansatte fordelt på stillinger 2013–2022. </w:t>
      </w:r>
      <w:r w:rsidR="00443B19">
        <w:t>Antall</w:t>
      </w:r>
      <w:bookmarkEnd w:id="197"/>
    </w:p>
    <w:p w14:paraId="29422505" w14:textId="7EC6987F" w:rsidR="008E5582" w:rsidRDefault="00B20DD6" w:rsidP="008E5582">
      <w:r>
        <w:rPr>
          <w:noProof/>
        </w:rPr>
        <w:drawing>
          <wp:inline distT="0" distB="0" distL="0" distR="0" wp14:anchorId="5B6A4F28" wp14:editId="71197A45">
            <wp:extent cx="5013960" cy="3265170"/>
            <wp:effectExtent l="0" t="0" r="15240" b="11430"/>
            <wp:docPr id="1" name="Diagram 1">
              <a:extLst xmlns:a="http://schemas.openxmlformats.org/drawingml/2006/main">
                <a:ext uri="{FF2B5EF4-FFF2-40B4-BE49-F238E27FC236}">
                  <a16:creationId xmlns:a16="http://schemas.microsoft.com/office/drawing/2014/main" id="{B7BABCA7-5E39-425A-A7C3-7E3127556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208572D7" w14:textId="22C0F824" w:rsidR="00780588" w:rsidRDefault="00780588" w:rsidP="00E37338">
      <w:pPr>
        <w:pStyle w:val="Merknad"/>
      </w:pPr>
      <w:r>
        <w:t>Faglige stillinger omfatter undervisnings- og forskerstillinger, samt postdoktor og professor II. Stipendiater regnes ikke med.</w:t>
      </w:r>
      <w:r w:rsidR="008114DF">
        <w:t xml:space="preserve"> </w:t>
      </w:r>
      <w:r w:rsidR="004E5D99">
        <w:t xml:space="preserve">«Øvrige </w:t>
      </w:r>
      <w:proofErr w:type="spellStart"/>
      <w:r w:rsidR="004E5D99">
        <w:t>UF</w:t>
      </w:r>
      <w:proofErr w:type="spellEnd"/>
      <w:r w:rsidR="004E5D99">
        <w:t xml:space="preserve">-stillinger» </w:t>
      </w:r>
      <w:r w:rsidR="00234481">
        <w:t xml:space="preserve">omfatter høgskolelærer, høgskolelektor, universitetslektor, amanuensis, </w:t>
      </w:r>
      <w:r w:rsidR="00AC5095">
        <w:t>forsker (</w:t>
      </w:r>
      <w:r w:rsidR="00B5057F">
        <w:t xml:space="preserve">1108) </w:t>
      </w:r>
      <w:r w:rsidR="0087455E">
        <w:t>og universitetslektor II.</w:t>
      </w:r>
    </w:p>
    <w:p w14:paraId="7E9AE70B" w14:textId="41D12FAA" w:rsidR="00E37338" w:rsidRDefault="00E37338" w:rsidP="00E37338">
      <w:pPr>
        <w:pStyle w:val="Kilde"/>
      </w:pPr>
      <w:r>
        <w:t xml:space="preserve">Kilde: </w:t>
      </w:r>
      <w:proofErr w:type="spellStart"/>
      <w:r>
        <w:t>DBH</w:t>
      </w:r>
      <w:proofErr w:type="spellEnd"/>
    </w:p>
    <w:p w14:paraId="3139FFA5" w14:textId="356D4A42" w:rsidR="00670FF4" w:rsidRPr="00307E14" w:rsidRDefault="00440CA9" w:rsidP="00670FF4">
      <w:r>
        <w:t xml:space="preserve">Blant de enkelte institusjonene har </w:t>
      </w:r>
      <w:r w:rsidR="00670FF4" w:rsidRPr="00307E14">
        <w:t xml:space="preserve">NHH og </w:t>
      </w:r>
      <w:proofErr w:type="spellStart"/>
      <w:r w:rsidR="00670FF4" w:rsidRPr="00307E14">
        <w:t>HFDK</w:t>
      </w:r>
      <w:proofErr w:type="spellEnd"/>
      <w:r w:rsidR="00670FF4" w:rsidRPr="00307E14">
        <w:t xml:space="preserve"> </w:t>
      </w:r>
      <w:r w:rsidR="00670FF4" w:rsidRPr="00307E14" w:rsidDel="00452FA5">
        <w:t xml:space="preserve">høyest andel </w:t>
      </w:r>
      <w:r w:rsidR="00A814DC">
        <w:t xml:space="preserve">årsverk </w:t>
      </w:r>
      <w:r w:rsidR="0022688C">
        <w:t>i</w:t>
      </w:r>
      <w:r w:rsidR="00670FF4" w:rsidRPr="00307E14" w:rsidDel="00452FA5">
        <w:t xml:space="preserve"> førstestillinger </w:t>
      </w:r>
      <w:r w:rsidR="00670FF4" w:rsidRPr="00307E14">
        <w:t>med 94 prosent</w:t>
      </w:r>
      <w:r w:rsidR="00725F0F">
        <w:t>. Ved</w:t>
      </w:r>
      <w:r w:rsidR="00670FF4" w:rsidRPr="00307E14" w:rsidDel="009277CF">
        <w:t xml:space="preserve"> </w:t>
      </w:r>
      <w:proofErr w:type="spellStart"/>
      <w:r w:rsidR="00670FF4" w:rsidRPr="00307E14" w:rsidDel="009277CF">
        <w:t>HFDK</w:t>
      </w:r>
      <w:proofErr w:type="spellEnd"/>
      <w:r w:rsidR="00670FF4" w:rsidRPr="00307E14" w:rsidDel="009277CF">
        <w:t xml:space="preserve"> </w:t>
      </w:r>
      <w:r w:rsidR="00670FF4" w:rsidRPr="00307E14">
        <w:t>utgjør dette</w:t>
      </w:r>
      <w:r w:rsidR="00725F0F">
        <w:t xml:space="preserve"> imidlertid</w:t>
      </w:r>
      <w:r w:rsidR="009277CF">
        <w:t xml:space="preserve"> </w:t>
      </w:r>
      <w:r w:rsidR="00670FF4" w:rsidRPr="00307E14">
        <w:t xml:space="preserve">bare to årsverk. Videre har UiO, UiB og </w:t>
      </w:r>
      <w:proofErr w:type="spellStart"/>
      <w:r w:rsidR="00670FF4" w:rsidRPr="00307E14">
        <w:t>NMBU</w:t>
      </w:r>
      <w:proofErr w:type="spellEnd"/>
      <w:r w:rsidR="00670FF4" w:rsidRPr="00307E14">
        <w:t xml:space="preserve"> alle en andel førstestillinger på rundt 90 prosent</w:t>
      </w:r>
      <w:r w:rsidR="006A2BB0">
        <w:t>.</w:t>
      </w:r>
      <w:r w:rsidR="00670FF4" w:rsidRPr="00307E14">
        <w:t xml:space="preserve"> For disse</w:t>
      </w:r>
      <w:r w:rsidR="00EC2A4B">
        <w:t xml:space="preserve"> større</w:t>
      </w:r>
      <w:r w:rsidR="00670FF4" w:rsidRPr="00307E14">
        <w:t xml:space="preserve"> institusjonene har andelen vært stabil det siste tiåret.</w:t>
      </w:r>
    </w:p>
    <w:p w14:paraId="19112E2B" w14:textId="695CD133" w:rsidR="00670FF4" w:rsidRPr="00307E14" w:rsidRDefault="00670FF4" w:rsidP="00670FF4">
      <w:r w:rsidRPr="00307E14">
        <w:t>Det siste tiåret er det</w:t>
      </w:r>
      <w:r w:rsidRPr="00307E14" w:rsidDel="003E4F1F">
        <w:t xml:space="preserve"> </w:t>
      </w:r>
      <w:r w:rsidR="003E4F1F">
        <w:t>framfor alt</w:t>
      </w:r>
      <w:r w:rsidR="003E4F1F" w:rsidRPr="00307E14">
        <w:t xml:space="preserve"> </w:t>
      </w:r>
      <w:r w:rsidRPr="00307E14">
        <w:t>høyskoler og nyere universitet</w:t>
      </w:r>
      <w:r w:rsidR="000A138C">
        <w:t>er</w:t>
      </w:r>
      <w:r w:rsidRPr="00307E14">
        <w:t xml:space="preserve"> som har hatt sterk vekst i andel førstestillinger. </w:t>
      </w:r>
      <w:proofErr w:type="spellStart"/>
      <w:r w:rsidRPr="00307E14">
        <w:t>HINN</w:t>
      </w:r>
      <w:proofErr w:type="spellEnd"/>
      <w:r w:rsidRPr="00307E14">
        <w:t xml:space="preserve"> har hatt en særlig stor økning det siste året, fr</w:t>
      </w:r>
      <w:r>
        <w:t>a</w:t>
      </w:r>
      <w:r w:rsidRPr="00307E14">
        <w:t xml:space="preserve"> 59 til 65 prosent</w:t>
      </w:r>
      <w:r w:rsidR="00817A33">
        <w:t xml:space="preserve">, noe som i antall utgjør et hopp fra </w:t>
      </w:r>
      <w:r w:rsidR="00E37FC1">
        <w:t>389 til 448</w:t>
      </w:r>
      <w:r w:rsidRPr="00307E14">
        <w:t>.</w:t>
      </w:r>
      <w:r w:rsidRPr="00612E89">
        <w:t xml:space="preserve"> </w:t>
      </w:r>
      <w:r>
        <w:t>HVO er den statlige institusjonen med lavest andel førstestillinger (49 prosent).</w:t>
      </w:r>
      <w:r w:rsidR="002939D9">
        <w:t xml:space="preserve"> </w:t>
      </w:r>
      <w:r w:rsidR="00A1308F">
        <w:t xml:space="preserve">Det er </w:t>
      </w:r>
      <w:r w:rsidR="00B0149C">
        <w:t>stor variasjon i tallene mellom ulik</w:t>
      </w:r>
      <w:r w:rsidR="00C90A9D">
        <w:t xml:space="preserve">e institusjoner, men også mellom </w:t>
      </w:r>
      <w:r w:rsidR="004E46AE">
        <w:t xml:space="preserve">ulike fakulteter ved samme institusjon. </w:t>
      </w:r>
      <w:r w:rsidR="000E0647">
        <w:t>Den gjennomgående tendensen</w:t>
      </w:r>
      <w:r w:rsidR="00886B8C">
        <w:t xml:space="preserve"> er </w:t>
      </w:r>
      <w:r w:rsidR="00886B8C">
        <w:lastRenderedPageBreak/>
        <w:t xml:space="preserve">at andelen </w:t>
      </w:r>
      <w:r w:rsidR="007E63A3">
        <w:t>førstest</w:t>
      </w:r>
      <w:r w:rsidR="00042F16">
        <w:t xml:space="preserve">illinger </w:t>
      </w:r>
      <w:r w:rsidR="00886B8C">
        <w:t xml:space="preserve">er </w:t>
      </w:r>
      <w:r w:rsidR="00170F9D">
        <w:t xml:space="preserve">vesentlig høyere ved </w:t>
      </w:r>
      <w:r w:rsidR="00E97B4E">
        <w:t xml:space="preserve">fakulteter for </w:t>
      </w:r>
      <w:r w:rsidR="007419F4">
        <w:t xml:space="preserve">tekniske/naturvitenskapelige fag enn </w:t>
      </w:r>
      <w:r w:rsidR="003C6F52">
        <w:t xml:space="preserve">ved </w:t>
      </w:r>
      <w:r w:rsidR="007419F4">
        <w:t>fakulteter for helse-</w:t>
      </w:r>
      <w:r w:rsidR="00F55701">
        <w:t xml:space="preserve"> og </w:t>
      </w:r>
      <w:r w:rsidR="007419F4">
        <w:t>sosial</w:t>
      </w:r>
      <w:r w:rsidR="007F58C3">
        <w:t>vitenskap</w:t>
      </w:r>
      <w:r w:rsidR="007419F4">
        <w:t>.</w:t>
      </w:r>
      <w:r w:rsidR="00FA1DAE">
        <w:rPr>
          <w:rStyle w:val="Fotnotereferanse"/>
        </w:rPr>
        <w:footnoteReference w:id="17"/>
      </w:r>
      <w:r w:rsidR="00957DBB">
        <w:t xml:space="preserve"> V</w:t>
      </w:r>
      <w:r w:rsidR="005275DF">
        <w:t xml:space="preserve">ed flere institusjoner (NU, </w:t>
      </w:r>
      <w:proofErr w:type="spellStart"/>
      <w:r w:rsidR="00EB7B7A">
        <w:t>HVL</w:t>
      </w:r>
      <w:proofErr w:type="spellEnd"/>
      <w:r w:rsidR="00EB7B7A">
        <w:t xml:space="preserve">, </w:t>
      </w:r>
      <w:proofErr w:type="spellStart"/>
      <w:r w:rsidR="00EB7B7A">
        <w:t>HINN</w:t>
      </w:r>
      <w:proofErr w:type="spellEnd"/>
      <w:r w:rsidR="00EB7B7A">
        <w:t xml:space="preserve">, </w:t>
      </w:r>
      <w:proofErr w:type="spellStart"/>
      <w:r w:rsidR="00EB7B7A">
        <w:t>USN</w:t>
      </w:r>
      <w:proofErr w:type="spellEnd"/>
      <w:r w:rsidR="00EB7B7A">
        <w:t>) ligg</w:t>
      </w:r>
      <w:r w:rsidR="00623671">
        <w:t xml:space="preserve">er andelen </w:t>
      </w:r>
      <w:r w:rsidR="00905037">
        <w:t xml:space="preserve">førstestillinger </w:t>
      </w:r>
      <w:r w:rsidR="00623671">
        <w:t>på helse-/sosialvitenskapelige fakulteter under eller like over 50 prosent</w:t>
      </w:r>
      <w:r w:rsidR="00DF21CE">
        <w:t xml:space="preserve">, mens </w:t>
      </w:r>
      <w:r w:rsidR="005A0851">
        <w:t xml:space="preserve">den er </w:t>
      </w:r>
      <w:r w:rsidR="00056B28">
        <w:t>på mellom 70 og 86 prosent</w:t>
      </w:r>
      <w:r w:rsidR="00EA084C">
        <w:t xml:space="preserve"> på tekniske/naturvitenskapelige fakulteter</w:t>
      </w:r>
      <w:r w:rsidR="000A1A1C">
        <w:t>.</w:t>
      </w:r>
      <w:r w:rsidR="00FB27DE">
        <w:t xml:space="preserve"> </w:t>
      </w:r>
      <w:r w:rsidR="00084DEE">
        <w:t xml:space="preserve">NU og </w:t>
      </w:r>
      <w:proofErr w:type="spellStart"/>
      <w:r w:rsidR="00084DEE">
        <w:t>HVL</w:t>
      </w:r>
      <w:proofErr w:type="spellEnd"/>
      <w:r w:rsidR="00084DEE">
        <w:t>,</w:t>
      </w:r>
      <w:r w:rsidR="00CF0C33">
        <w:t xml:space="preserve"> som har den laveste andelen </w:t>
      </w:r>
      <w:r w:rsidR="002B1D87">
        <w:t>førstestillinger på helse-/sosialvitenskapelige fakultete</w:t>
      </w:r>
      <w:r w:rsidR="00084DEE">
        <w:t xml:space="preserve">r med 41 og 45 prosent, har hatt en nedgang </w:t>
      </w:r>
      <w:r w:rsidR="006D1A36">
        <w:t xml:space="preserve">på </w:t>
      </w:r>
      <w:r w:rsidR="003A0D85">
        <w:t>henholdsvis 6 og 5 prosentpoeng siden 2021</w:t>
      </w:r>
      <w:r w:rsidR="007F0E76">
        <w:t xml:space="preserve">. </w:t>
      </w:r>
      <w:r w:rsidR="005F0E3A">
        <w:t xml:space="preserve">I samme periode har </w:t>
      </w:r>
      <w:proofErr w:type="spellStart"/>
      <w:r w:rsidR="007F0E76">
        <w:t>HINN</w:t>
      </w:r>
      <w:proofErr w:type="spellEnd"/>
      <w:r w:rsidR="007F0E76">
        <w:t xml:space="preserve"> </w:t>
      </w:r>
      <w:r w:rsidR="004B36CA">
        <w:t xml:space="preserve">økt andelen </w:t>
      </w:r>
      <w:r w:rsidR="00D6544A">
        <w:t>fra 45 til 52 prosent.</w:t>
      </w:r>
    </w:p>
    <w:p w14:paraId="4324D733" w14:textId="2ECD5C2F" w:rsidR="00670FF4" w:rsidRDefault="00670FF4" w:rsidP="00670FF4">
      <w:r>
        <w:t xml:space="preserve">Når vi ser på antall </w:t>
      </w:r>
      <w:r w:rsidR="00A82CD6">
        <w:t xml:space="preserve">årsverk i </w:t>
      </w:r>
      <w:r>
        <w:t>førstestillinger</w:t>
      </w:r>
      <w:r w:rsidR="007A74CD">
        <w:t xml:space="preserve"> samlet per institusjon</w:t>
      </w:r>
      <w:r>
        <w:t xml:space="preserve">, utmerker </w:t>
      </w:r>
      <w:proofErr w:type="spellStart"/>
      <w:r>
        <w:t>OsloMet</w:t>
      </w:r>
      <w:proofErr w:type="spellEnd"/>
      <w:r>
        <w:t xml:space="preserve">, </w:t>
      </w:r>
      <w:proofErr w:type="spellStart"/>
      <w:r>
        <w:t>HVL</w:t>
      </w:r>
      <w:proofErr w:type="spellEnd"/>
      <w:r>
        <w:t xml:space="preserve"> og </w:t>
      </w:r>
      <w:proofErr w:type="spellStart"/>
      <w:r>
        <w:t>HINN</w:t>
      </w:r>
      <w:proofErr w:type="spellEnd"/>
      <w:r>
        <w:t xml:space="preserve"> seg blant de statlige institusjonene med en dobling i perioden 2013 til 2022. Blant de private </w:t>
      </w:r>
      <w:r w:rsidR="00F31D85">
        <w:t>har</w:t>
      </w:r>
      <w:r>
        <w:t xml:space="preserve"> både HK og VID hatt en økning på nesten 100 ansatte i førstestillinger siden 2013</w:t>
      </w:r>
      <w:r w:rsidR="009C4479">
        <w:t>. Det</w:t>
      </w:r>
      <w:r w:rsidR="00EC58C8">
        <w:t xml:space="preserve"> er en kraftig økning </w:t>
      </w:r>
      <w:r w:rsidR="001735EB">
        <w:t xml:space="preserve">ettersom </w:t>
      </w:r>
      <w:r>
        <w:t>det totale antallet ansatte i førstestillinger er 160 for HK og 154 for VID. Målt i andel har HK gått opp fra 50 til 55 prosent og VID fra 40 til 59 prosent.</w:t>
      </w:r>
      <w:r w:rsidR="00AF5902">
        <w:t xml:space="preserve"> </w:t>
      </w:r>
      <w:r w:rsidR="00AE3F33">
        <w:t xml:space="preserve">Både HK og VID har </w:t>
      </w:r>
      <w:r w:rsidR="00856CD7">
        <w:t>universitetsambisjoner.</w:t>
      </w:r>
    </w:p>
    <w:p w14:paraId="0235BDD0" w14:textId="0054B28C" w:rsidR="00257EF2" w:rsidRDefault="00257EF2" w:rsidP="00670FF4">
      <w:r>
        <w:t>Det er natu</w:t>
      </w:r>
      <w:r w:rsidR="0061765C">
        <w:t xml:space="preserve">rlig å se </w:t>
      </w:r>
      <w:r w:rsidR="0026393C">
        <w:t>veksten i</w:t>
      </w:r>
      <w:r w:rsidR="0061765C">
        <w:t xml:space="preserve"> andel førstekompetanse i sammenheng med </w:t>
      </w:r>
      <w:r w:rsidR="00845276">
        <w:t xml:space="preserve">den svakt nedadgående trenden i studiepoeng per faglig årsverk, som omtalt i kapittel </w:t>
      </w:r>
      <w:r w:rsidR="00845276">
        <w:fldChar w:fldCharType="begin"/>
      </w:r>
      <w:r w:rsidR="00845276">
        <w:instrText xml:space="preserve"> REF _Ref133159839 \r \h </w:instrText>
      </w:r>
      <w:r w:rsidR="00845276">
        <w:fldChar w:fldCharType="separate"/>
      </w:r>
      <w:r w:rsidR="00F262EF">
        <w:t>2.4</w:t>
      </w:r>
      <w:r w:rsidR="00845276">
        <w:fldChar w:fldCharType="end"/>
      </w:r>
      <w:r w:rsidR="0026393C">
        <w:t>,</w:t>
      </w:r>
      <w:r w:rsidR="00E860CF">
        <w:t xml:space="preserve"> og me</w:t>
      </w:r>
      <w:r w:rsidR="00593AA3">
        <w:t xml:space="preserve">d utviklingen i produksjon av publiseringspoeng, </w:t>
      </w:r>
      <w:r w:rsidR="004E0775">
        <w:t>se</w:t>
      </w:r>
      <w:r w:rsidR="00593AA3">
        <w:t xml:space="preserve"> kapittel </w:t>
      </w:r>
      <w:r w:rsidR="00593AA3">
        <w:fldChar w:fldCharType="begin"/>
      </w:r>
      <w:r w:rsidR="00593AA3">
        <w:instrText xml:space="preserve"> REF _Ref133159914 \r \h </w:instrText>
      </w:r>
      <w:r w:rsidR="00593AA3">
        <w:fldChar w:fldCharType="separate"/>
      </w:r>
      <w:r w:rsidR="00F262EF">
        <w:t>3.6</w:t>
      </w:r>
      <w:r w:rsidR="00593AA3">
        <w:fldChar w:fldCharType="end"/>
      </w:r>
      <w:r w:rsidR="00593AA3">
        <w:t>.</w:t>
      </w:r>
    </w:p>
    <w:p w14:paraId="26ACE85D" w14:textId="7D7C7DA9" w:rsidR="0016685A" w:rsidRDefault="0016685A" w:rsidP="0016685A">
      <w:pPr>
        <w:pStyle w:val="Bildetekst"/>
        <w:keepNext/>
      </w:pPr>
      <w:bookmarkStart w:id="198" w:name="_Toc134792804"/>
      <w:r>
        <w:lastRenderedPageBreak/>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4</w:t>
      </w:r>
      <w:r>
        <w:fldChar w:fldCharType="end"/>
      </w:r>
      <w:r>
        <w:t xml:space="preserve"> Andel i førstestillinger per institusjon 2022. Prosent</w:t>
      </w:r>
      <w:bookmarkEnd w:id="198"/>
    </w:p>
    <w:p w14:paraId="12AC8CCF" w14:textId="69B7A5DA" w:rsidR="0087353F" w:rsidRDefault="0087353F" w:rsidP="00670FF4">
      <w:r>
        <w:rPr>
          <w:noProof/>
        </w:rPr>
        <w:drawing>
          <wp:inline distT="0" distB="0" distL="0" distR="0" wp14:anchorId="4562914F" wp14:editId="051E55D6">
            <wp:extent cx="5101590" cy="7762602"/>
            <wp:effectExtent l="0" t="0" r="3810" b="10160"/>
            <wp:docPr id="2" name="Diagram 2">
              <a:extLst xmlns:a="http://schemas.openxmlformats.org/drawingml/2006/main">
                <a:ext uri="{FF2B5EF4-FFF2-40B4-BE49-F238E27FC236}">
                  <a16:creationId xmlns:a16="http://schemas.microsoft.com/office/drawing/2014/main" id="{80AB5725-F558-43F2-AE4C-9010BEA94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726717FD" w14:textId="3EEE59FC" w:rsidR="007A55E4" w:rsidRDefault="007A55E4" w:rsidP="0038192D">
      <w:pPr>
        <w:pStyle w:val="Kilde"/>
      </w:pPr>
      <w:r>
        <w:t xml:space="preserve">Kilde: </w:t>
      </w:r>
      <w:proofErr w:type="spellStart"/>
      <w:r w:rsidR="0038192D">
        <w:t>DBH</w:t>
      </w:r>
      <w:proofErr w:type="spellEnd"/>
    </w:p>
    <w:p w14:paraId="416124C5" w14:textId="4D08989C" w:rsidR="000E1214" w:rsidRDefault="000E1214" w:rsidP="00AE4B98">
      <w:pPr>
        <w:pStyle w:val="Overskrift3"/>
      </w:pPr>
      <w:bookmarkStart w:id="199" w:name="_Toc134792757"/>
      <w:r w:rsidRPr="000E1214">
        <w:lastRenderedPageBreak/>
        <w:t>Forholdet mellom faglige og administrative stillinger</w:t>
      </w:r>
      <w:bookmarkEnd w:id="199"/>
    </w:p>
    <w:p w14:paraId="04A341A5" w14:textId="37974DAB" w:rsidR="004641EA" w:rsidRDefault="002451E7" w:rsidP="002451E7">
      <w:r>
        <w:t xml:space="preserve">Forholdet mellom årsverk i faglige og administrative stillinger er en indikator på hvor stor andel av institusjonenes ressurser som brukes på </w:t>
      </w:r>
      <w:r w:rsidR="0076736F">
        <w:t>henholdsvis</w:t>
      </w:r>
      <w:r>
        <w:t xml:space="preserve"> faglig og administrativ virksomhet. </w:t>
      </w:r>
      <w:r w:rsidR="008D48C0">
        <w:t>Samtidig</w:t>
      </w:r>
      <w:r>
        <w:t xml:space="preserve"> er det viktig å være bevisst på at det ikke alltid er klare skiller mellom stillingstype og oppgaver. Faglig ansatte utfører oppgaver av administrativ karakter og administrativt ansatte kan gjøre </w:t>
      </w:r>
      <w:r w:rsidR="00F64A63">
        <w:t xml:space="preserve">faglige </w:t>
      </w:r>
      <w:r>
        <w:t>oppgaver</w:t>
      </w:r>
      <w:r w:rsidR="00D445D0">
        <w:t>.</w:t>
      </w:r>
    </w:p>
    <w:p w14:paraId="641EB3ED" w14:textId="1D8D4C38" w:rsidR="004641EA" w:rsidRDefault="00EA4EE3" w:rsidP="002451E7">
      <w:r>
        <w:fldChar w:fldCharType="begin"/>
      </w:r>
      <w:r>
        <w:instrText xml:space="preserve"> REF _Ref133246030 \h </w:instrText>
      </w:r>
      <w:r>
        <w:fldChar w:fldCharType="separate"/>
      </w:r>
      <w:r w:rsidR="00F262EF">
        <w:t xml:space="preserve">Figur </w:t>
      </w:r>
      <w:r w:rsidR="00F262EF">
        <w:rPr>
          <w:noProof/>
        </w:rPr>
        <w:t>4</w:t>
      </w:r>
      <w:r w:rsidR="00F262EF">
        <w:t>.</w:t>
      </w:r>
      <w:r w:rsidR="00F262EF">
        <w:rPr>
          <w:noProof/>
        </w:rPr>
        <w:t>5</w:t>
      </w:r>
      <w:r>
        <w:fldChar w:fldCharType="end"/>
      </w:r>
      <w:r w:rsidR="004641EA">
        <w:t xml:space="preserve"> viser forholdstallet mellom faglige og administrative stillinger for høyskoler, universiteter og vitenskapelige høyskoler. </w:t>
      </w:r>
      <w:r w:rsidR="002F3A20">
        <w:t>På nasjonalt nivå ligger forholdstallet nokså stabilt</w:t>
      </w:r>
      <w:r w:rsidR="00E62E2D">
        <w:t>. M</w:t>
      </w:r>
      <w:r w:rsidR="00E35979">
        <w:t>ellom 2013 og 2022 har det endret seg fra 2,5 til 2,6</w:t>
      </w:r>
      <w:r w:rsidR="00FE5854">
        <w:t xml:space="preserve"> faglige </w:t>
      </w:r>
      <w:r w:rsidR="00E11681">
        <w:t>årsverk</w:t>
      </w:r>
      <w:r w:rsidR="00E62E2D">
        <w:t xml:space="preserve"> </w:t>
      </w:r>
      <w:r w:rsidR="00FE5854">
        <w:t>per</w:t>
      </w:r>
      <w:r w:rsidR="005E76B2">
        <w:t xml:space="preserve"> administrative </w:t>
      </w:r>
      <w:r w:rsidR="00E11681">
        <w:t>årsverk</w:t>
      </w:r>
      <w:r w:rsidR="00E35979">
        <w:t>.</w:t>
      </w:r>
      <w:r w:rsidR="00B62F96">
        <w:t xml:space="preserve"> For de </w:t>
      </w:r>
      <w:r w:rsidR="00350594">
        <w:t xml:space="preserve">statlige institusjonene </w:t>
      </w:r>
      <w:r w:rsidR="00AD2BD7">
        <w:t>alene</w:t>
      </w:r>
      <w:r w:rsidR="00350594">
        <w:t xml:space="preserve"> er </w:t>
      </w:r>
      <w:r w:rsidR="00273DE0">
        <w:t>forholdstallet 2,7 i 2022.</w:t>
      </w:r>
      <w:r w:rsidR="00AD0A4C">
        <w:rPr>
          <w:rStyle w:val="Fotnotereferanse"/>
        </w:rPr>
        <w:footnoteReference w:id="18"/>
      </w:r>
      <w:r w:rsidR="000F5110">
        <w:t xml:space="preserve"> </w:t>
      </w:r>
      <w:r w:rsidR="00EB2A68">
        <w:t xml:space="preserve">Se </w:t>
      </w:r>
      <w:proofErr w:type="spellStart"/>
      <w:r w:rsidR="00EB2A68">
        <w:t>vedleggstabell</w:t>
      </w:r>
      <w:proofErr w:type="spellEnd"/>
      <w:r w:rsidR="00EB2A68">
        <w:t xml:space="preserve"> </w:t>
      </w:r>
      <w:hyperlink r:id="rId138" w:history="1">
        <w:r w:rsidR="00EB2A68" w:rsidRPr="00246EBC">
          <w:rPr>
            <w:rStyle w:val="Hyperkobling"/>
          </w:rPr>
          <w:t>V4.19</w:t>
        </w:r>
      </w:hyperlink>
      <w:r w:rsidR="00EB2A68">
        <w:t xml:space="preserve"> </w:t>
      </w:r>
      <w:r w:rsidR="00062A2B">
        <w:t>for detaljer per institusjon og utvikling over tid.</w:t>
      </w:r>
    </w:p>
    <w:p w14:paraId="3F49A784" w14:textId="1855B28F" w:rsidR="008F652C" w:rsidRDefault="00F52042" w:rsidP="002451E7">
      <w:r>
        <w:fldChar w:fldCharType="begin"/>
      </w:r>
      <w:r>
        <w:instrText xml:space="preserve"> REF  _Ref133246030 \h </w:instrText>
      </w:r>
      <w:r>
        <w:fldChar w:fldCharType="separate"/>
      </w:r>
      <w:r w:rsidR="00F262EF">
        <w:t xml:space="preserve">Figur </w:t>
      </w:r>
      <w:r w:rsidR="00F262EF">
        <w:rPr>
          <w:noProof/>
        </w:rPr>
        <w:t>4</w:t>
      </w:r>
      <w:r w:rsidR="00F262EF">
        <w:t>.</w:t>
      </w:r>
      <w:r w:rsidR="00F262EF">
        <w:rPr>
          <w:noProof/>
        </w:rPr>
        <w:t>5</w:t>
      </w:r>
      <w:r>
        <w:fldChar w:fldCharType="end"/>
      </w:r>
      <w:r w:rsidR="00E42E39">
        <w:t xml:space="preserve"> viser</w:t>
      </w:r>
      <w:r>
        <w:t xml:space="preserve"> at</w:t>
      </w:r>
      <w:r w:rsidR="000B5EA8">
        <w:t xml:space="preserve"> det</w:t>
      </w:r>
      <w:r w:rsidR="00E42E39">
        <w:t xml:space="preserve"> er store forskjeller mellom institusjonene. Som tidligere år har NTNU det høyeste forholdstallet av de statlige med 3,4.</w:t>
      </w:r>
      <w:r w:rsidR="00D03D99">
        <w:t xml:space="preserve"> </w:t>
      </w:r>
      <w:proofErr w:type="spellStart"/>
      <w:r w:rsidR="00D03D99">
        <w:t>HiØ</w:t>
      </w:r>
      <w:proofErr w:type="spellEnd"/>
      <w:r w:rsidR="00D03D99">
        <w:t xml:space="preserve"> </w:t>
      </w:r>
      <w:r w:rsidR="00717ECB">
        <w:t>ligger på 3,3</w:t>
      </w:r>
      <w:r w:rsidR="00C74399">
        <w:t xml:space="preserve"> etter en markant oppgang fra 2021</w:t>
      </w:r>
      <w:r w:rsidR="00717ECB">
        <w:t xml:space="preserve">. </w:t>
      </w:r>
      <w:r w:rsidR="00E42E39">
        <w:t>De fleste andre statlige institusjoner ligger mellom 2,3 (</w:t>
      </w:r>
      <w:proofErr w:type="spellStart"/>
      <w:r w:rsidR="00E42E39">
        <w:t>OsloMet</w:t>
      </w:r>
      <w:proofErr w:type="spellEnd"/>
      <w:r w:rsidR="00E42E39">
        <w:t>) og 3,</w:t>
      </w:r>
      <w:r w:rsidR="00C74399">
        <w:t>1</w:t>
      </w:r>
      <w:r w:rsidR="00E42E39">
        <w:t xml:space="preserve"> (</w:t>
      </w:r>
      <w:proofErr w:type="spellStart"/>
      <w:r w:rsidR="00E42E39">
        <w:t>HVL</w:t>
      </w:r>
      <w:proofErr w:type="spellEnd"/>
      <w:r w:rsidR="00C74399">
        <w:t xml:space="preserve"> og</w:t>
      </w:r>
      <w:r w:rsidR="00E42E39">
        <w:t xml:space="preserve"> </w:t>
      </w:r>
      <w:proofErr w:type="spellStart"/>
      <w:r w:rsidR="00E42E39">
        <w:t>USN</w:t>
      </w:r>
      <w:proofErr w:type="spellEnd"/>
      <w:r w:rsidR="00E42E39">
        <w:t xml:space="preserve">). </w:t>
      </w:r>
      <w:r w:rsidR="00DA418E">
        <w:t>To s</w:t>
      </w:r>
      <w:r w:rsidR="00E42E39">
        <w:t>tatlige institusjoner med lavere forholdstall er SH med 0,9</w:t>
      </w:r>
      <w:r w:rsidR="00DA418E">
        <w:t xml:space="preserve"> og</w:t>
      </w:r>
      <w:r w:rsidR="00C65884">
        <w:t xml:space="preserve"> </w:t>
      </w:r>
      <w:proofErr w:type="spellStart"/>
      <w:r w:rsidR="00E42E39">
        <w:t>KHIO</w:t>
      </w:r>
      <w:proofErr w:type="spellEnd"/>
      <w:r w:rsidR="00E42E39">
        <w:t xml:space="preserve"> med 1,7.</w:t>
      </w:r>
      <w:r w:rsidR="005953D1">
        <w:t xml:space="preserve"> </w:t>
      </w:r>
      <w:r w:rsidR="00863E97">
        <w:t xml:space="preserve">Det </w:t>
      </w:r>
      <w:r w:rsidR="00832CAF">
        <w:t xml:space="preserve">kan være </w:t>
      </w:r>
      <w:r w:rsidR="00863E97">
        <w:t>flere grunner til at f</w:t>
      </w:r>
      <w:r w:rsidR="000B1FA6">
        <w:t xml:space="preserve">orskjellene mellom </w:t>
      </w:r>
      <w:r w:rsidR="00832CAF">
        <w:t>institusjonene er store</w:t>
      </w:r>
      <w:r w:rsidR="00123130">
        <w:t>, uten at dette er videre undersøkt</w:t>
      </w:r>
      <w:r w:rsidR="004B0777">
        <w:t xml:space="preserve">. For det første kan </w:t>
      </w:r>
      <w:r w:rsidR="007C2013">
        <w:t xml:space="preserve">man se for seg at </w:t>
      </w:r>
      <w:r w:rsidR="007D7B62">
        <w:t>det å ha</w:t>
      </w:r>
      <w:r w:rsidR="000562AC">
        <w:t xml:space="preserve"> </w:t>
      </w:r>
      <w:r w:rsidR="008E753A">
        <w:t xml:space="preserve">mange små fag og små undervisningsgrupper </w:t>
      </w:r>
      <w:r w:rsidR="00D97D71">
        <w:t xml:space="preserve">kan føre til en høyere tetthet av </w:t>
      </w:r>
      <w:r w:rsidR="005F2D58">
        <w:t>faglig ansatte</w:t>
      </w:r>
      <w:r w:rsidR="005740C1">
        <w:t>. V</w:t>
      </w:r>
      <w:r w:rsidR="00F30F4C">
        <w:t xml:space="preserve">idere </w:t>
      </w:r>
      <w:r w:rsidR="00F763B4">
        <w:t>kan undervisningsform</w:t>
      </w:r>
      <w:r w:rsidR="00B71CFA">
        <w:t xml:space="preserve">er variere mellom </w:t>
      </w:r>
      <w:r w:rsidR="00652D1F">
        <w:t xml:space="preserve">fagområder og </w:t>
      </w:r>
      <w:r w:rsidR="00B71CFA">
        <w:t>institusjoner</w:t>
      </w:r>
      <w:r w:rsidR="00652D1F">
        <w:t xml:space="preserve">, slik at enkelte institusjoner har en høyere tetthet </w:t>
      </w:r>
      <w:r w:rsidR="008D4B82">
        <w:t xml:space="preserve">av </w:t>
      </w:r>
      <w:r w:rsidR="000B7B2B">
        <w:t>undervisere</w:t>
      </w:r>
      <w:r w:rsidR="00940E8A">
        <w:t>.</w:t>
      </w:r>
    </w:p>
    <w:p w14:paraId="5E6709AC" w14:textId="53369275" w:rsidR="0079753A" w:rsidRDefault="008E6457" w:rsidP="002451E7">
      <w:r>
        <w:t>Blant d</w:t>
      </w:r>
      <w:r w:rsidR="00DF66C4">
        <w:t>e private institusjonene</w:t>
      </w:r>
      <w:r>
        <w:t xml:space="preserve"> finner vi noe mer variasjon enn blant de statlige.</w:t>
      </w:r>
      <w:r w:rsidR="000F697F">
        <w:t xml:space="preserve"> </w:t>
      </w:r>
      <w:r w:rsidR="003B5A78">
        <w:t xml:space="preserve">Særlig lave forholdstall har </w:t>
      </w:r>
      <w:proofErr w:type="spellStart"/>
      <w:r w:rsidR="006835C8">
        <w:t>BDM</w:t>
      </w:r>
      <w:proofErr w:type="spellEnd"/>
      <w:r w:rsidR="006835C8">
        <w:t xml:space="preserve"> og </w:t>
      </w:r>
      <w:r w:rsidR="00DB73EC">
        <w:t xml:space="preserve">HK </w:t>
      </w:r>
      <w:r w:rsidR="000F697F">
        <w:t>(</w:t>
      </w:r>
      <w:r w:rsidR="008D3553">
        <w:t>1,4 og 1,5</w:t>
      </w:r>
      <w:r w:rsidR="000F697F">
        <w:t>)</w:t>
      </w:r>
      <w:r w:rsidR="00DB73EC">
        <w:t>,</w:t>
      </w:r>
      <w:bookmarkStart w:id="200" w:name="_Ref133327687"/>
      <w:r w:rsidR="00B3363D">
        <w:rPr>
          <w:rStyle w:val="Fotnotereferanse"/>
        </w:rPr>
        <w:footnoteReference w:id="19"/>
      </w:r>
      <w:bookmarkEnd w:id="200"/>
      <w:r w:rsidR="00DB73EC">
        <w:t xml:space="preserve"> mens</w:t>
      </w:r>
      <w:r w:rsidR="009437F7">
        <w:t xml:space="preserve"> de</w:t>
      </w:r>
      <w:r w:rsidR="00DB73EC">
        <w:t xml:space="preserve"> små og spesialiserte institusjone</w:t>
      </w:r>
      <w:r w:rsidR="009437F7">
        <w:t>ne</w:t>
      </w:r>
      <w:r w:rsidR="00DB73EC">
        <w:t xml:space="preserve"> </w:t>
      </w:r>
      <w:proofErr w:type="spellStart"/>
      <w:r w:rsidR="00DB73EC">
        <w:t>HGUT</w:t>
      </w:r>
      <w:proofErr w:type="spellEnd"/>
      <w:r w:rsidR="00DB73EC">
        <w:t xml:space="preserve"> og </w:t>
      </w:r>
      <w:r w:rsidR="009437F7">
        <w:t xml:space="preserve">RS ligger høyest </w:t>
      </w:r>
      <w:r w:rsidR="00757962">
        <w:t>med 4,2.</w:t>
      </w:r>
      <w:r w:rsidR="007E06F1">
        <w:t xml:space="preserve"> </w:t>
      </w:r>
      <w:r w:rsidR="00FE38C9">
        <w:t xml:space="preserve">For de minste institusjonene </w:t>
      </w:r>
      <w:r w:rsidR="00B079D9">
        <w:t>kan</w:t>
      </w:r>
      <w:r w:rsidR="007E06F1">
        <w:t xml:space="preserve"> </w:t>
      </w:r>
      <w:r w:rsidR="00B02615">
        <w:t xml:space="preserve">selv </w:t>
      </w:r>
      <w:r w:rsidR="00000FA3">
        <w:t>små endringer</w:t>
      </w:r>
      <w:r w:rsidR="00A852A5">
        <w:t xml:space="preserve"> i antallet </w:t>
      </w:r>
      <w:r w:rsidR="00B02615">
        <w:t xml:space="preserve">faglig eller administrativt ansatte gi store utslag på </w:t>
      </w:r>
      <w:r w:rsidR="007E06F1">
        <w:t>forholdstallet</w:t>
      </w:r>
      <w:r w:rsidR="00FE38C9">
        <w:t xml:space="preserve">. </w:t>
      </w:r>
    </w:p>
    <w:p w14:paraId="047A7E7B" w14:textId="5C10916D" w:rsidR="00BF127A" w:rsidRDefault="0079753A" w:rsidP="002451E7">
      <w:r>
        <w:t xml:space="preserve">Vedleggstabellene </w:t>
      </w:r>
      <w:hyperlink r:id="rId139" w:history="1">
        <w:r w:rsidRPr="00656427">
          <w:rPr>
            <w:rStyle w:val="Hyperkobling"/>
          </w:rPr>
          <w:t>V4.1</w:t>
        </w:r>
        <w:r w:rsidR="000F7B67" w:rsidRPr="00656427">
          <w:rPr>
            <w:rStyle w:val="Hyperkobling"/>
          </w:rPr>
          <w:t>7</w:t>
        </w:r>
      </w:hyperlink>
      <w:r>
        <w:t xml:space="preserve">, </w:t>
      </w:r>
      <w:hyperlink r:id="rId140" w:history="1">
        <w:r w:rsidRPr="00656427">
          <w:rPr>
            <w:rStyle w:val="Hyperkobling"/>
          </w:rPr>
          <w:t>V4.1</w:t>
        </w:r>
        <w:r w:rsidR="000F7B67" w:rsidRPr="00656427">
          <w:rPr>
            <w:rStyle w:val="Hyperkobling"/>
          </w:rPr>
          <w:t>8</w:t>
        </w:r>
      </w:hyperlink>
      <w:r>
        <w:t xml:space="preserve"> og </w:t>
      </w:r>
      <w:hyperlink r:id="rId141" w:history="1">
        <w:r w:rsidRPr="00994A5D">
          <w:rPr>
            <w:rStyle w:val="Hyperkobling"/>
          </w:rPr>
          <w:t>V4.1</w:t>
        </w:r>
        <w:r w:rsidR="000F7B67" w:rsidRPr="00994A5D">
          <w:rPr>
            <w:rStyle w:val="Hyperkobling"/>
          </w:rPr>
          <w:t>9</w:t>
        </w:r>
      </w:hyperlink>
      <w:r>
        <w:t xml:space="preserve"> viser antall</w:t>
      </w:r>
      <w:r w:rsidR="00104CBC">
        <w:t>et</w:t>
      </w:r>
      <w:r>
        <w:t xml:space="preserve"> årsverk i henholdsvis faglige, administrative</w:t>
      </w:r>
      <w:r w:rsidR="00922852">
        <w:t xml:space="preserve"> og øvrige</w:t>
      </w:r>
      <w:r>
        <w:t xml:space="preserve"> stillinger, og andel</w:t>
      </w:r>
      <w:r w:rsidR="00104CBC">
        <w:t>en hver</w:t>
      </w:r>
      <w:r>
        <w:t xml:space="preserve"> av </w:t>
      </w:r>
      <w:r w:rsidR="00104CBC">
        <w:t>disse utgjør</w:t>
      </w:r>
      <w:r>
        <w:t xml:space="preserve"> av </w:t>
      </w:r>
      <w:r w:rsidR="00104CBC">
        <w:t xml:space="preserve">det </w:t>
      </w:r>
      <w:r>
        <w:t>total</w:t>
      </w:r>
      <w:r w:rsidR="00104CBC">
        <w:t>e</w:t>
      </w:r>
      <w:r>
        <w:t xml:space="preserve"> antall</w:t>
      </w:r>
      <w:r w:rsidR="00104CBC">
        <w:t>et</w:t>
      </w:r>
      <w:r>
        <w:t xml:space="preserve"> årsverk. Antallet årsverk har økt for </w:t>
      </w:r>
      <w:r w:rsidR="00070300">
        <w:t>alle</w:t>
      </w:r>
      <w:r w:rsidR="00070300" w:rsidDel="003C0CB5">
        <w:t xml:space="preserve"> </w:t>
      </w:r>
      <w:r w:rsidR="005B796C">
        <w:t>tre stillings</w:t>
      </w:r>
      <w:r w:rsidR="00A378C6">
        <w:t>gruppene</w:t>
      </w:r>
      <w:r w:rsidR="00070300" w:rsidDel="006B5545">
        <w:t xml:space="preserve"> </w:t>
      </w:r>
      <w:r w:rsidR="00070300">
        <w:t xml:space="preserve">siden 2019, </w:t>
      </w:r>
      <w:r w:rsidR="00597CA8">
        <w:t>men økningen har vært sterkest</w:t>
      </w:r>
      <w:r w:rsidR="00070300">
        <w:t xml:space="preserve"> for </w:t>
      </w:r>
      <w:r>
        <w:t xml:space="preserve">faglige og administrative stillinger. </w:t>
      </w:r>
      <w:r w:rsidR="006C31EB">
        <w:rPr>
          <w:i/>
          <w:iCs/>
        </w:rPr>
        <w:t>Ø</w:t>
      </w:r>
      <w:r w:rsidR="00C4789C">
        <w:rPr>
          <w:i/>
          <w:iCs/>
        </w:rPr>
        <w:t>vrige stillinger</w:t>
      </w:r>
      <w:r w:rsidR="00C4789C">
        <w:t xml:space="preserve"> inkluderer </w:t>
      </w:r>
      <w:r w:rsidR="00BF57C9">
        <w:t xml:space="preserve">støttestillinger </w:t>
      </w:r>
      <w:r w:rsidR="00AA1980">
        <w:t>for undervisning, forskning og formidling</w:t>
      </w:r>
      <w:r w:rsidR="00273014">
        <w:t xml:space="preserve"> </w:t>
      </w:r>
      <w:r w:rsidR="00126F85">
        <w:t>(</w:t>
      </w:r>
      <w:r w:rsidR="00DE5622">
        <w:t>bibliotekstillinger</w:t>
      </w:r>
      <w:r w:rsidR="00273014">
        <w:t xml:space="preserve">, ingeniører og </w:t>
      </w:r>
      <w:r w:rsidR="00DE5622">
        <w:t>tekniske stillinger</w:t>
      </w:r>
      <w:r w:rsidR="00126F85">
        <w:t>)</w:t>
      </w:r>
      <w:r w:rsidR="00465B26">
        <w:t xml:space="preserve"> i tillegg til en del andre tekniske og administrative stillinger.</w:t>
      </w:r>
      <w:r w:rsidR="000065D6">
        <w:t xml:space="preserve"> </w:t>
      </w:r>
      <w:r w:rsidR="00BE7FD8">
        <w:t>Ingeniører utgjør den klart største gruppen av disse.</w:t>
      </w:r>
      <w:r w:rsidR="00F0305F">
        <w:t xml:space="preserve"> </w:t>
      </w:r>
      <w:proofErr w:type="spellStart"/>
      <w:r w:rsidR="00F0305F">
        <w:t>NMBU</w:t>
      </w:r>
      <w:proofErr w:type="spellEnd"/>
      <w:r w:rsidR="00F0305F">
        <w:t xml:space="preserve"> har den </w:t>
      </w:r>
      <w:r w:rsidR="0025048E">
        <w:t>høyeste</w:t>
      </w:r>
      <w:r w:rsidR="00F0305F">
        <w:t xml:space="preserve"> andelen </w:t>
      </w:r>
      <w:r w:rsidR="0025048E">
        <w:t xml:space="preserve">øvrige stillinger (26 prosent), og </w:t>
      </w:r>
      <w:r w:rsidR="00B01B99">
        <w:t>de st</w:t>
      </w:r>
      <w:r w:rsidR="00F51A15">
        <w:t>ørste universitetene (NTNU, UiO, UiB, UiT)</w:t>
      </w:r>
      <w:r w:rsidR="009313CA">
        <w:t xml:space="preserve"> ligger alle på mellom 14 og 17 prosent.</w:t>
      </w:r>
      <w:r>
        <w:t xml:space="preserve"> </w:t>
      </w:r>
    </w:p>
    <w:p w14:paraId="6029BB9A" w14:textId="5FDB8850" w:rsidR="0079753A" w:rsidRPr="002451E7" w:rsidRDefault="00510B6C" w:rsidP="002451E7">
      <w:r>
        <w:t xml:space="preserve">Faglige årsverk utgjør </w:t>
      </w:r>
      <w:r w:rsidR="005C0376">
        <w:t xml:space="preserve">63 prosent </w:t>
      </w:r>
      <w:r w:rsidR="005A44C6">
        <w:t>av alle årsverk ved</w:t>
      </w:r>
      <w:r w:rsidR="005A0171">
        <w:t xml:space="preserve"> institusjonen</w:t>
      </w:r>
      <w:r w:rsidR="00C27E2E">
        <w:t>e</w:t>
      </w:r>
      <w:r w:rsidR="00180144">
        <w:t>. De</w:t>
      </w:r>
      <w:r w:rsidR="00180F83">
        <w:t>nne andelen har vært uendret de siste årene.</w:t>
      </w:r>
      <w:r w:rsidR="00E37BAE">
        <w:t xml:space="preserve"> Blant de statlige institusjonene har </w:t>
      </w:r>
      <w:proofErr w:type="spellStart"/>
      <w:r w:rsidR="00E37BAE">
        <w:t>HVL</w:t>
      </w:r>
      <w:proofErr w:type="spellEnd"/>
      <w:r w:rsidR="00E37BAE">
        <w:t xml:space="preserve"> den høyeste andelen faglige årsverk med 71 prosent, fulgt av </w:t>
      </w:r>
      <w:proofErr w:type="spellStart"/>
      <w:r w:rsidR="00E37BAE">
        <w:t>HiM</w:t>
      </w:r>
      <w:proofErr w:type="spellEnd"/>
      <w:r w:rsidR="00E37BAE">
        <w:t xml:space="preserve"> med 7</w:t>
      </w:r>
      <w:r w:rsidR="007D0D6E">
        <w:t>0</w:t>
      </w:r>
      <w:r w:rsidR="00E37BAE">
        <w:t xml:space="preserve"> prosent og </w:t>
      </w:r>
      <w:proofErr w:type="spellStart"/>
      <w:r w:rsidR="00E37BAE">
        <w:t>USN</w:t>
      </w:r>
      <w:proofErr w:type="spellEnd"/>
      <w:r w:rsidR="00E37BAE">
        <w:t xml:space="preserve"> med 69 prosent.</w:t>
      </w:r>
      <w:r w:rsidR="00D32EFE">
        <w:t xml:space="preserve"> </w:t>
      </w:r>
    </w:p>
    <w:p w14:paraId="78E36854" w14:textId="068A6E70" w:rsidR="0055666C" w:rsidRDefault="0055666C" w:rsidP="0055666C">
      <w:pPr>
        <w:pStyle w:val="Bildetekst"/>
        <w:keepNext/>
      </w:pPr>
      <w:bookmarkStart w:id="201" w:name="_Ref133246030"/>
      <w:bookmarkStart w:id="202" w:name="_Toc134792805"/>
      <w:r>
        <w:lastRenderedPageBreak/>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5</w:t>
      </w:r>
      <w:r>
        <w:fldChar w:fldCharType="end"/>
      </w:r>
      <w:bookmarkEnd w:id="201"/>
      <w:r>
        <w:t xml:space="preserve"> Forholdstall mellom årsverk i faglige og i administrative stillinger per institusjon. 2022</w:t>
      </w:r>
      <w:bookmarkEnd w:id="202"/>
    </w:p>
    <w:p w14:paraId="7CED2408" w14:textId="45279B84" w:rsidR="007A490A" w:rsidRDefault="007A490A" w:rsidP="007A490A">
      <w:r>
        <w:rPr>
          <w:noProof/>
        </w:rPr>
        <w:drawing>
          <wp:inline distT="0" distB="0" distL="0" distR="0" wp14:anchorId="1B85F032" wp14:editId="10451C3A">
            <wp:extent cx="5184140" cy="6779895"/>
            <wp:effectExtent l="0" t="0" r="16510" b="1905"/>
            <wp:docPr id="3" name="Diagram 3">
              <a:extLst xmlns:a="http://schemas.openxmlformats.org/drawingml/2006/main">
                <a:ext uri="{FF2B5EF4-FFF2-40B4-BE49-F238E27FC236}">
                  <a16:creationId xmlns:a16="http://schemas.microsoft.com/office/drawing/2014/main" id="{946ACF73-EA9D-4211-B221-502D96D49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2F671EE9" w14:textId="523779C4" w:rsidR="0055666C" w:rsidRPr="007A490A" w:rsidRDefault="0055666C" w:rsidP="0055666C">
      <w:pPr>
        <w:pStyle w:val="Kilde"/>
      </w:pPr>
      <w:r>
        <w:t xml:space="preserve">Kilde: </w:t>
      </w:r>
      <w:proofErr w:type="spellStart"/>
      <w:r>
        <w:t>DBH</w:t>
      </w:r>
      <w:proofErr w:type="spellEnd"/>
    </w:p>
    <w:p w14:paraId="570F0984" w14:textId="77777777" w:rsidR="000E389D" w:rsidRDefault="000E389D"/>
    <w:p w14:paraId="1C6D6209" w14:textId="5E64AB5D" w:rsidR="00E52C65" w:rsidRDefault="00E52C65">
      <w:pPr>
        <w:rPr>
          <w:rFonts w:asciiTheme="majorHAnsi" w:eastAsiaTheme="majorEastAsia" w:hAnsiTheme="majorHAnsi" w:cstheme="majorBidi"/>
          <w:b/>
          <w:color w:val="362683"/>
          <w:sz w:val="24"/>
          <w:szCs w:val="26"/>
        </w:rPr>
      </w:pPr>
      <w:r>
        <w:br w:type="page"/>
      </w:r>
    </w:p>
    <w:p w14:paraId="5C4B5775" w14:textId="19ACFCDD" w:rsidR="00D6223C" w:rsidRDefault="00D6223C" w:rsidP="00AE4B98">
      <w:pPr>
        <w:pStyle w:val="Overskrift3"/>
      </w:pPr>
      <w:bookmarkStart w:id="203" w:name="_Toc134792758"/>
      <w:r w:rsidRPr="00D6223C">
        <w:lastRenderedPageBreak/>
        <w:t xml:space="preserve">Andelen kvinner i faglige toppstillinger </w:t>
      </w:r>
      <w:r w:rsidR="00D313BA">
        <w:t>–</w:t>
      </w:r>
      <w:r w:rsidR="00293F10">
        <w:t xml:space="preserve"> </w:t>
      </w:r>
      <w:r w:rsidRPr="00D6223C">
        <w:t>nasjonal styringsparameter</w:t>
      </w:r>
      <w:bookmarkEnd w:id="203"/>
    </w:p>
    <w:p w14:paraId="2160901D" w14:textId="6D4C6DC7" w:rsidR="00FE2460" w:rsidRDefault="0010454C" w:rsidP="00FE2460">
      <w:r>
        <w:t xml:space="preserve">Faglige toppstillinger omfatter professorer og dosenter. </w:t>
      </w:r>
      <w:r w:rsidR="00EA4EE3">
        <w:fldChar w:fldCharType="begin"/>
      </w:r>
      <w:r w:rsidR="00EA4EE3">
        <w:instrText xml:space="preserve"> REF _Ref133246121 \h </w:instrText>
      </w:r>
      <w:r w:rsidR="00EA4EE3">
        <w:fldChar w:fldCharType="separate"/>
      </w:r>
      <w:r w:rsidR="00F262EF">
        <w:t xml:space="preserve">Figur </w:t>
      </w:r>
      <w:r w:rsidR="00F262EF">
        <w:rPr>
          <w:noProof/>
        </w:rPr>
        <w:t>4</w:t>
      </w:r>
      <w:r w:rsidR="00F262EF">
        <w:t>.</w:t>
      </w:r>
      <w:r w:rsidR="00F262EF">
        <w:rPr>
          <w:noProof/>
        </w:rPr>
        <w:t>6</w:t>
      </w:r>
      <w:r w:rsidR="00EA4EE3">
        <w:fldChar w:fldCharType="end"/>
      </w:r>
      <w:r>
        <w:t xml:space="preserve"> viser hvordan andelen kvinner i slike stillinger har økt fra 25 til 36 prosent de siste ti årene. Kvinneandelen i faglige toppstillinger er imidlertid fortsatt betydelig lavere enn i andre faglige stillinger, og langt lavere enn kvinners andel av studentpopulasjonen. Det er naturlig at endring av kjønnsbalansen i faglige toppstillinger tar tid, bedre balanse må komme gjennom tilsetting i stillinger som blir ledig etter avgang</w:t>
      </w:r>
      <w:r w:rsidR="001F3103">
        <w:t>, gjennom opprykk</w:t>
      </w:r>
      <w:r>
        <w:t xml:space="preserve"> eller</w:t>
      </w:r>
      <w:r w:rsidR="00114136">
        <w:t xml:space="preserve"> gjennom tilsetting</w:t>
      </w:r>
      <w:r>
        <w:t xml:space="preserve"> i nyopprettede stillinger.</w:t>
      </w:r>
    </w:p>
    <w:p w14:paraId="41D59E91" w14:textId="385237E9" w:rsidR="00A13AB0" w:rsidRDefault="00A13AB0" w:rsidP="00A13AB0">
      <w:pPr>
        <w:pStyle w:val="Bildetekst"/>
        <w:keepNext/>
      </w:pPr>
      <w:bookmarkStart w:id="204" w:name="_Ref133246121"/>
      <w:bookmarkStart w:id="205" w:name="_Toc134792806"/>
      <w:r>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6</w:t>
      </w:r>
      <w:r>
        <w:fldChar w:fldCharType="end"/>
      </w:r>
      <w:bookmarkEnd w:id="204"/>
      <w:r>
        <w:t xml:space="preserve"> Kvinner i dosent- og professorstillinger 2013</w:t>
      </w:r>
      <w:r w:rsidR="00827118">
        <w:t>–</w:t>
      </w:r>
      <w:r>
        <w:t>22. Prosent</w:t>
      </w:r>
      <w:bookmarkEnd w:id="205"/>
    </w:p>
    <w:p w14:paraId="4899C34F" w14:textId="63D8D045" w:rsidR="00D234C6" w:rsidRDefault="00A13AB0" w:rsidP="00FE2460">
      <w:r>
        <w:rPr>
          <w:noProof/>
        </w:rPr>
        <w:drawing>
          <wp:inline distT="0" distB="0" distL="0" distR="0" wp14:anchorId="0FBACB53" wp14:editId="46589138">
            <wp:extent cx="5184140" cy="3565525"/>
            <wp:effectExtent l="0" t="0" r="16510" b="15875"/>
            <wp:docPr id="5" name="Diagram 5">
              <a:extLst xmlns:a="http://schemas.openxmlformats.org/drawingml/2006/main">
                <a:ext uri="{FF2B5EF4-FFF2-40B4-BE49-F238E27FC236}">
                  <a16:creationId xmlns:a16="http://schemas.microsoft.com/office/drawing/2014/main" id="{3EB3E776-BCC1-4E57-ADF9-DD916BAE0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AB1EC29" w14:textId="7ADAB6B3" w:rsidR="006A253B" w:rsidRDefault="006A253B" w:rsidP="006A253B">
      <w:pPr>
        <w:pStyle w:val="Merknad"/>
      </w:pPr>
      <w:r w:rsidRPr="006A253B">
        <w:t>Dosent omfatter stillingskodene 1012, 1483 og 1532. Professor omfatter stillingskodene 1013 og 1404 (ekskl. professor II).</w:t>
      </w:r>
    </w:p>
    <w:p w14:paraId="5E625194" w14:textId="139C9FF7" w:rsidR="003C7757" w:rsidRPr="00FE2460" w:rsidRDefault="003C7757" w:rsidP="003C7757">
      <w:pPr>
        <w:pStyle w:val="Kilde"/>
      </w:pPr>
      <w:r>
        <w:t xml:space="preserve">Kilde: </w:t>
      </w:r>
      <w:proofErr w:type="spellStart"/>
      <w:r>
        <w:t>DBH</w:t>
      </w:r>
      <w:proofErr w:type="spellEnd"/>
    </w:p>
    <w:p w14:paraId="6B7FD03A" w14:textId="63BF6B31" w:rsidR="00DD1CDC" w:rsidRDefault="00265691" w:rsidP="00DD1CDC">
      <w:proofErr w:type="spellStart"/>
      <w:r>
        <w:t>Vedleggstabell</w:t>
      </w:r>
      <w:proofErr w:type="spellEnd"/>
      <w:r>
        <w:t xml:space="preserve"> </w:t>
      </w:r>
      <w:hyperlink r:id="rId144" w:history="1">
        <w:r w:rsidRPr="00A67249">
          <w:rPr>
            <w:rStyle w:val="Hyperkobling"/>
          </w:rPr>
          <w:t>V4.2</w:t>
        </w:r>
        <w:r w:rsidR="004166B7" w:rsidRPr="00A67249">
          <w:rPr>
            <w:rStyle w:val="Hyperkobling"/>
          </w:rPr>
          <w:t>3</w:t>
        </w:r>
      </w:hyperlink>
      <w:r>
        <w:t xml:space="preserve"> viser andel og antall kvinner i dosent- og professorstillinger på institusjonsnivå. Hovedtendensen er jevn økning i kvinneandel</w:t>
      </w:r>
      <w:r w:rsidR="0043420C">
        <w:t>,</w:t>
      </w:r>
      <w:r w:rsidR="002F4562">
        <w:t xml:space="preserve"> med unntak for noen få institusjoner</w:t>
      </w:r>
      <w:r w:rsidR="00920F56">
        <w:t>. N</w:t>
      </w:r>
      <w:r w:rsidR="005A3F3C">
        <w:t>HH</w:t>
      </w:r>
      <w:r w:rsidR="00E055B1">
        <w:t xml:space="preserve"> og</w:t>
      </w:r>
      <w:r w:rsidR="001419CE">
        <w:t xml:space="preserve"> NIH </w:t>
      </w:r>
      <w:r w:rsidR="005A3F3C">
        <w:t>har hatt en nedadgående trend de siste årene</w:t>
      </w:r>
      <w:r w:rsidR="00B337EA">
        <w:t>, og NIH har en laver</w:t>
      </w:r>
      <w:r w:rsidR="003A704B">
        <w:t xml:space="preserve">e kvinneandel </w:t>
      </w:r>
      <w:r w:rsidR="005129FB">
        <w:t xml:space="preserve">i </w:t>
      </w:r>
      <w:r w:rsidR="006738DD">
        <w:t>2022</w:t>
      </w:r>
      <w:r w:rsidR="00DD38D9">
        <w:t xml:space="preserve"> (30 prosent)</w:t>
      </w:r>
      <w:r w:rsidR="006738DD">
        <w:t xml:space="preserve"> enn i 2013 </w:t>
      </w:r>
      <w:r w:rsidR="00087DF4">
        <w:t>(</w:t>
      </w:r>
      <w:r w:rsidR="00DD38D9">
        <w:t>34 prosent)</w:t>
      </w:r>
      <w:r w:rsidR="004634F2">
        <w:t xml:space="preserve">. </w:t>
      </w:r>
      <w:r w:rsidR="00283445">
        <w:t xml:space="preserve">Kvinneandelen ved NHH er </w:t>
      </w:r>
      <w:r w:rsidR="00207494">
        <w:t>så lav som 16 prosent</w:t>
      </w:r>
      <w:r w:rsidR="00E91BBB">
        <w:t xml:space="preserve">, </w:t>
      </w:r>
      <w:r w:rsidR="001B1CD6">
        <w:t>det</w:t>
      </w:r>
      <w:r w:rsidR="00E91BBB">
        <w:t xml:space="preserve"> er marginalt høyere enn i 2013.</w:t>
      </w:r>
      <w:r w:rsidR="002E0EF2">
        <w:t xml:space="preserve"> Dette skiller seg </w:t>
      </w:r>
      <w:r w:rsidR="00E716F1">
        <w:t>kraftig fra studentmassen</w:t>
      </w:r>
      <w:r w:rsidR="00AC0957">
        <w:t xml:space="preserve">, som er kjønnsmessig helt balansert ved NIH og </w:t>
      </w:r>
      <w:r w:rsidR="002B4A73">
        <w:t>består av 43 prosent kvinner ved NHH.</w:t>
      </w:r>
    </w:p>
    <w:p w14:paraId="0F3655CD" w14:textId="0D3EE1DE" w:rsidR="00A9711C" w:rsidRDefault="00D13A9D" w:rsidP="00DD1CDC">
      <w:r>
        <w:t>Tre statlige institusjoner</w:t>
      </w:r>
      <w:r w:rsidR="00BF2849">
        <w:t xml:space="preserve">, </w:t>
      </w:r>
      <w:proofErr w:type="spellStart"/>
      <w:r w:rsidR="00DC1317">
        <w:t>OsloMet</w:t>
      </w:r>
      <w:proofErr w:type="spellEnd"/>
      <w:r w:rsidR="00DC1317">
        <w:t xml:space="preserve">, </w:t>
      </w:r>
      <w:proofErr w:type="spellStart"/>
      <w:r w:rsidR="00DC1317">
        <w:t>HiØ</w:t>
      </w:r>
      <w:proofErr w:type="spellEnd"/>
      <w:r w:rsidR="00DC1317">
        <w:t xml:space="preserve"> og </w:t>
      </w:r>
      <w:proofErr w:type="spellStart"/>
      <w:r w:rsidR="00DC1317">
        <w:t>HVL</w:t>
      </w:r>
      <w:proofErr w:type="spellEnd"/>
      <w:r w:rsidR="00BF2849">
        <w:t>,</w:t>
      </w:r>
      <w:r w:rsidR="00DC1317">
        <w:t xml:space="preserve"> </w:t>
      </w:r>
      <w:r>
        <w:t>har et flertall av kvinner i faglige toppstillinger</w:t>
      </w:r>
      <w:r w:rsidR="00DC1317">
        <w:t>.</w:t>
      </w:r>
      <w:r w:rsidR="003B665B">
        <w:t xml:space="preserve"> Felles for </w:t>
      </w:r>
      <w:r w:rsidR="00F21FC0">
        <w:t xml:space="preserve">alle </w:t>
      </w:r>
      <w:r w:rsidR="003B665B">
        <w:t>disse er at</w:t>
      </w:r>
      <w:r w:rsidR="00651FAE">
        <w:t xml:space="preserve"> kvinneandelen</w:t>
      </w:r>
      <w:r w:rsidR="00D36903">
        <w:t xml:space="preserve"> i faglige toppstillinger</w:t>
      </w:r>
      <w:r w:rsidR="00651FAE">
        <w:t xml:space="preserve"> ved</w:t>
      </w:r>
      <w:r w:rsidR="003B665B">
        <w:t xml:space="preserve"> </w:t>
      </w:r>
      <w:r w:rsidR="00C16220">
        <w:t>fakultetene der helse</w:t>
      </w:r>
      <w:r w:rsidR="00BA6247">
        <w:t>vitenskap</w:t>
      </w:r>
      <w:r w:rsidR="00C16220">
        <w:t xml:space="preserve"> og lærerutdanning </w:t>
      </w:r>
      <w:r w:rsidR="00BA6247">
        <w:t>inngår</w:t>
      </w:r>
      <w:r w:rsidR="00B718FA">
        <w:t>,</w:t>
      </w:r>
      <w:r w:rsidR="00BA6247">
        <w:t xml:space="preserve"> </w:t>
      </w:r>
      <w:r w:rsidR="00651FAE">
        <w:t xml:space="preserve">er over 60 </w:t>
      </w:r>
      <w:r w:rsidR="00F82A87">
        <w:t>prosent</w:t>
      </w:r>
      <w:r w:rsidR="00651FAE">
        <w:t>, mens den er lavere ved andre fakulteter.</w:t>
      </w:r>
      <w:r w:rsidR="00373934">
        <w:rPr>
          <w:rStyle w:val="Fotnotereferanse"/>
        </w:rPr>
        <w:footnoteReference w:id="20"/>
      </w:r>
      <w:r w:rsidR="00F82A87">
        <w:t xml:space="preserve"> </w:t>
      </w:r>
      <w:r w:rsidR="00532F56">
        <w:t xml:space="preserve">Ved </w:t>
      </w:r>
      <w:r w:rsidR="00F82A87">
        <w:t xml:space="preserve">Fakultet for ingeniør- og </w:t>
      </w:r>
      <w:proofErr w:type="spellStart"/>
      <w:r w:rsidR="00F82A87">
        <w:t>naturvitskap</w:t>
      </w:r>
      <w:proofErr w:type="spellEnd"/>
      <w:r w:rsidR="00F82A87">
        <w:t xml:space="preserve"> </w:t>
      </w:r>
      <w:r w:rsidR="0058217C">
        <w:t xml:space="preserve">ved </w:t>
      </w:r>
      <w:proofErr w:type="spellStart"/>
      <w:r w:rsidR="0058217C">
        <w:t>HVL</w:t>
      </w:r>
      <w:proofErr w:type="spellEnd"/>
      <w:r w:rsidR="0058217C">
        <w:t xml:space="preserve"> er kvinneandelen i faglige toppstillinger </w:t>
      </w:r>
      <w:r w:rsidR="00F82A87">
        <w:t>så lav som 20 prosent</w:t>
      </w:r>
      <w:r w:rsidR="001969F1">
        <w:t>.</w:t>
      </w:r>
      <w:r w:rsidR="00D96F7A">
        <w:t xml:space="preserve"> </w:t>
      </w:r>
      <w:r w:rsidR="00E91C67">
        <w:t>Også</w:t>
      </w:r>
      <w:r w:rsidR="00D96F7A">
        <w:t xml:space="preserve"> studentmassen ved dette fakultetet</w:t>
      </w:r>
      <w:r w:rsidR="00E91C67">
        <w:t xml:space="preserve"> </w:t>
      </w:r>
      <w:r w:rsidR="007A61E7">
        <w:t xml:space="preserve">har en </w:t>
      </w:r>
      <w:r w:rsidR="007A61E7">
        <w:lastRenderedPageBreak/>
        <w:t>lav kvinneandel</w:t>
      </w:r>
      <w:r w:rsidR="00B718FA">
        <w:t xml:space="preserve">, med </w:t>
      </w:r>
      <w:r w:rsidR="007E3D5E">
        <w:t>30 prosent.</w:t>
      </w:r>
      <w:r w:rsidR="001969F1">
        <w:t xml:space="preserve"> </w:t>
      </w:r>
      <w:r w:rsidR="007E3D5E">
        <w:t>V</w:t>
      </w:r>
      <w:r w:rsidR="001969F1">
        <w:t>ed andre hø</w:t>
      </w:r>
      <w:r w:rsidR="008A02F9">
        <w:t>y</w:t>
      </w:r>
      <w:r w:rsidR="001969F1">
        <w:t>skoler og universiteter ser vi lignende tendenser på fakultets- og instituttnivå.</w:t>
      </w:r>
    </w:p>
    <w:p w14:paraId="4C85477D" w14:textId="7F6C5A28" w:rsidR="008346F6" w:rsidRDefault="008346F6" w:rsidP="00DD1CDC">
      <w:r>
        <w:t xml:space="preserve">I kapittel 3.2 i Indikatorrapporten </w:t>
      </w:r>
      <w:r w:rsidR="00D02CC2">
        <w:fldChar w:fldCharType="begin"/>
      </w:r>
      <w:r w:rsidR="00324105">
        <w:instrText xml:space="preserve"> ADDIN EN.CITE &lt;EndNote&gt;&lt;Cite&gt;&lt;Author&gt;Forskningsrådet&lt;/Author&gt;&lt;Year&gt;2022&lt;/Year&gt;&lt;RecNum&gt;1866&lt;/RecNum&gt;&lt;DisplayText&gt;(Forskningsrådet, 2022)&lt;/DisplayText&gt;&lt;record&gt;&lt;rec-number&gt;1866&lt;/rec-number&gt;&lt;foreign-keys&gt;&lt;key app="EN" db-id="s09wp0wxtwz9aue509w52eagvset90vxefrw" timestamp="1683286450" guid="964e9f7f-c8a9-4dad-b9d4-1b9d6c19428a"&gt;1866&lt;/key&gt;&lt;/foreign-keys&gt;&lt;ref-type name="Report"&gt;27&lt;/ref-type&gt;&lt;contributors&gt;&lt;authors&gt;&lt;author&gt;Forskningsrådet&lt;/author&gt;&lt;/authors&gt;&lt;tertiary-authors&gt;&lt;author&gt;Forskningsrådet&lt;/author&gt;&lt;/tertiary-authors&gt;&lt;/contributors&gt;&lt;titles&gt;&lt;title&gt;Indikatorrapporten 2022&lt;/title&gt;&lt;/titles&gt;&lt;dates&gt;&lt;year&gt;2022&lt;/year&gt;&lt;/dates&gt;&lt;publisher&gt;Forskningsrådet&lt;/publisher&gt;&lt;urls&gt;&lt;related-urls&gt;&lt;url&gt;https://www.forskningsradet.no/indikatorrapporten/&lt;/url&gt;&lt;/related-urls&gt;&lt;/urls&gt;&lt;/record&gt;&lt;/Cite&gt;&lt;/EndNote&gt;</w:instrText>
      </w:r>
      <w:r w:rsidR="00D02CC2">
        <w:fldChar w:fldCharType="separate"/>
      </w:r>
      <w:r w:rsidR="00D02CC2">
        <w:rPr>
          <w:noProof/>
        </w:rPr>
        <w:t>(Forskningsrådet, 2022)</w:t>
      </w:r>
      <w:r w:rsidR="00D02CC2">
        <w:fldChar w:fldCharType="end"/>
      </w:r>
      <w:r w:rsidR="0002252A">
        <w:t xml:space="preserve"> </w:t>
      </w:r>
      <w:r w:rsidR="00230CA9">
        <w:t>presenteres kvinneandelen i professor- og dosentstillinger og andre stillingstyper etter fagområde</w:t>
      </w:r>
      <w:r w:rsidR="00931D2C">
        <w:t xml:space="preserve"> </w:t>
      </w:r>
      <w:r w:rsidR="000229E6">
        <w:t>fr</w:t>
      </w:r>
      <w:r w:rsidR="00FE5613">
        <w:t>a</w:t>
      </w:r>
      <w:r w:rsidR="000229E6">
        <w:t>m til</w:t>
      </w:r>
      <w:r w:rsidR="00931D2C">
        <w:t xml:space="preserve"> 2020</w:t>
      </w:r>
      <w:r w:rsidR="00230CA9">
        <w:t xml:space="preserve">. </w:t>
      </w:r>
      <w:r w:rsidR="00126131">
        <w:t>Her kommer det fr</w:t>
      </w:r>
      <w:r w:rsidR="00FE5613">
        <w:t>a</w:t>
      </w:r>
      <w:r w:rsidR="00126131">
        <w:t>m at andelen kvinner i faglige toppstillinger har nådd 50 prosent for medisin- og helsefag</w:t>
      </w:r>
      <w:r w:rsidR="00395247">
        <w:t>.</w:t>
      </w:r>
      <w:r w:rsidR="00CE7A76">
        <w:t xml:space="preserve"> For humaniora og kunstfag er andelen 40 prosent. Lavest ligger teknol</w:t>
      </w:r>
      <w:r w:rsidR="00F474F1">
        <w:t>ogi-fag</w:t>
      </w:r>
      <w:r w:rsidR="00B6004D">
        <w:t xml:space="preserve"> med en andel på 15 prosent</w:t>
      </w:r>
      <w:r w:rsidR="004551C4">
        <w:t>, fulgt av matematikk og naturvitenskap og landbruks- fiskerifag og veterinærmedisin med 21 prosent.</w:t>
      </w:r>
    </w:p>
    <w:p w14:paraId="336ACC8C" w14:textId="08AB753F" w:rsidR="0064115E" w:rsidRDefault="00126410" w:rsidP="00DD1CDC">
      <w:r>
        <w:t xml:space="preserve">Eurostat gjennomfører med jevne mellomrom </w:t>
      </w:r>
      <w:r w:rsidR="008D66FB">
        <w:t>undersøkelser av kvinneandel i faglige toppstillinger</w:t>
      </w:r>
      <w:r w:rsidR="009C39A7">
        <w:t xml:space="preserve">. </w:t>
      </w:r>
      <w:r w:rsidR="00E833A1">
        <w:t xml:space="preserve">De siste oppdaterte tallene er fra 2018, og </w:t>
      </w:r>
      <w:r w:rsidR="00F96B0F">
        <w:t>dette året var</w:t>
      </w:r>
      <w:r w:rsidR="00D6485C">
        <w:t xml:space="preserve"> </w:t>
      </w:r>
      <w:r w:rsidR="00023BBA">
        <w:t>den</w:t>
      </w:r>
      <w:r w:rsidR="00D6485C">
        <w:t xml:space="preserve"> samlede kvinneandelen i toppstillinger i EU</w:t>
      </w:r>
      <w:r w:rsidR="00871700">
        <w:t xml:space="preserve">-landene </w:t>
      </w:r>
      <w:r w:rsidR="00F96B0F">
        <w:t>26 prosent, mot 31 prosent i Norge.</w:t>
      </w:r>
      <w:r w:rsidR="00187B46">
        <w:t xml:space="preserve"> </w:t>
      </w:r>
      <w:r w:rsidR="00F03C85">
        <w:t xml:space="preserve">Landene som har høyere andel kvinner i toppstillinger </w:t>
      </w:r>
      <w:r w:rsidR="00951FA3">
        <w:t xml:space="preserve">enn Norge er utelukkede </w:t>
      </w:r>
      <w:r w:rsidR="0036742A">
        <w:t xml:space="preserve">tidligere </w:t>
      </w:r>
      <w:r w:rsidR="00911377">
        <w:t>kommunistiske</w:t>
      </w:r>
      <w:r w:rsidR="00EB7E31">
        <w:t xml:space="preserve"> stater </w:t>
      </w:r>
      <w:r w:rsidR="00911377">
        <w:t>i tillegg til Malta.</w:t>
      </w:r>
      <w:r w:rsidR="004F4D78">
        <w:t xml:space="preserve"> Se Eurostats publikasjon </w:t>
      </w:r>
      <w:proofErr w:type="spellStart"/>
      <w:r w:rsidR="006F5BCE" w:rsidRPr="006F5BCE">
        <w:rPr>
          <w:i/>
          <w:iCs/>
        </w:rPr>
        <w:t>She</w:t>
      </w:r>
      <w:proofErr w:type="spellEnd"/>
      <w:r w:rsidR="006F5BCE" w:rsidRPr="006F5BCE">
        <w:rPr>
          <w:i/>
          <w:iCs/>
        </w:rPr>
        <w:t xml:space="preserve"> </w:t>
      </w:r>
      <w:proofErr w:type="spellStart"/>
      <w:r w:rsidR="006F5BCE" w:rsidRPr="006F5BCE">
        <w:rPr>
          <w:i/>
          <w:iCs/>
        </w:rPr>
        <w:t>Figures</w:t>
      </w:r>
      <w:proofErr w:type="spellEnd"/>
      <w:r w:rsidR="006F5BCE">
        <w:t xml:space="preserve"> </w:t>
      </w:r>
      <w:r w:rsidR="006F5BCE">
        <w:fldChar w:fldCharType="begin"/>
      </w:r>
      <w:r w:rsidR="00E81DF5">
        <w:instrText xml:space="preserve"> ADDIN EN.CITE &lt;EndNote&gt;&lt;Cite&gt;&lt;Author&gt;European Commission&lt;/Author&gt;&lt;Year&gt;2021&lt;/Year&gt;&lt;RecNum&gt;1864&lt;/RecNum&gt;&lt;DisplayText&gt;(European Commission, 2021)&lt;/DisplayText&gt;&lt;record&gt;&lt;rec-number&gt;1864&lt;/rec-number&gt;&lt;foreign-keys&gt;&lt;key app="EN" db-id="s09wp0wxtwz9aue509w52eagvset90vxefrw" timestamp="1683284665" guid="563f4caf-e7d6-4980-b118-72df69d3e429"&gt;1864&lt;/key&gt;&lt;/foreign-keys&gt;&lt;ref-type name="Book"&gt;6&lt;/ref-type&gt;&lt;contributors&gt;&lt;authors&gt;&lt;author&gt;European Commission, &lt;/author&gt;&lt;/authors&gt;&lt;/contributors&gt;&lt;titles&gt;&lt;title&gt;She figures 2021 : gender in research and innovation : statistics and indicators&lt;/title&gt;&lt;/titles&gt;&lt;dates&gt;&lt;year&gt;2021&lt;/year&gt;&lt;/dates&gt;&lt;publisher&gt;Publications Office&lt;/publisher&gt;&lt;urls&gt;&lt;/urls&gt;&lt;electronic-resource-num&gt;doi/10.2777/06090&lt;/electronic-resource-num&gt;&lt;/record&gt;&lt;/Cite&gt;&lt;/EndNote&gt;</w:instrText>
      </w:r>
      <w:r w:rsidR="006F5BCE">
        <w:fldChar w:fldCharType="separate"/>
      </w:r>
      <w:r w:rsidR="00E81DF5">
        <w:rPr>
          <w:noProof/>
        </w:rPr>
        <w:t>(European Commission, 2021)</w:t>
      </w:r>
      <w:r w:rsidR="006F5BCE">
        <w:fldChar w:fldCharType="end"/>
      </w:r>
      <w:r w:rsidR="006F5BCE">
        <w:t xml:space="preserve"> </w:t>
      </w:r>
      <w:r w:rsidR="00127C79">
        <w:t xml:space="preserve">for </w:t>
      </w:r>
      <w:r w:rsidR="008F6373">
        <w:t xml:space="preserve">ytterligere sammenlignbar statistikk om kjønn i </w:t>
      </w:r>
      <w:r w:rsidR="00282471">
        <w:t>forsknings- og innovasjonssektoren.</w:t>
      </w:r>
      <w:r w:rsidR="00CA392E">
        <w:t xml:space="preserve"> </w:t>
      </w:r>
    </w:p>
    <w:p w14:paraId="36EFAAA4" w14:textId="77777777" w:rsidR="00C65366" w:rsidRDefault="00C65366">
      <w:pPr>
        <w:rPr>
          <w:rFonts w:asciiTheme="majorHAnsi" w:eastAsiaTheme="majorEastAsia" w:hAnsiTheme="majorHAnsi" w:cstheme="majorBidi"/>
          <w:b/>
          <w:color w:val="362683"/>
          <w:sz w:val="24"/>
          <w:szCs w:val="26"/>
        </w:rPr>
      </w:pPr>
      <w:r>
        <w:br w:type="page"/>
      </w:r>
    </w:p>
    <w:p w14:paraId="1BCE00F2" w14:textId="52162754" w:rsidR="00D6223C" w:rsidRDefault="00293F10" w:rsidP="00AE4B98">
      <w:pPr>
        <w:pStyle w:val="Overskrift3"/>
      </w:pPr>
      <w:bookmarkStart w:id="206" w:name="_Toc134792759"/>
      <w:r w:rsidRPr="00293F10">
        <w:lastRenderedPageBreak/>
        <w:t xml:space="preserve">Andelen midlertidig ansatte i undervisnings- og forskningsstillinger </w:t>
      </w:r>
      <w:r w:rsidR="00D313BA">
        <w:t>–</w:t>
      </w:r>
      <w:r>
        <w:t xml:space="preserve"> </w:t>
      </w:r>
      <w:r w:rsidRPr="00293F10">
        <w:t>nasjonal styringsparameter</w:t>
      </w:r>
      <w:bookmarkEnd w:id="206"/>
    </w:p>
    <w:p w14:paraId="430724AF" w14:textId="27B8FC3F" w:rsidR="004C0FA9" w:rsidRDefault="00BD6699" w:rsidP="009F7D33">
      <w:r>
        <w:t>Universiteter og høyskoler utgjør en sektor med betydelig innslag av midlertidighet</w:t>
      </w:r>
      <w:r w:rsidR="000D3B37">
        <w:t>, og de</w:t>
      </w:r>
      <w:r>
        <w:t xml:space="preserve">t har vært </w:t>
      </w:r>
      <w:r w:rsidR="003B0D4B">
        <w:t xml:space="preserve">et </w:t>
      </w:r>
      <w:r w:rsidR="005871F6">
        <w:t>politisk må</w:t>
      </w:r>
      <w:r w:rsidR="00AF2C1E">
        <w:t>l</w:t>
      </w:r>
      <w:r w:rsidR="005871F6">
        <w:t xml:space="preserve"> over tid å redusere </w:t>
      </w:r>
      <w:r w:rsidR="000D3B37">
        <w:t xml:space="preserve">midlertidigheten. </w:t>
      </w:r>
      <w:r w:rsidR="00076447">
        <w:t xml:space="preserve">De siste årene har vi </w:t>
      </w:r>
      <w:r w:rsidR="00217527">
        <w:t>sett en ned</w:t>
      </w:r>
      <w:r w:rsidR="00157907">
        <w:t>gang i andelen midlertidig</w:t>
      </w:r>
      <w:r w:rsidR="006B0D09">
        <w:t>e stillinger</w:t>
      </w:r>
      <w:r w:rsidR="00DE49FF">
        <w:t xml:space="preserve"> i sektoren. </w:t>
      </w:r>
      <w:r w:rsidR="00817234">
        <w:t>Fra 2021 ble</w:t>
      </w:r>
      <w:r w:rsidR="000B3E05">
        <w:t xml:space="preserve"> måten å beregne midlertidighetstallene på justert noe</w:t>
      </w:r>
      <w:r w:rsidR="006C1699">
        <w:t>, men</w:t>
      </w:r>
      <w:r w:rsidR="00695AB8">
        <w:t xml:space="preserve"> dette har gitt relativt små utsl</w:t>
      </w:r>
      <w:r w:rsidR="00FB1B26">
        <w:t>ag i tallene.</w:t>
      </w:r>
    </w:p>
    <w:p w14:paraId="2CB3701F" w14:textId="38E7AAFB" w:rsidR="003178FE" w:rsidRDefault="00744345" w:rsidP="009F7D33">
      <w:r>
        <w:t>Tendensen de siste å</w:t>
      </w:r>
      <w:r w:rsidR="003178FE">
        <w:t xml:space="preserve">rene har vært en nedgang i andelen midlertidige i </w:t>
      </w:r>
      <w:r w:rsidR="00560B07">
        <w:t>undervisnings- og forskningsstillinger og administrative stillinger.</w:t>
      </w:r>
      <w:r w:rsidR="003C14C7">
        <w:t xml:space="preserve"> </w:t>
      </w:r>
      <w:r w:rsidR="006B6D29">
        <w:t xml:space="preserve">For disse </w:t>
      </w:r>
      <w:r w:rsidR="00F035C5">
        <w:t>gruppene er det en klar ned</w:t>
      </w:r>
      <w:r w:rsidR="00F2112B">
        <w:t xml:space="preserve">gang fra 2021 til 2022. </w:t>
      </w:r>
      <w:r w:rsidR="00E357DF">
        <w:t>Andelen midlertidige</w:t>
      </w:r>
      <w:r w:rsidR="009A50C5">
        <w:t xml:space="preserve"> i disse </w:t>
      </w:r>
      <w:r w:rsidR="006A28E7">
        <w:t>to stillingstypene</w:t>
      </w:r>
      <w:r w:rsidR="009A50C5">
        <w:t xml:space="preserve"> </w:t>
      </w:r>
      <w:r w:rsidR="00E357DF">
        <w:t xml:space="preserve">er nå henholdsvis </w:t>
      </w:r>
      <w:r w:rsidR="006A28E7">
        <w:t>11,8 og 9,8 prosent</w:t>
      </w:r>
      <w:r w:rsidR="00F85BD9">
        <w:t>,</w:t>
      </w:r>
      <w:r w:rsidR="003E364A">
        <w:t xml:space="preserve"> det vil si 1,1 og 0,5 prosentpoeng lavere enn i 2021</w:t>
      </w:r>
      <w:r w:rsidR="00B30748">
        <w:t>.</w:t>
      </w:r>
      <w:r w:rsidR="002C0AFA">
        <w:t xml:space="preserve"> For støttestillinger er tallene </w:t>
      </w:r>
      <w:r w:rsidR="005F6E21">
        <w:t>omtrent uendret</w:t>
      </w:r>
      <w:r w:rsidR="00E56E81">
        <w:t xml:space="preserve"> siden 2021</w:t>
      </w:r>
      <w:r w:rsidR="00C07D08">
        <w:t>.</w:t>
      </w:r>
    </w:p>
    <w:p w14:paraId="1CF511DD" w14:textId="1E7871FA" w:rsidR="004C0FA9" w:rsidRDefault="004C0FA9" w:rsidP="004C0FA9">
      <w:pPr>
        <w:pStyle w:val="Bildetekst"/>
        <w:keepNext/>
      </w:pPr>
      <w:bookmarkStart w:id="207" w:name="_Toc134792807"/>
      <w:r>
        <w:t xml:space="preserve">Figur </w:t>
      </w:r>
      <w:r>
        <w:fldChar w:fldCharType="begin"/>
      </w:r>
      <w:r>
        <w:instrText>STYLEREF 1 \s</w:instrText>
      </w:r>
      <w:r>
        <w:fldChar w:fldCharType="separate"/>
      </w:r>
      <w:r w:rsidR="00F262EF">
        <w:rPr>
          <w:noProof/>
        </w:rPr>
        <w:t>4</w:t>
      </w:r>
      <w:r>
        <w:fldChar w:fldCharType="end"/>
      </w:r>
      <w:r w:rsidR="004F2208">
        <w:t>.</w:t>
      </w:r>
      <w:r>
        <w:fldChar w:fldCharType="begin"/>
      </w:r>
      <w:r>
        <w:instrText>SEQ Figur \* ARABIC \s 1</w:instrText>
      </w:r>
      <w:r>
        <w:fldChar w:fldCharType="separate"/>
      </w:r>
      <w:r w:rsidR="00F262EF">
        <w:rPr>
          <w:noProof/>
        </w:rPr>
        <w:t>7</w:t>
      </w:r>
      <w:r>
        <w:fldChar w:fldCharType="end"/>
      </w:r>
      <w:r>
        <w:t xml:space="preserve"> </w:t>
      </w:r>
      <w:r w:rsidRPr="000578AE">
        <w:t>Midlertidige årsverk i ulike stillingsgrupper, statlige institusjoner 2016–22. Prosent</w:t>
      </w:r>
      <w:bookmarkEnd w:id="207"/>
    </w:p>
    <w:p w14:paraId="77809A0B" w14:textId="6C7DCBAB" w:rsidR="009F7D33" w:rsidRDefault="009F7D33" w:rsidP="009F7D33">
      <w:r>
        <w:rPr>
          <w:noProof/>
        </w:rPr>
        <w:drawing>
          <wp:inline distT="0" distB="0" distL="0" distR="0" wp14:anchorId="30FB3F2E" wp14:editId="4EC7FB5E">
            <wp:extent cx="5184140" cy="3558540"/>
            <wp:effectExtent l="0" t="0" r="16510" b="3810"/>
            <wp:docPr id="4" name="Diagram 4">
              <a:extLst xmlns:a="http://schemas.openxmlformats.org/drawingml/2006/main">
                <a:ext uri="{FF2B5EF4-FFF2-40B4-BE49-F238E27FC236}">
                  <a16:creationId xmlns:a16="http://schemas.microsoft.com/office/drawing/2014/main" id="{6F44B6AD-B7D6-4744-B405-65DA704EF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FC05BAD" w14:textId="7C0A7496" w:rsidR="00B74932" w:rsidRDefault="00B74932" w:rsidP="00B74932">
      <w:pPr>
        <w:pStyle w:val="Merknad"/>
      </w:pPr>
      <w:r w:rsidRPr="00B74932">
        <w:t>Beregningen er justert på bakgrunn av anbefalinger fra</w:t>
      </w:r>
      <w:r w:rsidR="00EC75BC">
        <w:t xml:space="preserve"> en</w:t>
      </w:r>
      <w:r w:rsidRPr="00B74932">
        <w:t xml:space="preserve"> arbeidsgruppe som har sett på midlertidighetsstatistikken i UH-sektoren. Inkluderer stillingskoder i kategoriene UN1, AD2, ST1, ST2 og ST3 (nyeste inndeling). Kun statlige institusjoner. Bistillinger holdes utenfor. Noen undervisnings- og forskerstillinger er på åremål, jf. lov om universiteter og høyskoler § 6-4 første ledd bokstav i og j. Dette utgjør i 2022 196 årsverk. Disse holdes også utenfor.</w:t>
      </w:r>
    </w:p>
    <w:p w14:paraId="23402C85" w14:textId="2A394CF7" w:rsidR="00B74932" w:rsidRDefault="00B74932" w:rsidP="00B74932">
      <w:pPr>
        <w:pStyle w:val="Kilde"/>
      </w:pPr>
      <w:r>
        <w:t xml:space="preserve">Kilde: </w:t>
      </w:r>
      <w:proofErr w:type="spellStart"/>
      <w:r>
        <w:t>DBH</w:t>
      </w:r>
      <w:proofErr w:type="spellEnd"/>
    </w:p>
    <w:p w14:paraId="4B0408D4" w14:textId="115F5039" w:rsidR="0033309A" w:rsidRDefault="008A1D2B" w:rsidP="008A1D2B">
      <w:r>
        <w:t xml:space="preserve">Vedleggstabellene </w:t>
      </w:r>
      <w:hyperlink r:id="rId146" w:history="1">
        <w:r w:rsidRPr="00D517F4">
          <w:rPr>
            <w:rStyle w:val="Hyperkobling"/>
          </w:rPr>
          <w:t>V4.2</w:t>
        </w:r>
        <w:r w:rsidR="004166B7" w:rsidRPr="00D517F4">
          <w:rPr>
            <w:rStyle w:val="Hyperkobling"/>
          </w:rPr>
          <w:t>8</w:t>
        </w:r>
      </w:hyperlink>
      <w:r>
        <w:t xml:space="preserve">, </w:t>
      </w:r>
      <w:hyperlink r:id="rId147" w:history="1">
        <w:r w:rsidRPr="00D517F4">
          <w:rPr>
            <w:rStyle w:val="Hyperkobling"/>
          </w:rPr>
          <w:t>V4.2</w:t>
        </w:r>
        <w:r w:rsidR="004166B7" w:rsidRPr="00D517F4">
          <w:rPr>
            <w:rStyle w:val="Hyperkobling"/>
          </w:rPr>
          <w:t>9</w:t>
        </w:r>
      </w:hyperlink>
      <w:r>
        <w:t xml:space="preserve"> og </w:t>
      </w:r>
      <w:hyperlink r:id="rId148" w:history="1">
        <w:r w:rsidRPr="00D517F4">
          <w:rPr>
            <w:rStyle w:val="Hyperkobling"/>
          </w:rPr>
          <w:t>V4.</w:t>
        </w:r>
        <w:r w:rsidR="004166B7" w:rsidRPr="00D517F4">
          <w:rPr>
            <w:rStyle w:val="Hyperkobling"/>
          </w:rPr>
          <w:t>30</w:t>
        </w:r>
      </w:hyperlink>
      <w:r>
        <w:t xml:space="preserve"> viser utviklingen per institusjon og stillingsgruppe de siste ti årene. </w:t>
      </w:r>
      <w:proofErr w:type="spellStart"/>
      <w:r>
        <w:t>Vedleggstabell</w:t>
      </w:r>
      <w:proofErr w:type="spellEnd"/>
      <w:r>
        <w:t xml:space="preserve"> </w:t>
      </w:r>
      <w:hyperlink r:id="rId149" w:history="1">
        <w:r w:rsidRPr="00D244CC">
          <w:rPr>
            <w:rStyle w:val="Hyperkobling"/>
          </w:rPr>
          <w:t>V4.3</w:t>
        </w:r>
        <w:r w:rsidR="001B2383" w:rsidRPr="00D244CC">
          <w:rPr>
            <w:rStyle w:val="Hyperkobling"/>
          </w:rPr>
          <w:t>1</w:t>
        </w:r>
      </w:hyperlink>
      <w:r>
        <w:t xml:space="preserve"> viser samlet andel for disse tre stillingsgruppene.</w:t>
      </w:r>
      <w:r w:rsidR="00667E05">
        <w:t xml:space="preserve"> </w:t>
      </w:r>
      <w:hyperlink r:id="rId150" w:history="1">
        <w:r w:rsidRPr="00D244CC">
          <w:rPr>
            <w:rStyle w:val="Hyperkobling"/>
          </w:rPr>
          <w:t>V4.2</w:t>
        </w:r>
        <w:r w:rsidR="001B2383" w:rsidRPr="00D244CC">
          <w:rPr>
            <w:rStyle w:val="Hyperkobling"/>
          </w:rPr>
          <w:t>8</w:t>
        </w:r>
      </w:hyperlink>
      <w:r w:rsidR="00735668">
        <w:t xml:space="preserve"> viser at det</w:t>
      </w:r>
      <w:r>
        <w:t xml:space="preserve"> er store forskjeller i midlertidighet i undervisnings- og forskerstillinger mellom institusjonene, fra under 10 til over 20 prosent</w:t>
      </w:r>
      <w:r w:rsidR="004E70B0">
        <w:t>. De</w:t>
      </w:r>
      <w:r w:rsidR="0069765A">
        <w:t>n</w:t>
      </w:r>
      <w:r w:rsidR="004E70B0">
        <w:t xml:space="preserve"> overordnede nedgangen </w:t>
      </w:r>
      <w:r w:rsidR="009323D5">
        <w:t>fra 2021 vise</w:t>
      </w:r>
      <w:r w:rsidR="006253E1">
        <w:t>s</w:t>
      </w:r>
      <w:r w:rsidR="009323D5">
        <w:t xml:space="preserve"> igjen i </w:t>
      </w:r>
      <w:hyperlink r:id="rId151" w:history="1">
        <w:r w:rsidR="009323D5" w:rsidRPr="00D244CC">
          <w:rPr>
            <w:rStyle w:val="Hyperkobling"/>
          </w:rPr>
          <w:t>V4.2</w:t>
        </w:r>
        <w:r w:rsidR="001A6ECE" w:rsidRPr="00D244CC">
          <w:rPr>
            <w:rStyle w:val="Hyperkobling"/>
          </w:rPr>
          <w:t>8</w:t>
        </w:r>
      </w:hyperlink>
      <w:r w:rsidR="009323D5">
        <w:t>,</w:t>
      </w:r>
      <w:r w:rsidR="005F7BFA">
        <w:t xml:space="preserve"> og</w:t>
      </w:r>
      <w:r w:rsidR="009323D5">
        <w:t xml:space="preserve"> </w:t>
      </w:r>
      <w:r w:rsidR="008302F7">
        <w:t>vi ser</w:t>
      </w:r>
      <w:r w:rsidR="0069765A">
        <w:t xml:space="preserve"> at </w:t>
      </w:r>
      <w:r w:rsidR="00A91432">
        <w:t>e</w:t>
      </w:r>
      <w:r w:rsidR="0069765A">
        <w:t xml:space="preserve">n del </w:t>
      </w:r>
      <w:r w:rsidR="00EB1A7A">
        <w:t>av</w:t>
      </w:r>
      <w:r w:rsidR="009323D5">
        <w:t xml:space="preserve"> institusjonene som hadde høye midlertidighetstall </w:t>
      </w:r>
      <w:r w:rsidR="0069765A">
        <w:t>i 2021 ligger laver</w:t>
      </w:r>
      <w:r w:rsidR="00A91432">
        <w:t>e</w:t>
      </w:r>
      <w:r w:rsidR="0069765A">
        <w:t xml:space="preserve"> i 2022.</w:t>
      </w:r>
      <w:r w:rsidR="000A6CC7">
        <w:t xml:space="preserve"> </w:t>
      </w:r>
    </w:p>
    <w:p w14:paraId="0B5B5B6E" w14:textId="4A4439FD" w:rsidR="008A1D2B" w:rsidRDefault="00651D1D" w:rsidP="008A1D2B">
      <w:r>
        <w:t xml:space="preserve">Flere institusjoner </w:t>
      </w:r>
      <w:r w:rsidR="00496D70">
        <w:t>h</w:t>
      </w:r>
      <w:r>
        <w:t xml:space="preserve">ar hatt </w:t>
      </w:r>
      <w:r w:rsidR="009C24F5">
        <w:t xml:space="preserve">og har </w:t>
      </w:r>
      <w:r w:rsidR="00F31C66">
        <w:t xml:space="preserve">ansatte i kvalifiseringsløp til </w:t>
      </w:r>
      <w:r w:rsidR="0092549F">
        <w:t>førstekompetanse</w:t>
      </w:r>
      <w:r w:rsidR="0050589B">
        <w:t xml:space="preserve">, noe som </w:t>
      </w:r>
      <w:r w:rsidR="007E23E1">
        <w:t xml:space="preserve">kan </w:t>
      </w:r>
      <w:r w:rsidR="0050589B">
        <w:t xml:space="preserve">bidra til å </w:t>
      </w:r>
      <w:r w:rsidR="007C574E">
        <w:t>øke midlertidig</w:t>
      </w:r>
      <w:r w:rsidR="0049671D">
        <w:t>heten</w:t>
      </w:r>
      <w:r w:rsidR="00482AC8">
        <w:t xml:space="preserve"> </w:t>
      </w:r>
      <w:r w:rsidR="00482AC8">
        <w:fldChar w:fldCharType="begin"/>
      </w:r>
      <w:r w:rsidR="00C86358">
        <w:instrText xml:space="preserve"> ADDIN EN.CITE &lt;EndNote&gt;&lt;Cite&gt;&lt;Author&gt;Høgskolen i Innlandet&lt;/Author&gt;&lt;Year&gt;2022&lt;/Year&gt;&lt;RecNum&gt;1867&lt;/RecNum&gt;&lt;DisplayText&gt;(Høgskolen i Innlandet, 2022)&lt;/DisplayText&gt;&lt;record&gt;&lt;rec-number&gt;1867&lt;/rec-number&gt;&lt;foreign-keys&gt;&lt;key app="EN" db-id="s09wp0wxtwz9aue509w52eagvset90vxefrw" timestamp="1683286729" guid="d324fa6c-d1e0-4658-93ca-26f9e784fcc9"&gt;1867&lt;/key&gt;&lt;/foreign-keys&gt;&lt;ref-type name="Report"&gt;27&lt;/ref-type&gt;&lt;contributors&gt;&lt;authors&gt;&lt;author&gt;Høgskolen i Innlandet,&lt;/author&gt;&lt;/authors&gt;&lt;tertiary-authors&gt;&lt;author&gt;Høgskolen i Innlandet&lt;/author&gt;&lt;/tertiary-authors&gt;&lt;/contributors&gt;&lt;titles&gt;&lt;title&gt;Kvalitetsrapport 2021&lt;/title&gt;&lt;/titles&gt;&lt;dates&gt;&lt;year&gt;2022&lt;/year&gt;&lt;/dates&gt;&lt;publisher&gt;Høgskolen i Innlandet&lt;/publisher&gt;&lt;urls&gt;&lt;related-urls&gt;&lt;url&gt;https://www.inn.no/om-hogskolen/kvalitetssystem-for-utdanning/dokumentasjon/kvalitetsrapport-for-utdanning/2021_kvalitetsrapport_hinn.pdf&lt;/url&gt;&lt;/related-urls&gt;&lt;/urls&gt;&lt;/record&gt;&lt;/Cite&gt;&lt;/EndNote&gt;</w:instrText>
      </w:r>
      <w:r w:rsidR="00482AC8">
        <w:fldChar w:fldCharType="separate"/>
      </w:r>
      <w:r w:rsidR="00C86358">
        <w:rPr>
          <w:noProof/>
        </w:rPr>
        <w:t>(Høgskolen i Innlandet, 2022)</w:t>
      </w:r>
      <w:r w:rsidR="00482AC8">
        <w:fldChar w:fldCharType="end"/>
      </w:r>
      <w:r w:rsidR="0049671D">
        <w:t xml:space="preserve">. </w:t>
      </w:r>
      <w:r w:rsidR="009D01BA">
        <w:t>Dette</w:t>
      </w:r>
      <w:r w:rsidR="002554E9">
        <w:t xml:space="preserve"> kan være noe av årsaken til en </w:t>
      </w:r>
      <w:r w:rsidR="00A93B09">
        <w:t xml:space="preserve">relativt </w:t>
      </w:r>
      <w:r w:rsidR="002554E9">
        <w:t>høy</w:t>
      </w:r>
      <w:r w:rsidR="00281FF0">
        <w:t xml:space="preserve"> midlertidig</w:t>
      </w:r>
      <w:r w:rsidR="00A93B09">
        <w:t>het</w:t>
      </w:r>
      <w:r w:rsidR="00281FF0">
        <w:t xml:space="preserve"> for stillingskodene </w:t>
      </w:r>
      <w:r w:rsidR="00101AE4">
        <w:t>U</w:t>
      </w:r>
      <w:r w:rsidR="00281FF0">
        <w:t xml:space="preserve">niversitetslektor og </w:t>
      </w:r>
      <w:r w:rsidR="00101AE4">
        <w:lastRenderedPageBreak/>
        <w:t>H</w:t>
      </w:r>
      <w:r w:rsidR="00281FF0">
        <w:t>ø</w:t>
      </w:r>
      <w:r w:rsidR="00D907B6">
        <w:t>g</w:t>
      </w:r>
      <w:r w:rsidR="00281FF0">
        <w:t xml:space="preserve">skolelektor, </w:t>
      </w:r>
      <w:r w:rsidR="00C4485B">
        <w:t>se</w:t>
      </w:r>
      <w:r w:rsidR="00281FF0">
        <w:t xml:space="preserve"> </w:t>
      </w:r>
      <w:proofErr w:type="spellStart"/>
      <w:r w:rsidR="00281FF0">
        <w:t>vedleggstabell</w:t>
      </w:r>
      <w:proofErr w:type="spellEnd"/>
      <w:r w:rsidR="00281FF0">
        <w:t xml:space="preserve"> </w:t>
      </w:r>
      <w:hyperlink r:id="rId152" w:history="1">
        <w:r w:rsidR="00281FF0" w:rsidRPr="00D244CC">
          <w:rPr>
            <w:rStyle w:val="Hyperkobling"/>
          </w:rPr>
          <w:t>V4.3</w:t>
        </w:r>
        <w:r w:rsidR="004035A5" w:rsidRPr="00D244CC">
          <w:rPr>
            <w:rStyle w:val="Hyperkobling"/>
          </w:rPr>
          <w:t>3</w:t>
        </w:r>
      </w:hyperlink>
      <w:r w:rsidR="00281FF0">
        <w:t>. Vi ser også at det er høy andel midlertidighet for Forsker</w:t>
      </w:r>
      <w:r w:rsidR="00745F86">
        <w:t>kodene</w:t>
      </w:r>
      <w:r w:rsidR="00281FF0">
        <w:t xml:space="preserve"> (1108 og 1109)</w:t>
      </w:r>
      <w:r w:rsidR="00BF6BD8">
        <w:t>.</w:t>
      </w:r>
      <w:r w:rsidR="00281FF0">
        <w:t xml:space="preserve"> </w:t>
      </w:r>
      <w:r w:rsidR="00604DC3">
        <w:t>D</w:t>
      </w:r>
      <w:r w:rsidR="00281FF0">
        <w:t>ette er koder som har vært vanlig å bruke for tilsettinger i eksternt finansierte forskningsoppdrag.</w:t>
      </w:r>
    </w:p>
    <w:p w14:paraId="493A66BD" w14:textId="74978E7D" w:rsidR="00BA50A5" w:rsidRDefault="00E037A3" w:rsidP="008A1D2B">
      <w:r>
        <w:t xml:space="preserve">Også </w:t>
      </w:r>
      <w:r w:rsidR="00B2115B">
        <w:t xml:space="preserve">andelen midlertidige </w:t>
      </w:r>
      <w:r w:rsidR="00DE506D">
        <w:t xml:space="preserve">administrative stillinger og støttestillinger varierer </w:t>
      </w:r>
      <w:r w:rsidR="00B86BE7">
        <w:t>mye mellom institusjonene. De fleste ligger et sted mello</w:t>
      </w:r>
      <w:r w:rsidR="009A376E">
        <w:t>m 5 og 20 prosent</w:t>
      </w:r>
      <w:r w:rsidR="00B17CDA">
        <w:t xml:space="preserve"> for begge disse s</w:t>
      </w:r>
      <w:r w:rsidR="006C0086">
        <w:t>tillingsgruppene</w:t>
      </w:r>
      <w:r w:rsidR="00DD5444">
        <w:t>.</w:t>
      </w:r>
    </w:p>
    <w:p w14:paraId="16CE175D" w14:textId="408421F3" w:rsidR="00EE145E" w:rsidRDefault="00EE145E" w:rsidP="008A1D2B">
      <w:proofErr w:type="spellStart"/>
      <w:r>
        <w:t>Vedleggstabell</w:t>
      </w:r>
      <w:proofErr w:type="spellEnd"/>
      <w:r>
        <w:t xml:space="preserve"> </w:t>
      </w:r>
      <w:hyperlink r:id="rId153" w:history="1">
        <w:r w:rsidRPr="00425471">
          <w:rPr>
            <w:rStyle w:val="Hyperkobling"/>
          </w:rPr>
          <w:t>V4.3</w:t>
        </w:r>
        <w:r w:rsidR="00FF2E08" w:rsidRPr="00425471">
          <w:rPr>
            <w:rStyle w:val="Hyperkobling"/>
          </w:rPr>
          <w:t>2</w:t>
        </w:r>
      </w:hyperlink>
      <w:r>
        <w:t xml:space="preserve"> viser andel midlertidige årsverk etter finansieringskilde og stillingsgruppe for statlige institusjoner. </w:t>
      </w:r>
      <w:r w:rsidR="005F5A05">
        <w:t>M</w:t>
      </w:r>
      <w:r>
        <w:t>idlertidigheten er betydelig lavere for stillinger finansiert over grunnbudsjettet enn ved ekstern finansiering. For undervisnings- og forskerstillinger er forskjellen 24 prosentpoeng.</w:t>
      </w:r>
      <w:r w:rsidR="00AB2C22">
        <w:t xml:space="preserve"> Se ellers</w:t>
      </w:r>
      <w:r w:rsidR="00191337">
        <w:t xml:space="preserve"> </w:t>
      </w:r>
      <w:r w:rsidR="00604D8E">
        <w:fldChar w:fldCharType="begin"/>
      </w:r>
      <w:r w:rsidR="00604D8E">
        <w:instrText xml:space="preserve"> REF  _Ref134184646 \* Lower \h </w:instrText>
      </w:r>
      <w:r w:rsidR="00604D8E">
        <w:fldChar w:fldCharType="separate"/>
      </w:r>
      <w:r w:rsidR="00F262EF">
        <w:t xml:space="preserve">tekstboks </w:t>
      </w:r>
      <w:r w:rsidR="00F262EF">
        <w:rPr>
          <w:noProof/>
        </w:rPr>
        <w:t>4</w:t>
      </w:r>
      <w:r w:rsidR="00F262EF">
        <w:t>.</w:t>
      </w:r>
      <w:r w:rsidR="00F262EF">
        <w:rPr>
          <w:noProof/>
        </w:rPr>
        <w:t>1</w:t>
      </w:r>
      <w:r w:rsidR="00604D8E">
        <w:fldChar w:fldCharType="end"/>
      </w:r>
      <w:r w:rsidR="00AB2C22">
        <w:t xml:space="preserve"> om </w:t>
      </w:r>
      <w:r w:rsidR="00627024">
        <w:t xml:space="preserve">ekstern finansiering og </w:t>
      </w:r>
      <w:r w:rsidR="00AB2C22">
        <w:t>midlertidighet</w:t>
      </w:r>
      <w:r w:rsidR="00B71D5E">
        <w:t>.</w:t>
      </w:r>
    </w:p>
    <w:p w14:paraId="085EDFB7" w14:textId="7EA306AD" w:rsidR="006E4A63" w:rsidRDefault="006E4A63"/>
    <w:p w14:paraId="009E040E" w14:textId="490E479B" w:rsidR="00055774" w:rsidRDefault="00055774">
      <w:r>
        <w:br w:type="page"/>
      </w:r>
    </w:p>
    <w:bookmarkStart w:id="208" w:name="_Ref134184646"/>
    <w:bookmarkStart w:id="209" w:name="_Toc134792821"/>
    <w:p w14:paraId="1351B975" w14:textId="0BA1AF15" w:rsidR="006E4A63" w:rsidRPr="009F7D33" w:rsidRDefault="009D54D3" w:rsidP="009D54D3">
      <w:pPr>
        <w:pStyle w:val="Bildetekst"/>
      </w:pPr>
      <w:r w:rsidRPr="006E4A63">
        <w:rPr>
          <w:noProof/>
        </w:rPr>
        <w:lastRenderedPageBreak/>
        <mc:AlternateContent>
          <mc:Choice Requires="wps">
            <w:drawing>
              <wp:anchor distT="45720" distB="45720" distL="114300" distR="114300" simplePos="0" relativeHeight="251658243" behindDoc="0" locked="0" layoutInCell="1" allowOverlap="1" wp14:anchorId="4336AC1D" wp14:editId="392EE9C3">
                <wp:simplePos x="0" y="0"/>
                <wp:positionH relativeFrom="margin">
                  <wp:posOffset>5715</wp:posOffset>
                </wp:positionH>
                <wp:positionV relativeFrom="paragraph">
                  <wp:posOffset>327660</wp:posOffset>
                </wp:positionV>
                <wp:extent cx="5238750" cy="7734300"/>
                <wp:effectExtent l="38100" t="38100" r="57150" b="57150"/>
                <wp:wrapSquare wrapText="bothSides"/>
                <wp:docPr id="1150446080" name="Tekstboks 1150446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734300"/>
                        </a:xfrm>
                        <a:prstGeom prst="rect">
                          <a:avLst/>
                        </a:prstGeom>
                        <a:solidFill>
                          <a:srgbClr val="FFFFFF"/>
                        </a:solidFill>
                        <a:ln w="9525">
                          <a:solidFill>
                            <a:srgbClr val="362683"/>
                          </a:solidFill>
                          <a:miter lim="800000"/>
                          <a:headEnd/>
                          <a:tailEnd/>
                        </a:ln>
                        <a:effectLst>
                          <a:glow rad="38100">
                            <a:srgbClr val="362683">
                              <a:alpha val="40000"/>
                            </a:srgbClr>
                          </a:glow>
                        </a:effectLst>
                      </wps:spPr>
                      <wps:txbx>
                        <w:txbxContent>
                          <w:p w14:paraId="0892EF4E" w14:textId="196C6499" w:rsidR="00A704B1" w:rsidRDefault="006E4A63" w:rsidP="00A704B1">
                            <w:r w:rsidRPr="00B47CA4">
                              <w:t xml:space="preserve"> </w:t>
                            </w:r>
                            <w:r w:rsidR="00A704B1">
                              <w:t xml:space="preserve">På oppdrag fra Kunnskapsdepartementet leverte </w:t>
                            </w:r>
                            <w:proofErr w:type="spellStart"/>
                            <w:r w:rsidR="00A704B1">
                              <w:t>PROBA</w:t>
                            </w:r>
                            <w:proofErr w:type="spellEnd"/>
                            <w:r w:rsidR="00A704B1">
                              <w:t xml:space="preserve"> samfunnsanalyse i 2023 </w:t>
                            </w:r>
                            <w:hyperlink r:id="rId154" w:history="1">
                              <w:r w:rsidR="009F0766" w:rsidRPr="00E2059E">
                                <w:rPr>
                                  <w:rStyle w:val="Hyperkobling"/>
                                </w:rPr>
                                <w:t>(</w:t>
                              </w:r>
                              <w:proofErr w:type="spellStart"/>
                              <w:r w:rsidR="009F0766" w:rsidRPr="00E2059E">
                                <w:rPr>
                                  <w:rStyle w:val="Hyperkobling"/>
                                </w:rPr>
                                <w:t>PROBA</w:t>
                              </w:r>
                              <w:proofErr w:type="spellEnd"/>
                              <w:r w:rsidR="009F0766" w:rsidRPr="00E2059E">
                                <w:rPr>
                                  <w:rStyle w:val="Hyperkobling"/>
                                </w:rPr>
                                <w:t xml:space="preserve"> samfunnsanalyse, 2023)</w:t>
                              </w:r>
                            </w:hyperlink>
                            <w:r w:rsidR="009F0766">
                              <w:rPr>
                                <w:b/>
                              </w:rPr>
                              <w:t xml:space="preserve"> </w:t>
                            </w:r>
                            <w:r w:rsidR="00A704B1">
                              <w:t>en rapport om hvordan ekstern finansiering påvirker bruk av midlertidige stillinger ved norske universiteter og høyskoler. Rapporten tar for seg utbredelse og forløp av midlertidighet, årsaker til og motivasjon for midlertidige ansettelser samt hvordan ekstern finansiering og midlertidighet påvirker og påvirkes av organisering, ansvar og ledelse ved universiteter og høyskoler. Sentralt i undersøkelsen sto intervjuer av ledere på ulike nivå ved NHH, NTNU og UiO. Ingen av de nyere universitetene ble inkludert fordi andelen ekstern finansiering her fortsatt er så lav at disse institusjonene ble funnet lite egnet til å belyse problemstillingen.</w:t>
                            </w:r>
                          </w:p>
                          <w:p w14:paraId="07F3498D" w14:textId="77777777" w:rsidR="00A704B1" w:rsidRDefault="00A704B1" w:rsidP="00A704B1">
                            <w:r>
                              <w:t>Et hovedfunn i analysen er at institusjonene opplever en målkonflikt ved at de skal oppnå både økt ekstern finansiering og redusert midlertidighet. Et gjennomgående budskap fra lederintervjuene – særlig på fakultets- og instituttnivå – var at det ikke lenger er noen uønsket midlertidighet, og at alle muligheter til å redusere midlertidigheten nå er uttømt. Lederne som ble intervjuet, ga uttrykk for at midlertidig finansiering av en stilling må medføre midlertidig ansettelse i stillingen, eventuelt ansettelse på det vilkår at opphør av finansieringen medfører oppsigelse. Måten de politiske styringssignalene operasjonaliseres på gjennom ulike finansieringsmekanismer, oppfattes å være uforenelige med hovedprinsippet i arbeidslivet om fast ansettelse.</w:t>
                            </w:r>
                          </w:p>
                          <w:p w14:paraId="1B594948" w14:textId="12109E84" w:rsidR="00A704B1" w:rsidRDefault="00A704B1" w:rsidP="00A704B1">
                            <w:proofErr w:type="spellStart"/>
                            <w:r>
                              <w:t>PROBA</w:t>
                            </w:r>
                            <w:proofErr w:type="spellEnd"/>
                            <w:r>
                              <w:t xml:space="preserve"> samfunnsanalyse finner at vurderingen hviler på to </w:t>
                            </w:r>
                            <w:proofErr w:type="spellStart"/>
                            <w:r>
                              <w:t>hovedforutsetninger</w:t>
                            </w:r>
                            <w:proofErr w:type="spellEnd"/>
                            <w:r>
                              <w:t>, nemlig at enheten vil unngå finansieringsrisiko og at forskerne er så spesialiserte at institusjonen ikke kan tilby andre oppgaver når finansieringen opphører. Rapporten peker på at institusjonene i større grad bør søke å unngå ansettelsesvilkår der risikoen ved opphør av finansiering ligger på individnivå</w:t>
                            </w:r>
                            <w:r w:rsidR="006E0141">
                              <w:t>. Denne risikoen bør</w:t>
                            </w:r>
                            <w:r>
                              <w:t xml:space="preserve"> heller</w:t>
                            </w:r>
                            <w:r w:rsidR="00175F91">
                              <w:t xml:space="preserve"> lig</w:t>
                            </w:r>
                            <w:r w:rsidR="00440DC7">
                              <w:t>ge</w:t>
                            </w:r>
                            <w:r>
                              <w:t xml:space="preserve"> for eksempel på faggruppenivå. Analysen viser til at NTNU er i gang med et slikt endringsarbeid.</w:t>
                            </w:r>
                          </w:p>
                          <w:p w14:paraId="4B5D1A0A" w14:textId="36CB4A7C" w:rsidR="00A704B1" w:rsidRDefault="00A704B1" w:rsidP="00A704B1">
                            <w:r>
                              <w:t xml:space="preserve">Ifølge rapporten er det behov for en tydeligere klargjøring fra Kunnskapsdepartementet om hva som skal anses som uønsket midlertidighet og hvilket nivå som skal </w:t>
                            </w:r>
                            <w:r w:rsidR="001C0B4B">
                              <w:t>betraktes</w:t>
                            </w:r>
                            <w:r>
                              <w:t xml:space="preserve"> som akseptabelt. Spesielt er det viktig å avklare nærmere hva som er godkjent bruk av postdoktorstillingen, særlig med tanke på kvalifiseringsaspektet.</w:t>
                            </w:r>
                            <w:r w:rsidRPr="00180BFD">
                              <w:t xml:space="preserve"> </w:t>
                            </w:r>
                            <w:r>
                              <w:t xml:space="preserve">Rapporten legger til grunn at postdoktorstillinger ofte brukes i strid med formålet, særlig ved at kvalifiseringsaspektet ikke varetas i tilstrekkelig grad. I slike tilfeller representerer postdoktorstillingene i realiteten midlertidige forskerstillinger. Funnene i rapporten tilsier at de skisserte tiltakene i Kunnskapsdepartementets </w:t>
                            </w:r>
                            <w:r w:rsidRPr="00216979">
                              <w:rPr>
                                <w:i/>
                                <w:iCs/>
                              </w:rPr>
                              <w:t>Strategi for forskerrekruttering og karriereutvikling</w:t>
                            </w:r>
                            <w:r>
                              <w:t xml:space="preserve"> fra 2021 </w:t>
                            </w:r>
                            <w:hyperlink r:id="rId155" w:history="1">
                              <w:r w:rsidR="00694BB4" w:rsidRPr="00694BB4">
                                <w:rPr>
                                  <w:rStyle w:val="Hyperkobling"/>
                                </w:rPr>
                                <w:t>(Kunnskapsdepartementet, 2021</w:t>
                              </w:r>
                              <w:r w:rsidR="00517920">
                                <w:rPr>
                                  <w:rStyle w:val="Hyperkobling"/>
                                </w:rPr>
                                <w:t>b</w:t>
                              </w:r>
                              <w:r w:rsidR="00694BB4" w:rsidRPr="00694BB4">
                                <w:rPr>
                                  <w:rStyle w:val="Hyperkobling"/>
                                </w:rPr>
                                <w:t>)</w:t>
                              </w:r>
                            </w:hyperlink>
                            <w:r>
                              <w:t xml:space="preserve"> kan være hensiktsmessige. Samtidig legger </w:t>
                            </w:r>
                            <w:proofErr w:type="spellStart"/>
                            <w:r>
                              <w:t>PROBA</w:t>
                            </w:r>
                            <w:proofErr w:type="spellEnd"/>
                            <w:r>
                              <w:t xml:space="preserve"> samfunnsanalyse til at Kunnskapsdepartementet bør vurdere å ta med en presisering om at </w:t>
                            </w:r>
                            <w:r w:rsidRPr="00767F46">
                              <w:t>dersom det ikke legges tilstrekkelige opp</w:t>
                            </w:r>
                            <w:r>
                              <w:t>g</w:t>
                            </w:r>
                            <w:r w:rsidRPr="00767F46">
                              <w:t>aver til en postdoktorstilling til at den ansatte kan oppnå kvalifiseringskravet, så skal det ansettes i en (fast eller midlertidig) forskerstilling i stedet</w:t>
                            </w:r>
                            <w:r>
                              <w:t>.</w:t>
                            </w:r>
                          </w:p>
                          <w:p w14:paraId="4DBCBE22" w14:textId="77777777" w:rsidR="00A704B1" w:rsidRDefault="00A704B1" w:rsidP="00A704B1">
                            <w:r>
                              <w:t xml:space="preserve">En bedre klargjøring av hva som er ønsket og uønsket midlertidighet vil legge til rette for rapportering i samsvar med slike føringer. </w:t>
                            </w:r>
                            <w:r w:rsidRPr="00F44D86">
                              <w:t>Siden ekstern finansiering er en viktig årsaksfaktor for omfang av midlertidighet, bør</w:t>
                            </w:r>
                            <w:r>
                              <w:t xml:space="preserve"> mål for akseptabel andel av midlertidighet </w:t>
                            </w:r>
                            <w:r w:rsidRPr="00F44D86">
                              <w:t>settes relativt til andelen av ekstern finansiering. Slike måltall bør trolig settes på enhetsnivå (instituttnivå)</w:t>
                            </w:r>
                            <w:r>
                              <w:t>, ifølge rapporten.</w:t>
                            </w:r>
                          </w:p>
                          <w:p w14:paraId="00B9EF43" w14:textId="77777777" w:rsidR="006E4A63" w:rsidRDefault="006E4A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6AC1D" id="Tekstboks 1150446080" o:spid="_x0000_s1032" type="#_x0000_t202" style="position:absolute;margin-left:.45pt;margin-top:25.8pt;width:412.5pt;height:60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" strokecolor="#362683">
                <v:textbox>
                  <w:txbxContent>
                    <w:p w14:paraId="0892EF4E" w14:textId="196C6499" w:rsidR="00A704B1" w:rsidRDefault="006E4A63" w:rsidP="00A704B1">
                      <w:r w:rsidRPr="00B47CA4">
                        <w:t xml:space="preserve"> </w:t>
                      </w:r>
                      <w:r w:rsidR="00A704B1">
                        <w:t xml:space="preserve">På oppdrag fra Kunnskapsdepartementet leverte PROBA samfunnsanalyse i 2023 </w:t>
                      </w:r>
                      <w:hyperlink r:id="rId156" w:history="1">
                        <w:r w:rsidR="009F0766" w:rsidRPr="00E2059E">
                          <w:rPr>
                            <w:rStyle w:val="Hyperkobling"/>
                          </w:rPr>
                          <w:t>(PROBA samfunnsanalyse, 2023)</w:t>
                        </w:r>
                      </w:hyperlink>
                      <w:r w:rsidR="009F0766">
                        <w:rPr>
                          <w:b/>
                        </w:rPr>
                        <w:t xml:space="preserve"> </w:t>
                      </w:r>
                      <w:r w:rsidR="00A704B1">
                        <w:t>en rapport om hvordan ekstern finansiering påvirker bruk av midlertidige stillinger ved norske universiteter og høyskoler. Rapporten tar for seg utbredelse og forløp av midlertidighet, årsaker til og motivasjon for midlertidige ansettelser samt hvordan ekstern finansiering og midlertidighet påvirker og påvirkes av organisering, ansvar og ledelse ved universiteter og høyskoler. Sentralt i undersøkelsen sto intervjuer av ledere på ulike nivå ved NHH, NTNU og UiO. Ingen av de nyere universitetene ble inkludert fordi andelen ekstern finansiering her fortsatt er så lav at disse institusjonene ble funnet lite egnet til å belyse problemstillingen.</w:t>
                      </w:r>
                    </w:p>
                    <w:p w14:paraId="07F3498D" w14:textId="77777777" w:rsidR="00A704B1" w:rsidRDefault="00A704B1" w:rsidP="00A704B1">
                      <w:r>
                        <w:t>Et hovedfunn i analysen er at institusjonene opplever en målkonflikt ved at de skal oppnå både økt ekstern finansiering og redusert midlertidighet. Et gjennomgående budskap fra lederintervjuene – særlig på fakultets- og instituttnivå – var at det ikke lenger er noen uønsket midlertidighet, og at alle muligheter til å redusere midlertidigheten nå er uttømt. Lederne som ble intervjuet, ga uttrykk for at midlertidig finansiering av en stilling må medføre midlertidig ansettelse i stillingen, eventuelt ansettelse på det vilkår at opphør av finansieringen medfører oppsigelse. Måten de politiske styringssignalene operasjonaliseres på gjennom ulike finansieringsmekanismer, oppfattes å være uforenelige med hovedprinsippet i arbeidslivet om fast ansettelse.</w:t>
                      </w:r>
                    </w:p>
                    <w:p w14:paraId="1B594948" w14:textId="12109E84" w:rsidR="00A704B1" w:rsidRDefault="00A704B1" w:rsidP="00A704B1">
                      <w:r>
                        <w:t>PROBA samfunnsanalyse finner at vurderingen hviler på to hovedforutsetninger, nemlig at enheten vil unngå finansieringsrisiko og at forskerne er så spesialiserte at institusjonen ikke kan tilby andre oppgaver når finansieringen opphører. Rapporten peker på at institusjonene i større grad bør søke å unngå ansettelsesvilkår der risikoen ved opphør av finansiering ligger på individnivå</w:t>
                      </w:r>
                      <w:r w:rsidR="006E0141">
                        <w:t>. Denne risikoen bør</w:t>
                      </w:r>
                      <w:r>
                        <w:t xml:space="preserve"> heller</w:t>
                      </w:r>
                      <w:r w:rsidR="00175F91">
                        <w:t xml:space="preserve"> lig</w:t>
                      </w:r>
                      <w:r w:rsidR="00440DC7">
                        <w:t>ge</w:t>
                      </w:r>
                      <w:r>
                        <w:t xml:space="preserve"> for eksempel på faggruppenivå. Analysen viser til at NTNU er i gang med et slikt endringsarbeid.</w:t>
                      </w:r>
                    </w:p>
                    <w:p w14:paraId="4B5D1A0A" w14:textId="36CB4A7C" w:rsidR="00A704B1" w:rsidRDefault="00A704B1" w:rsidP="00A704B1">
                      <w:r>
                        <w:t xml:space="preserve">Ifølge rapporten er det behov for en tydeligere klargjøring fra Kunnskapsdepartementet om hva som skal anses som uønsket midlertidighet og hvilket nivå som skal </w:t>
                      </w:r>
                      <w:r w:rsidR="001C0B4B">
                        <w:t>betraktes</w:t>
                      </w:r>
                      <w:r>
                        <w:t xml:space="preserve"> som akseptabelt. Spesielt er det viktig å avklare nærmere hva som er godkjent bruk av postdoktorstillingen, særlig med tanke på kvalifiseringsaspektet.</w:t>
                      </w:r>
                      <w:r w:rsidRPr="00180BFD">
                        <w:t xml:space="preserve"> </w:t>
                      </w:r>
                      <w:r>
                        <w:t xml:space="preserve">Rapporten legger til grunn at postdoktorstillinger ofte brukes i strid med formålet, særlig ved at kvalifiseringsaspektet ikke varetas i tilstrekkelig grad. I slike tilfeller representerer postdoktorstillingene i realiteten midlertidige forskerstillinger. Funnene i rapporten tilsier at de skisserte tiltakene i Kunnskapsdepartementets </w:t>
                      </w:r>
                      <w:r w:rsidRPr="00216979">
                        <w:rPr>
                          <w:i/>
                          <w:iCs/>
                        </w:rPr>
                        <w:t>Strategi for forskerrekruttering og karriereutvikling</w:t>
                      </w:r>
                      <w:r>
                        <w:t xml:space="preserve"> fra 2021 </w:t>
                      </w:r>
                      <w:hyperlink r:id="rId157" w:history="1">
                        <w:r w:rsidR="00694BB4" w:rsidRPr="00694BB4">
                          <w:rPr>
                            <w:rStyle w:val="Hyperkobling"/>
                          </w:rPr>
                          <w:t>(Kunnskapsdepartementet, 2021</w:t>
                        </w:r>
                        <w:r w:rsidR="00517920">
                          <w:rPr>
                            <w:rStyle w:val="Hyperkobling"/>
                          </w:rPr>
                          <w:t>b</w:t>
                        </w:r>
                        <w:r w:rsidR="00694BB4" w:rsidRPr="00694BB4">
                          <w:rPr>
                            <w:rStyle w:val="Hyperkobling"/>
                          </w:rPr>
                          <w:t>)</w:t>
                        </w:r>
                      </w:hyperlink>
                      <w:r>
                        <w:t xml:space="preserve"> kan være hensiktsmessige. Samtidig legger PROBA samfunnsanalyse til at Kunnskapsdepartementet bør vurdere å ta med en presisering om at </w:t>
                      </w:r>
                      <w:r w:rsidRPr="00767F46">
                        <w:t>dersom det ikke legges tilstrekkelige opp</w:t>
                      </w:r>
                      <w:r>
                        <w:t>g</w:t>
                      </w:r>
                      <w:r w:rsidRPr="00767F46">
                        <w:t>aver til en postdoktorstilling til at den ansatte kan oppnå kvalifiseringskravet, så skal det ansettes i en (fast eller midlertidig) forskerstilling i stedet</w:t>
                      </w:r>
                      <w:r>
                        <w:t>.</w:t>
                      </w:r>
                    </w:p>
                    <w:p w14:paraId="4DBCBE22" w14:textId="77777777" w:rsidR="00A704B1" w:rsidRDefault="00A704B1" w:rsidP="00A704B1">
                      <w:r>
                        <w:t xml:space="preserve">En bedre klargjøring av hva som er ønsket og uønsket midlertidighet vil legge til rette for rapportering i samsvar med slike føringer. </w:t>
                      </w:r>
                      <w:r w:rsidRPr="00F44D86">
                        <w:t>Siden ekstern finansiering er en viktig årsaksfaktor for omfang av midlertidighet, bør</w:t>
                      </w:r>
                      <w:r>
                        <w:t xml:space="preserve"> mål for akseptabel andel av midlertidighet </w:t>
                      </w:r>
                      <w:r w:rsidRPr="00F44D86">
                        <w:t>settes relativt til andelen av ekstern finansiering. Slike måltall bør trolig settes på enhetsnivå (instituttnivå)</w:t>
                      </w:r>
                      <w:r>
                        <w:t>, ifølge rapporten.</w:t>
                      </w:r>
                    </w:p>
                    <w:p w14:paraId="00B9EF43" w14:textId="77777777" w:rsidR="006E4A63" w:rsidRDefault="006E4A63"/>
                  </w:txbxContent>
                </v:textbox>
                <w10:wrap type="square" anchorx="margin"/>
              </v:shape>
            </w:pict>
          </mc:Fallback>
        </mc:AlternateContent>
      </w:r>
      <w:r>
        <w:t xml:space="preserve">Tekstboks </w:t>
      </w:r>
      <w:r>
        <w:fldChar w:fldCharType="begin"/>
      </w:r>
      <w:r>
        <w:instrText>STYLEREF 1 \s</w:instrText>
      </w:r>
      <w:r>
        <w:fldChar w:fldCharType="separate"/>
      </w:r>
      <w:r w:rsidR="00F262EF">
        <w:rPr>
          <w:noProof/>
        </w:rPr>
        <w:t>4</w:t>
      </w:r>
      <w:r>
        <w:fldChar w:fldCharType="end"/>
      </w:r>
      <w:r w:rsidR="00F11FCC">
        <w:t>.</w:t>
      </w:r>
      <w:r>
        <w:fldChar w:fldCharType="begin"/>
      </w:r>
      <w:r>
        <w:instrText>SEQ Tekstboks \* ARABIC \s 1</w:instrText>
      </w:r>
      <w:r>
        <w:fldChar w:fldCharType="separate"/>
      </w:r>
      <w:r w:rsidR="00F262EF">
        <w:rPr>
          <w:noProof/>
        </w:rPr>
        <w:t>1</w:t>
      </w:r>
      <w:r>
        <w:fldChar w:fldCharType="end"/>
      </w:r>
      <w:bookmarkEnd w:id="208"/>
      <w:r>
        <w:t xml:space="preserve"> </w:t>
      </w:r>
      <w:r w:rsidRPr="00D2368F">
        <w:t>Ekstern finansiering og midlertidighet</w:t>
      </w:r>
      <w:bookmarkEnd w:id="209"/>
    </w:p>
    <w:p w14:paraId="19A0FFB2" w14:textId="671C90AE" w:rsidR="00F21187" w:rsidRDefault="00F21187">
      <w:pPr>
        <w:rPr>
          <w:rFonts w:asciiTheme="majorHAnsi" w:eastAsiaTheme="majorEastAsia" w:hAnsiTheme="majorHAnsi" w:cstheme="majorBidi"/>
          <w:b/>
          <w:color w:val="23099F" w:themeColor="text2"/>
          <w:sz w:val="34"/>
          <w:szCs w:val="32"/>
        </w:rPr>
      </w:pPr>
      <w:bookmarkStart w:id="210" w:name="_Toc10032783"/>
      <w:bookmarkStart w:id="211" w:name="_Toc70697523"/>
      <w:bookmarkStart w:id="212" w:name="_Toc70708606"/>
      <w:r>
        <w:br w:type="page"/>
      </w:r>
    </w:p>
    <w:p w14:paraId="609BCF19" w14:textId="77777777" w:rsidR="009A67C4" w:rsidRDefault="009A67C4" w:rsidP="00AE4B98">
      <w:pPr>
        <w:pStyle w:val="Overskrift2"/>
      </w:pPr>
      <w:bookmarkStart w:id="213" w:name="_Toc134792760"/>
      <w:r w:rsidRPr="006F63AB">
        <w:lastRenderedPageBreak/>
        <w:t>Litteraturliste</w:t>
      </w:r>
      <w:bookmarkEnd w:id="210"/>
      <w:bookmarkEnd w:id="211"/>
      <w:bookmarkEnd w:id="212"/>
      <w:bookmarkEnd w:id="213"/>
    </w:p>
    <w:p w14:paraId="5520F231" w14:textId="1D32E434" w:rsidR="009676E7" w:rsidRPr="0030017E" w:rsidRDefault="006C5A72" w:rsidP="009676E7">
      <w:pPr>
        <w:pStyle w:val="EndNoteBibliography"/>
        <w:spacing w:after="0"/>
        <w:ind w:left="720" w:hanging="720"/>
        <w:rPr>
          <w:lang w:val="nb-NO"/>
        </w:rPr>
      </w:pPr>
      <w:r>
        <w:fldChar w:fldCharType="begin"/>
      </w:r>
      <w:r w:rsidRPr="002629C8">
        <w:instrText xml:space="preserve"> ADDIN EN.REFLIST </w:instrText>
      </w:r>
      <w:r>
        <w:fldChar w:fldCharType="separate"/>
      </w:r>
      <w:r w:rsidR="009676E7" w:rsidRPr="009676E7">
        <w:t xml:space="preserve">European Commission. (2021). </w:t>
      </w:r>
      <w:r w:rsidR="009676E7" w:rsidRPr="009676E7">
        <w:rPr>
          <w:i/>
        </w:rPr>
        <w:t>She figures 2021 : gender in research and innovation : statistics and indicators</w:t>
      </w:r>
      <w:r w:rsidR="009676E7" w:rsidRPr="009676E7">
        <w:t xml:space="preserve">. </w:t>
      </w:r>
      <w:r w:rsidR="009676E7" w:rsidRPr="0030017E">
        <w:rPr>
          <w:lang w:val="nb-NO"/>
        </w:rPr>
        <w:t xml:space="preserve">Publications Office. </w:t>
      </w:r>
      <w:hyperlink r:id="rId158" w:history="1">
        <w:r w:rsidR="009676E7" w:rsidRPr="0030017E">
          <w:rPr>
            <w:rStyle w:val="Hyperkobling"/>
            <w:lang w:val="nb-NO"/>
          </w:rPr>
          <w:t>https://doi.org/doi/10.2777/06090</w:t>
        </w:r>
      </w:hyperlink>
      <w:r w:rsidR="009676E7" w:rsidRPr="0030017E">
        <w:rPr>
          <w:lang w:val="nb-NO"/>
        </w:rPr>
        <w:t xml:space="preserve"> </w:t>
      </w:r>
    </w:p>
    <w:p w14:paraId="69AA031E" w14:textId="1C101DB4" w:rsidR="009676E7" w:rsidRPr="0030017E" w:rsidRDefault="009676E7" w:rsidP="009676E7">
      <w:pPr>
        <w:pStyle w:val="EndNoteBibliography"/>
        <w:spacing w:after="0"/>
        <w:ind w:left="720" w:hanging="720"/>
        <w:rPr>
          <w:lang w:val="nb-NO"/>
        </w:rPr>
      </w:pPr>
      <w:r w:rsidRPr="0030017E">
        <w:rPr>
          <w:lang w:val="nb-NO"/>
        </w:rPr>
        <w:t xml:space="preserve">Forskningsrådet. (2022). </w:t>
      </w:r>
      <w:r w:rsidRPr="0030017E">
        <w:rPr>
          <w:i/>
          <w:lang w:val="nb-NO"/>
        </w:rPr>
        <w:t>Indikatorrapporten 2022</w:t>
      </w:r>
      <w:r w:rsidRPr="0030017E">
        <w:rPr>
          <w:lang w:val="nb-NO"/>
        </w:rPr>
        <w:t xml:space="preserve">. Forskningsrådet. </w:t>
      </w:r>
      <w:hyperlink r:id="rId159" w:history="1">
        <w:r w:rsidRPr="0030017E">
          <w:rPr>
            <w:rStyle w:val="Hyperkobling"/>
            <w:lang w:val="nb-NO"/>
          </w:rPr>
          <w:t>https://www.forskningsradet.no/indikatorrapporten/</w:t>
        </w:r>
      </w:hyperlink>
    </w:p>
    <w:p w14:paraId="3D250138" w14:textId="71318926" w:rsidR="009676E7" w:rsidRPr="0030017E" w:rsidRDefault="009676E7" w:rsidP="009676E7">
      <w:pPr>
        <w:pStyle w:val="EndNoteBibliography"/>
        <w:spacing w:after="0"/>
        <w:ind w:left="720" w:hanging="720"/>
        <w:rPr>
          <w:lang w:val="nb-NO"/>
        </w:rPr>
      </w:pPr>
      <w:r w:rsidRPr="0030017E">
        <w:rPr>
          <w:lang w:val="nb-NO"/>
        </w:rPr>
        <w:t xml:space="preserve">HK-dir. (2023). </w:t>
      </w:r>
      <w:r w:rsidRPr="0030017E">
        <w:rPr>
          <w:i/>
          <w:lang w:val="nb-NO"/>
        </w:rPr>
        <w:t>Stillingskoder og deres tilknytning til stillingskategorier</w:t>
      </w:r>
      <w:r w:rsidRPr="0030017E">
        <w:rPr>
          <w:lang w:val="nb-NO"/>
        </w:rPr>
        <w:t xml:space="preserve">. Retrieved 05.05.2023 from </w:t>
      </w:r>
      <w:hyperlink r:id="rId160" w:history="1">
        <w:r w:rsidRPr="0030017E">
          <w:rPr>
            <w:rStyle w:val="Hyperkobling"/>
            <w:lang w:val="nb-NO"/>
          </w:rPr>
          <w:t>https://dbh.hkdir.no/datainnhold/kodeverk/stillingskoder</w:t>
        </w:r>
      </w:hyperlink>
    </w:p>
    <w:p w14:paraId="065A6F1A" w14:textId="5E399179" w:rsidR="008E3FD9" w:rsidRPr="0030017E" w:rsidRDefault="008E3FD9" w:rsidP="008E3FD9">
      <w:pPr>
        <w:pStyle w:val="EndNoteBibliography"/>
        <w:spacing w:after="0"/>
        <w:ind w:left="720" w:hanging="720"/>
        <w:rPr>
          <w:lang w:val="nb-NO"/>
        </w:rPr>
      </w:pPr>
      <w:r w:rsidRPr="0030017E">
        <w:rPr>
          <w:lang w:val="nb-NO"/>
        </w:rPr>
        <w:t xml:space="preserve">Holtermann, H., Skjelbred, S.-E., Wiborg, V., &amp; Fidjeland, A. (2022). </w:t>
      </w:r>
      <w:r w:rsidRPr="0030017E">
        <w:rPr>
          <w:i/>
          <w:lang w:val="nb-NO"/>
        </w:rPr>
        <w:t>Lettere overgang til arbeidslivet med fersk mastergrad</w:t>
      </w:r>
      <w:r w:rsidRPr="0030017E">
        <w:rPr>
          <w:lang w:val="nb-NO"/>
        </w:rPr>
        <w:t xml:space="preserve"> (NIFU Innsikt: 2022-5). NIFU. </w:t>
      </w:r>
      <w:hyperlink r:id="rId161" w:history="1">
        <w:r w:rsidRPr="0030017E">
          <w:rPr>
            <w:rStyle w:val="Hyperkobling"/>
            <w:lang w:val="nb-NO"/>
          </w:rPr>
          <w:t>https://nifu.brage.unit.no/nifu-xmlui/handle/11250/2997301</w:t>
        </w:r>
      </w:hyperlink>
    </w:p>
    <w:p w14:paraId="252B2CC3" w14:textId="3A38FCE9" w:rsidR="009676E7" w:rsidRPr="0030017E" w:rsidRDefault="009676E7" w:rsidP="009676E7">
      <w:pPr>
        <w:pStyle w:val="EndNoteBibliography"/>
        <w:spacing w:after="0"/>
        <w:ind w:left="720" w:hanging="720"/>
        <w:rPr>
          <w:lang w:val="nb-NO"/>
        </w:rPr>
      </w:pPr>
      <w:r w:rsidRPr="0030017E">
        <w:rPr>
          <w:lang w:val="nb-NO"/>
        </w:rPr>
        <w:t xml:space="preserve">Høgskolen i Innlandet. (2022). </w:t>
      </w:r>
      <w:r w:rsidRPr="0030017E">
        <w:rPr>
          <w:i/>
          <w:lang w:val="nb-NO"/>
        </w:rPr>
        <w:t>Kvalitetsrapport 2021</w:t>
      </w:r>
      <w:r w:rsidRPr="0030017E">
        <w:rPr>
          <w:lang w:val="nb-NO"/>
        </w:rPr>
        <w:t xml:space="preserve">. H. i. Innlandet. </w:t>
      </w:r>
      <w:hyperlink r:id="rId162" w:history="1">
        <w:r w:rsidRPr="0030017E">
          <w:rPr>
            <w:rStyle w:val="Hyperkobling"/>
            <w:lang w:val="nb-NO"/>
          </w:rPr>
          <w:t>https://www.inn.no/om-hogskolen/kvalitetssystem-for-utdanning/dokumentasjon/kvalitetsrapport-for-utdanning/2021_kvalitetsrapport_hinn.pdf</w:t>
        </w:r>
      </w:hyperlink>
    </w:p>
    <w:p w14:paraId="3062644C" w14:textId="5D41EEE7" w:rsidR="008E3FD9" w:rsidRPr="0030017E" w:rsidRDefault="008E3FD9" w:rsidP="008E3FD9">
      <w:pPr>
        <w:pStyle w:val="EndNoteBibliography"/>
        <w:spacing w:after="0"/>
        <w:ind w:left="720" w:hanging="720"/>
        <w:rPr>
          <w:lang w:val="nb-NO"/>
        </w:rPr>
      </w:pPr>
      <w:r w:rsidRPr="0030017E">
        <w:rPr>
          <w:lang w:val="nb-NO"/>
        </w:rPr>
        <w:t xml:space="preserve">Høgskolen i Innlandet. (2023). </w:t>
      </w:r>
      <w:r w:rsidRPr="0030017E">
        <w:rPr>
          <w:i/>
          <w:lang w:val="nb-NO"/>
        </w:rPr>
        <w:t>Årsrapport</w:t>
      </w:r>
      <w:r w:rsidRPr="0030017E">
        <w:rPr>
          <w:lang w:val="nb-NO"/>
        </w:rPr>
        <w:t xml:space="preserve">. </w:t>
      </w:r>
      <w:hyperlink r:id="rId163" w:history="1">
        <w:r w:rsidRPr="0030017E">
          <w:rPr>
            <w:rStyle w:val="Hyperkobling"/>
            <w:lang w:val="nb-NO"/>
          </w:rPr>
          <w:t>https://dbh.hkdir.no/tall-og-statistikk/aars-rapporter/statistikk-side/18.1?undermeny=statistikk_dokumenter&amp;tabellId=621</w:t>
        </w:r>
      </w:hyperlink>
    </w:p>
    <w:p w14:paraId="49289949" w14:textId="7EFC181A" w:rsidR="008E3FD9" w:rsidRDefault="008E3FD9" w:rsidP="008E3FD9">
      <w:pPr>
        <w:pStyle w:val="EndNoteBibliography"/>
        <w:spacing w:after="0"/>
        <w:ind w:left="720" w:hanging="720"/>
        <w:rPr>
          <w:rStyle w:val="Hyperkobling"/>
          <w:lang w:val="nb-NO"/>
        </w:rPr>
      </w:pPr>
      <w:r w:rsidRPr="0030017E">
        <w:rPr>
          <w:lang w:val="nb-NO"/>
        </w:rPr>
        <w:t xml:space="preserve">Kunnskapsdepartementet. (2021). </w:t>
      </w:r>
      <w:r w:rsidRPr="0030017E">
        <w:rPr>
          <w:i/>
          <w:lang w:val="nb-NO"/>
        </w:rPr>
        <w:t>Strategi for norsk deltakelse i Erasmus+ og Det europeiske utdanningsområdet</w:t>
      </w:r>
      <w:r w:rsidRPr="0030017E">
        <w:rPr>
          <w:lang w:val="nb-NO"/>
        </w:rPr>
        <w:t xml:space="preserve">. </w:t>
      </w:r>
      <w:hyperlink r:id="rId164" w:history="1">
        <w:r w:rsidRPr="0030017E">
          <w:rPr>
            <w:rStyle w:val="Hyperkobling"/>
            <w:lang w:val="nb-NO"/>
          </w:rPr>
          <w:t>https://www.regjeringen.no/contentassets/b5b57900ef6b4542b8b2d70b2c46b658/212540-kd-strategi-erasmus-web.pdf</w:t>
        </w:r>
      </w:hyperlink>
    </w:p>
    <w:p w14:paraId="4523BBD6" w14:textId="2AC5A84C" w:rsidR="00517920" w:rsidRPr="0030017E" w:rsidRDefault="00517920" w:rsidP="008E3FD9">
      <w:pPr>
        <w:pStyle w:val="EndNoteBibliography"/>
        <w:spacing w:after="0"/>
        <w:ind w:left="720" w:hanging="720"/>
        <w:rPr>
          <w:lang w:val="nb-NO"/>
        </w:rPr>
      </w:pPr>
      <w:r w:rsidRPr="00AE4B98">
        <w:rPr>
          <w:rFonts w:eastAsia="Arial"/>
          <w:lang w:val="nb-NO"/>
        </w:rPr>
        <w:t xml:space="preserve">Kunnskapsdepartementet. (2021b). </w:t>
      </w:r>
      <w:r w:rsidRPr="00AE4B98">
        <w:rPr>
          <w:rFonts w:eastAsia="Arial"/>
          <w:i/>
          <w:lang w:val="nb-NO"/>
        </w:rPr>
        <w:t>Strategi for forskerrekruttering og karriereutvikling</w:t>
      </w:r>
      <w:r w:rsidRPr="00AE4B98">
        <w:rPr>
          <w:rFonts w:eastAsia="Arial"/>
          <w:lang w:val="nb-NO"/>
        </w:rPr>
        <w:t xml:space="preserve"> (Strategi). </w:t>
      </w:r>
      <w:hyperlink r:id="rId165" w:history="1">
        <w:r w:rsidRPr="00AE4B98">
          <w:rPr>
            <w:rFonts w:eastAsia="Arial"/>
            <w:iCs/>
            <w:color w:val="804F9A"/>
            <w:lang w:val="nb-NO"/>
          </w:rPr>
          <w:t>https://www.regjeringen.no/contentassets/58a8bb9fecac4dd6aaf9ead1a6e3c1cd/strategi-forskning-web_uu.pdf</w:t>
        </w:r>
      </w:hyperlink>
    </w:p>
    <w:p w14:paraId="618B6AA0" w14:textId="6680BAF5" w:rsidR="009676E7" w:rsidRPr="00AE4B98" w:rsidRDefault="009676E7" w:rsidP="009676E7">
      <w:pPr>
        <w:pStyle w:val="EndNoteBibliography"/>
        <w:spacing w:after="0"/>
        <w:ind w:left="720" w:hanging="720"/>
        <w:rPr>
          <w:lang w:val="nb-NO"/>
        </w:rPr>
      </w:pPr>
      <w:r w:rsidRPr="0030017E">
        <w:rPr>
          <w:lang w:val="nb-NO"/>
        </w:rPr>
        <w:t xml:space="preserve">Kunnskapsdepartementet. (2022). </w:t>
      </w:r>
      <w:r w:rsidRPr="0030017E">
        <w:rPr>
          <w:i/>
          <w:lang w:val="nb-NO"/>
        </w:rPr>
        <w:t>Høring Studieavgift for studenter fra land utenfor EØS-området eller Sveits mm. – endringer i universitets- og høyskoleloven</w:t>
      </w:r>
      <w:r w:rsidRPr="0030017E">
        <w:rPr>
          <w:lang w:val="nb-NO"/>
        </w:rPr>
        <w:t xml:space="preserve">. </w:t>
      </w:r>
      <w:r w:rsidRPr="00AE4B98">
        <w:rPr>
          <w:lang w:val="nb-NO"/>
        </w:rPr>
        <w:t xml:space="preserve">Kunnskapsdepartementet. </w:t>
      </w:r>
      <w:hyperlink r:id="rId166" w:history="1">
        <w:r w:rsidRPr="00AE4B98">
          <w:rPr>
            <w:rStyle w:val="Hyperkobling"/>
            <w:lang w:val="nb-NO"/>
          </w:rPr>
          <w:t>https://www.regjeringen.no/no/dokumenter/horing-studieavgift-for-studenter-fra-land-utenfor-eos-omradet-eller-sveits-mm.-endringer-i-universitets-og-hoyskoleloven/id2933263/</w:t>
        </w:r>
      </w:hyperlink>
    </w:p>
    <w:p w14:paraId="5712C3D2" w14:textId="2276C432" w:rsidR="009676E7" w:rsidRPr="0030017E" w:rsidRDefault="009676E7" w:rsidP="009676E7">
      <w:pPr>
        <w:pStyle w:val="EndNoteBibliography"/>
        <w:spacing w:after="0"/>
        <w:ind w:left="720" w:hanging="720"/>
        <w:rPr>
          <w:lang w:val="nb-NO"/>
        </w:rPr>
      </w:pPr>
      <w:r w:rsidRPr="0030017E">
        <w:rPr>
          <w:lang w:val="nb-NO"/>
        </w:rPr>
        <w:t xml:space="preserve">Lervåg, M.-L., &amp; Fazli, N. (2023). </w:t>
      </w:r>
      <w:r w:rsidRPr="0030017E">
        <w:rPr>
          <w:i/>
          <w:lang w:val="nb-NO"/>
        </w:rPr>
        <w:t>Kvalifiserte søkere uten tilbud om studieplass</w:t>
      </w:r>
      <w:r w:rsidRPr="0030017E">
        <w:rPr>
          <w:lang w:val="nb-NO"/>
        </w:rPr>
        <w:t xml:space="preserve"> (SSB Rapporter 2023/18). SSB. </w:t>
      </w:r>
      <w:hyperlink r:id="rId167" w:history="1">
        <w:r w:rsidRPr="0030017E">
          <w:rPr>
            <w:rStyle w:val="Hyperkobling"/>
            <w:lang w:val="nb-NO"/>
          </w:rPr>
          <w:t>https://www.ssb.no/utdanning/hoyere-utdanning/artikler/kvalifiserte-sokere-uten-tilbud-om-studieplass</w:t>
        </w:r>
      </w:hyperlink>
    </w:p>
    <w:p w14:paraId="38631FCF" w14:textId="6AFA1325" w:rsidR="00D90E8F" w:rsidRDefault="00626E70" w:rsidP="009676E7">
      <w:pPr>
        <w:pStyle w:val="EndNoteBibliography"/>
        <w:spacing w:after="0"/>
        <w:ind w:left="720" w:hanging="720"/>
        <w:rPr>
          <w:lang w:val="nb-NO"/>
        </w:rPr>
      </w:pPr>
      <w:r w:rsidRPr="00626E70">
        <w:rPr>
          <w:rFonts w:eastAsia="Arial"/>
          <w:lang w:val="nb-NO"/>
        </w:rPr>
        <w:t xml:space="preserve">Lov om språk (språklova), (2021). </w:t>
      </w:r>
      <w:hyperlink r:id="rId168" w:history="1">
        <w:r w:rsidRPr="00626E70">
          <w:rPr>
            <w:rFonts w:eastAsia="Arial"/>
            <w:iCs/>
            <w:color w:val="804F9A"/>
            <w:lang w:val="nb-NO"/>
          </w:rPr>
          <w:t>https://lovdata.no/dokument/LTI/lov/2021-05-21-42</w:t>
        </w:r>
      </w:hyperlink>
    </w:p>
    <w:p w14:paraId="319090BC" w14:textId="797FDCBE" w:rsidR="009676E7" w:rsidRPr="0030017E" w:rsidRDefault="009676E7" w:rsidP="009676E7">
      <w:pPr>
        <w:pStyle w:val="EndNoteBibliography"/>
        <w:spacing w:after="0"/>
        <w:ind w:left="720" w:hanging="720"/>
        <w:rPr>
          <w:lang w:val="nb-NO"/>
        </w:rPr>
      </w:pPr>
      <w:r w:rsidRPr="0030017E">
        <w:rPr>
          <w:lang w:val="nb-NO"/>
        </w:rPr>
        <w:t>Løkeland-Stai, E. (2023, 12.04.2023). Norge gruses av nordiske naboer i jakten på prestisje­midler til grunnforskning.</w:t>
      </w:r>
      <w:r w:rsidRPr="0030017E">
        <w:rPr>
          <w:i/>
          <w:lang w:val="nb-NO"/>
        </w:rPr>
        <w:t xml:space="preserve"> Khrono</w:t>
      </w:r>
      <w:r w:rsidRPr="0030017E">
        <w:rPr>
          <w:lang w:val="nb-NO"/>
        </w:rPr>
        <w:t xml:space="preserve">. </w:t>
      </w:r>
      <w:hyperlink r:id="rId169" w:history="1">
        <w:r w:rsidRPr="0030017E">
          <w:rPr>
            <w:rStyle w:val="Hyperkobling"/>
            <w:lang w:val="nb-NO"/>
          </w:rPr>
          <w:t>https://khrono.no/norge-gruses-av-nordiske-naboer-i-jakten-pa-prestisjemidler-til-grunnforskning/772202</w:t>
        </w:r>
      </w:hyperlink>
    </w:p>
    <w:p w14:paraId="23949B10" w14:textId="0DB02D7B" w:rsidR="009676E7" w:rsidRPr="0030017E" w:rsidRDefault="009676E7" w:rsidP="009676E7">
      <w:pPr>
        <w:pStyle w:val="EndNoteBibliography"/>
        <w:spacing w:after="0"/>
        <w:ind w:left="720" w:hanging="720"/>
        <w:rPr>
          <w:lang w:val="nb-NO"/>
        </w:rPr>
      </w:pPr>
      <w:r w:rsidRPr="0030017E">
        <w:rPr>
          <w:lang w:val="nb-NO"/>
        </w:rPr>
        <w:t xml:space="preserve">Meld. St. 16 (2016-2017). </w:t>
      </w:r>
      <w:r w:rsidRPr="0030017E">
        <w:rPr>
          <w:i/>
          <w:lang w:val="nb-NO"/>
        </w:rPr>
        <w:t>Kultur for kvalitet i høyere utdanning</w:t>
      </w:r>
      <w:r w:rsidRPr="0030017E">
        <w:rPr>
          <w:lang w:val="nb-NO"/>
        </w:rPr>
        <w:t xml:space="preserve">. </w:t>
      </w:r>
      <w:hyperlink r:id="rId170" w:history="1">
        <w:r w:rsidRPr="0030017E">
          <w:rPr>
            <w:rStyle w:val="Hyperkobling"/>
            <w:lang w:val="nb-NO"/>
          </w:rPr>
          <w:t>https://www.regjeringen.no/contentassets/aee30e4b7d3241d5bd89db69fe38f7ba/no/pdfs/stm201620170016000dddpdfs.pdf</w:t>
        </w:r>
      </w:hyperlink>
    </w:p>
    <w:p w14:paraId="5B265CA5" w14:textId="7A142D61" w:rsidR="002744C8" w:rsidRDefault="00556465" w:rsidP="009676E7">
      <w:pPr>
        <w:pStyle w:val="EndNoteBibliography"/>
        <w:spacing w:after="0"/>
        <w:ind w:left="720" w:hanging="720"/>
        <w:rPr>
          <w:lang w:val="nb-NO"/>
        </w:rPr>
      </w:pPr>
      <w:r w:rsidRPr="00556465">
        <w:rPr>
          <w:rFonts w:eastAsia="Arial"/>
          <w:lang w:val="nb-NO"/>
        </w:rPr>
        <w:t xml:space="preserve">NOKUT. (2022). </w:t>
      </w:r>
      <w:r w:rsidRPr="00556465">
        <w:rPr>
          <w:rFonts w:eastAsia="Arial"/>
          <w:i/>
          <w:lang w:val="nb-NO"/>
        </w:rPr>
        <w:t>Sluttrapport fra evalueringen av lektorutdanning for trinn 8–13</w:t>
      </w:r>
      <w:r w:rsidRPr="00556465">
        <w:rPr>
          <w:rFonts w:eastAsia="Arial"/>
          <w:lang w:val="nb-NO"/>
        </w:rPr>
        <w:t xml:space="preserve"> (15/2022). NOKUT. </w:t>
      </w:r>
      <w:hyperlink r:id="rId171" w:history="1">
        <w:r w:rsidRPr="00556465">
          <w:rPr>
            <w:rFonts w:eastAsia="Arial"/>
            <w:iCs/>
            <w:color w:val="804F9A"/>
            <w:lang w:val="nb-NO"/>
          </w:rPr>
          <w:t>https://www.nokut.no/globalassets/nokut/rapporter/ua/2022/sluttrapport-fra-nokuts-evaluering-av-lektorutdanning-for-trinn-813_15-2022.pdf</w:t>
        </w:r>
      </w:hyperlink>
    </w:p>
    <w:p w14:paraId="4F2D441C" w14:textId="5BF24151" w:rsidR="009676E7" w:rsidRPr="00AE4B98" w:rsidRDefault="009676E7" w:rsidP="009676E7">
      <w:pPr>
        <w:pStyle w:val="EndNoteBibliography"/>
        <w:spacing w:after="0"/>
        <w:ind w:left="720" w:hanging="720"/>
        <w:rPr>
          <w:rStyle w:val="Hyperkobling"/>
          <w:lang w:val="nb-NO"/>
        </w:rPr>
      </w:pPr>
      <w:r w:rsidRPr="0030017E">
        <w:rPr>
          <w:lang w:val="nb-NO"/>
        </w:rPr>
        <w:t xml:space="preserve">NOKUT. </w:t>
      </w:r>
      <w:r w:rsidRPr="00AE4B98">
        <w:rPr>
          <w:lang w:val="nb-NO"/>
        </w:rPr>
        <w:t xml:space="preserve">(2023). </w:t>
      </w:r>
      <w:r w:rsidRPr="00AE4B98">
        <w:rPr>
          <w:i/>
          <w:lang w:val="nb-NO"/>
        </w:rPr>
        <w:t>Studiebarometeret 2022 – Hovedtendenser</w:t>
      </w:r>
      <w:r w:rsidRPr="00AE4B98">
        <w:rPr>
          <w:lang w:val="nb-NO"/>
        </w:rPr>
        <w:t xml:space="preserve"> (2/2023). NOKUT. </w:t>
      </w:r>
      <w:hyperlink r:id="rId172" w:history="1">
        <w:r w:rsidRPr="00AE4B98">
          <w:rPr>
            <w:rStyle w:val="Hyperkobling"/>
            <w:lang w:val="nb-NO"/>
          </w:rPr>
          <w:t>https://www.nokut.no/globalassets/studiebarometeret/2023/hoyere-utdanning/studiebarometeret-2022_hovedtendenser_2-2023.pdf</w:t>
        </w:r>
      </w:hyperlink>
    </w:p>
    <w:p w14:paraId="0AB8DF74" w14:textId="359CD556" w:rsidR="00556465" w:rsidRDefault="005406DF" w:rsidP="009676E7">
      <w:pPr>
        <w:pStyle w:val="EndNoteBibliography"/>
        <w:spacing w:after="0"/>
        <w:ind w:left="720" w:hanging="720"/>
        <w:rPr>
          <w:rStyle w:val="Hyperkobling"/>
        </w:rPr>
      </w:pPr>
      <w:r w:rsidRPr="005406DF">
        <w:rPr>
          <w:rFonts w:eastAsia="Arial"/>
          <w:lang w:val="nb-NO"/>
        </w:rPr>
        <w:t xml:space="preserve">NUPI. (2022). </w:t>
      </w:r>
      <w:r w:rsidRPr="005406DF">
        <w:rPr>
          <w:rFonts w:eastAsia="Arial"/>
          <w:i/>
          <w:lang w:val="nb-NO"/>
        </w:rPr>
        <w:t>Utfordrende kunnskapssamarbeid: Etiske og sikkerhetsrelaterte utfordringer som forskere og kunnskapsinstitusjoner i Norge møter i internasjonale samarbeid</w:t>
      </w:r>
      <w:r w:rsidRPr="005406DF">
        <w:rPr>
          <w:rFonts w:eastAsia="Arial"/>
          <w:lang w:val="nb-NO"/>
        </w:rPr>
        <w:t xml:space="preserve"> (NUPI-rapport 6-2022). </w:t>
      </w:r>
      <w:r w:rsidRPr="005406DF">
        <w:rPr>
          <w:rFonts w:eastAsia="Arial"/>
        </w:rPr>
        <w:t xml:space="preserve">NUPI. </w:t>
      </w:r>
      <w:hyperlink r:id="rId173" w:history="1">
        <w:r w:rsidRPr="005406DF">
          <w:rPr>
            <w:rFonts w:eastAsia="Arial"/>
            <w:iCs/>
            <w:color w:val="804F9A"/>
          </w:rPr>
          <w:t>https://www.nupi.no/publikasjoner/cristin-pub/utfordrende-kunnskapssamarbeid-etiske-og-sikkerhetsrelaterte-utfordringer-som-forskere-og-kunnskapsinstitusjoner-i-norge-moeter-i-internasjonale-sa</w:t>
        </w:r>
      </w:hyperlink>
    </w:p>
    <w:p w14:paraId="516342B4" w14:textId="13124F56" w:rsidR="009676E7" w:rsidRPr="00DC7D71" w:rsidRDefault="009676E7" w:rsidP="009676E7">
      <w:pPr>
        <w:pStyle w:val="EndNoteBibliography"/>
        <w:spacing w:after="0"/>
        <w:ind w:left="720" w:hanging="720"/>
      </w:pPr>
      <w:r w:rsidRPr="00DC7D71">
        <w:t xml:space="preserve">OECD. (2022). </w:t>
      </w:r>
      <w:r w:rsidRPr="00DC7D71">
        <w:rPr>
          <w:i/>
        </w:rPr>
        <w:t>Education at a Glance 2022. OECD indicators.</w:t>
      </w:r>
      <w:r w:rsidRPr="00DC7D71">
        <w:t xml:space="preserve"> OECD. </w:t>
      </w:r>
      <w:hyperlink r:id="rId174" w:history="1">
        <w:r w:rsidRPr="00DC7D71">
          <w:rPr>
            <w:rStyle w:val="Hyperkobling"/>
          </w:rPr>
          <w:t>https://www.oecd-ilibrary.org/docserver/3197152b-en.pdf?expires=1682492344&amp;id=id&amp;accname=guest&amp;checksum=DA0DEA2F06ECE694F656E268BC9834A2</w:t>
        </w:r>
      </w:hyperlink>
    </w:p>
    <w:p w14:paraId="4F03BC8B" w14:textId="30A40FE9" w:rsidR="00DC7D71" w:rsidRPr="00AE4B98" w:rsidRDefault="00DC7D71" w:rsidP="00DC7D71">
      <w:pPr>
        <w:pStyle w:val="EndNoteBibliography"/>
        <w:spacing w:after="0"/>
        <w:ind w:left="720" w:hanging="720"/>
      </w:pPr>
      <w:r w:rsidRPr="00DC7D71">
        <w:t xml:space="preserve">OECD. (2023). </w:t>
      </w:r>
      <w:r w:rsidRPr="00DC7D71">
        <w:rPr>
          <w:i/>
        </w:rPr>
        <w:t>International student mobility</w:t>
      </w:r>
      <w:r w:rsidRPr="00DC7D71">
        <w:t xml:space="preserve">. </w:t>
      </w:r>
      <w:r w:rsidRPr="00AE4B98">
        <w:t xml:space="preserve">Retrieved 08.05.23 from </w:t>
      </w:r>
      <w:hyperlink r:id="rId175" w:history="1">
        <w:r w:rsidRPr="00AE4B98">
          <w:rPr>
            <w:rStyle w:val="Hyperkobling"/>
          </w:rPr>
          <w:t>https://data.oecd.org/students/international-student-mobility.htm</w:t>
        </w:r>
      </w:hyperlink>
    </w:p>
    <w:p w14:paraId="1514C5BC" w14:textId="11D67458" w:rsidR="009676E7" w:rsidRPr="0030017E" w:rsidRDefault="009676E7" w:rsidP="009676E7">
      <w:pPr>
        <w:pStyle w:val="EndNoteBibliography"/>
        <w:spacing w:after="0"/>
        <w:ind w:left="720" w:hanging="720"/>
        <w:rPr>
          <w:lang w:val="nb-NO"/>
        </w:rPr>
      </w:pPr>
      <w:r w:rsidRPr="0030017E">
        <w:rPr>
          <w:lang w:val="nb-NO"/>
        </w:rPr>
        <w:lastRenderedPageBreak/>
        <w:t xml:space="preserve">Regjeringen. (2023). </w:t>
      </w:r>
      <w:r w:rsidRPr="0030017E">
        <w:rPr>
          <w:i/>
          <w:lang w:val="nb-NO"/>
        </w:rPr>
        <w:t>Styrer ved universiteter og høyskoler</w:t>
      </w:r>
      <w:r w:rsidRPr="0030017E">
        <w:rPr>
          <w:lang w:val="nb-NO"/>
        </w:rPr>
        <w:t xml:space="preserve">. Regjeringen. </w:t>
      </w:r>
      <w:hyperlink r:id="rId176" w:history="1">
        <w:r w:rsidRPr="0030017E">
          <w:rPr>
            <w:rStyle w:val="Hyperkobling"/>
            <w:lang w:val="nb-NO"/>
          </w:rPr>
          <w:t>https://www.regjeringen.no/no/dep/kd/org/styrer-rad-og-utvalg/styrer-ved-universiteter-og-hoyskoler/id568047/</w:t>
        </w:r>
      </w:hyperlink>
    </w:p>
    <w:p w14:paraId="6BA243F0" w14:textId="2EDD13D3" w:rsidR="008E3FD9" w:rsidRPr="0030017E" w:rsidRDefault="008E3FD9" w:rsidP="008E3FD9">
      <w:pPr>
        <w:pStyle w:val="EndNoteBibliography"/>
        <w:spacing w:after="0"/>
        <w:ind w:left="720" w:hanging="720"/>
        <w:rPr>
          <w:lang w:val="nb-NO"/>
        </w:rPr>
      </w:pPr>
      <w:r w:rsidRPr="0030017E">
        <w:rPr>
          <w:lang w:val="nb-NO"/>
        </w:rPr>
        <w:t xml:space="preserve">Samisk høgskole. (2023). </w:t>
      </w:r>
      <w:r w:rsidRPr="0030017E">
        <w:rPr>
          <w:i/>
          <w:lang w:val="nb-NO"/>
        </w:rPr>
        <w:t>Årsrapport</w:t>
      </w:r>
      <w:r w:rsidRPr="0030017E">
        <w:rPr>
          <w:lang w:val="nb-NO"/>
        </w:rPr>
        <w:t xml:space="preserve">. Samisk høgskole. </w:t>
      </w:r>
      <w:hyperlink r:id="rId177" w:history="1">
        <w:r w:rsidRPr="0030017E">
          <w:rPr>
            <w:rStyle w:val="Hyperkobling"/>
            <w:lang w:val="nb-NO"/>
          </w:rPr>
          <w:t>https://dbh.hkdir.no/tall-og-statistikk/aars-rapporter/statistikk-side/18.1?undermeny=statistikk_dokumenter&amp;tabellId=621</w:t>
        </w:r>
      </w:hyperlink>
    </w:p>
    <w:p w14:paraId="3A89B610" w14:textId="42D7C046" w:rsidR="009676E7" w:rsidRPr="00AE4B98" w:rsidRDefault="009676E7" w:rsidP="009676E7">
      <w:pPr>
        <w:pStyle w:val="EndNoteBibliography"/>
        <w:spacing w:after="0"/>
        <w:ind w:left="720" w:hanging="720"/>
        <w:rPr>
          <w:lang w:val="nb-NO"/>
        </w:rPr>
      </w:pPr>
      <w:r w:rsidRPr="0030017E">
        <w:rPr>
          <w:lang w:val="nb-NO"/>
        </w:rPr>
        <w:t xml:space="preserve">Solberg, E., Hovdhaugen, E., Gulbrandsen, M., Scordato, L., Svartefoss, S. M., &amp; Eide, T. (2021). </w:t>
      </w:r>
      <w:r w:rsidRPr="0030017E">
        <w:rPr>
          <w:i/>
          <w:lang w:val="nb-NO"/>
        </w:rPr>
        <w:t>Et akademisk annerledesår: Konsekvenser og håndtering av koronapandemien ved norske universiteter og høgskoler</w:t>
      </w:r>
      <w:r w:rsidRPr="0030017E">
        <w:rPr>
          <w:lang w:val="nb-NO"/>
        </w:rPr>
        <w:t xml:space="preserve"> (NIFU-rapport 2021:9). </w:t>
      </w:r>
      <w:r w:rsidRPr="00AE4B98">
        <w:rPr>
          <w:lang w:val="nb-NO"/>
        </w:rPr>
        <w:t xml:space="preserve">NIFU. </w:t>
      </w:r>
      <w:hyperlink r:id="rId178" w:history="1">
        <w:r w:rsidRPr="00AE4B98">
          <w:rPr>
            <w:rStyle w:val="Hyperkobling"/>
            <w:lang w:val="nb-NO"/>
          </w:rPr>
          <w:t>https://nifu.brage.unit.no/nifu-xmlui/handle/11250/2737339</w:t>
        </w:r>
      </w:hyperlink>
    </w:p>
    <w:p w14:paraId="60696705" w14:textId="6E877964" w:rsidR="009676E7" w:rsidRPr="0030017E" w:rsidRDefault="009676E7" w:rsidP="009676E7">
      <w:pPr>
        <w:pStyle w:val="EndNoteBibliography"/>
        <w:spacing w:after="0"/>
        <w:ind w:left="720" w:hanging="720"/>
        <w:rPr>
          <w:lang w:val="nb-NO"/>
        </w:rPr>
      </w:pPr>
      <w:r w:rsidRPr="0030017E">
        <w:rPr>
          <w:lang w:val="nb-NO"/>
        </w:rPr>
        <w:t xml:space="preserve">Statistisk sentralbyrå. (2023). </w:t>
      </w:r>
      <w:r w:rsidRPr="0030017E">
        <w:rPr>
          <w:i/>
          <w:lang w:val="nb-NO"/>
        </w:rPr>
        <w:t>Gjennomsnittlig gjennomføringstid for avlagte ph.d-grader, etter fagområde og kjønn</w:t>
      </w:r>
      <w:r w:rsidRPr="0030017E">
        <w:rPr>
          <w:i/>
          <w:iCs/>
          <w:lang w:val="nb-NO"/>
        </w:rPr>
        <w:t xml:space="preserve"> </w:t>
      </w:r>
      <w:r w:rsidR="0030017E" w:rsidRPr="0030017E">
        <w:rPr>
          <w:i/>
          <w:iCs/>
          <w:lang w:val="nb-NO"/>
        </w:rPr>
        <w:t>2013–2022</w:t>
      </w:r>
      <w:r w:rsidR="0030017E">
        <w:rPr>
          <w:i/>
          <w:iCs/>
          <w:lang w:val="nb-NO"/>
        </w:rPr>
        <w:t>.</w:t>
      </w:r>
      <w:r w:rsidR="0030017E" w:rsidRPr="0030017E">
        <w:rPr>
          <w:lang w:val="nb-NO"/>
        </w:rPr>
        <w:t xml:space="preserve"> </w:t>
      </w:r>
      <w:r w:rsidRPr="0030017E">
        <w:rPr>
          <w:lang w:val="nb-NO"/>
        </w:rPr>
        <w:t xml:space="preserve">SSB. Retrieved 02.05.2023 from </w:t>
      </w:r>
      <w:hyperlink r:id="rId179" w:history="1">
        <w:r w:rsidRPr="0030017E">
          <w:rPr>
            <w:rStyle w:val="Hyperkobling"/>
            <w:lang w:val="nb-NO"/>
          </w:rPr>
          <w:t>https://www.ssb.no/statbank/table/13594/</w:t>
        </w:r>
      </w:hyperlink>
    </w:p>
    <w:p w14:paraId="3B8BD2E4" w14:textId="2BEBA83F" w:rsidR="009676E7" w:rsidRDefault="009676E7" w:rsidP="009676E7">
      <w:pPr>
        <w:pStyle w:val="EndNoteBibliography"/>
        <w:spacing w:after="0"/>
        <w:ind w:left="720" w:hanging="720"/>
        <w:rPr>
          <w:rStyle w:val="Hyperkobling"/>
          <w:lang w:val="nb-NO"/>
        </w:rPr>
      </w:pPr>
      <w:r w:rsidRPr="0030017E">
        <w:rPr>
          <w:lang w:val="nb-NO"/>
        </w:rPr>
        <w:t xml:space="preserve">Stipendiatorganisasjonene. (2023). </w:t>
      </w:r>
      <w:r w:rsidRPr="0030017E">
        <w:rPr>
          <w:i/>
          <w:lang w:val="nb-NO"/>
        </w:rPr>
        <w:t>STADIGE FORSINKELSER OG VEDVARENDE USIKKERHET BLANT STIPENDIATER». PRESSEMELDING FRA STIPENDIATORGANISASJONENE I NORGE</w:t>
      </w:r>
      <w:r w:rsidRPr="0030017E">
        <w:rPr>
          <w:lang w:val="nb-NO"/>
        </w:rPr>
        <w:t xml:space="preserve"> </w:t>
      </w:r>
      <w:hyperlink r:id="rId180" w:history="1">
        <w:r w:rsidRPr="0030017E">
          <w:rPr>
            <w:rStyle w:val="Hyperkobling"/>
            <w:lang w:val="nb-NO"/>
          </w:rPr>
          <w:t>https://stipendiat.no/2023/01/16-12-22-pressemelding-fra-stipendiatorganisasjonene-i-norge-sin/</w:t>
        </w:r>
      </w:hyperlink>
    </w:p>
    <w:p w14:paraId="6944CAB2" w14:textId="0D417E4B" w:rsidR="00670C36" w:rsidRPr="0030017E" w:rsidRDefault="00670C36" w:rsidP="009676E7">
      <w:pPr>
        <w:pStyle w:val="EndNoteBibliography"/>
        <w:spacing w:after="0"/>
        <w:ind w:left="720" w:hanging="720"/>
        <w:rPr>
          <w:lang w:val="nb-NO"/>
        </w:rPr>
      </w:pPr>
      <w:r w:rsidRPr="00AE4B98">
        <w:rPr>
          <w:rFonts w:eastAsia="Arial"/>
          <w:lang w:val="nb-NO"/>
        </w:rPr>
        <w:t xml:space="preserve">uutilsynet. (2023). </w:t>
      </w:r>
      <w:r w:rsidRPr="00AE4B98">
        <w:rPr>
          <w:rFonts w:eastAsia="Arial"/>
          <w:i/>
          <w:lang w:val="nb-NO"/>
        </w:rPr>
        <w:t>EUs webdirektiv (WAD)</w:t>
      </w:r>
      <w:r w:rsidRPr="00AE4B98">
        <w:rPr>
          <w:rFonts w:eastAsia="Arial"/>
          <w:lang w:val="nb-NO"/>
        </w:rPr>
        <w:t xml:space="preserve">. </w:t>
      </w:r>
      <w:hyperlink r:id="rId181" w:history="1">
        <w:r w:rsidRPr="00AE4B98">
          <w:rPr>
            <w:rFonts w:eastAsia="Arial"/>
            <w:iCs/>
            <w:color w:val="804F9A"/>
            <w:lang w:val="nb-NO"/>
          </w:rPr>
          <w:t>https://www.uutilsynet.no/webdirektivet-wad/eus-webdirektiv-wad/265</w:t>
        </w:r>
      </w:hyperlink>
    </w:p>
    <w:p w14:paraId="1CD8DC7D" w14:textId="457F4249" w:rsidR="009676E7" w:rsidRPr="0030017E" w:rsidRDefault="009676E7" w:rsidP="009676E7">
      <w:pPr>
        <w:pStyle w:val="EndNoteBibliography"/>
        <w:ind w:left="720" w:hanging="720"/>
        <w:rPr>
          <w:lang w:val="nb-NO"/>
        </w:rPr>
      </w:pPr>
      <w:r w:rsidRPr="0030017E">
        <w:rPr>
          <w:lang w:val="nb-NO"/>
        </w:rPr>
        <w:t xml:space="preserve">Wendt, K., Gunnes, H., Østby, M. N., &amp; Fossum, L. W. (2021). </w:t>
      </w:r>
      <w:r w:rsidRPr="0030017E">
        <w:rPr>
          <w:i/>
          <w:lang w:val="nb-NO"/>
        </w:rPr>
        <w:t>Når timene telles. Tidsbruksundersøkelsen 2021</w:t>
      </w:r>
      <w:r w:rsidRPr="0030017E">
        <w:rPr>
          <w:lang w:val="nb-NO"/>
        </w:rPr>
        <w:t xml:space="preserve"> (NIFU arbeidsnotat 2021-15). </w:t>
      </w:r>
      <w:hyperlink r:id="rId182" w:history="1">
        <w:r w:rsidRPr="0030017E">
          <w:rPr>
            <w:rStyle w:val="Hyperkobling"/>
            <w:lang w:val="nb-NO"/>
          </w:rPr>
          <w:t>https://nifu.brage.unit.no/nifu-xmlui/handle/11250/2831574</w:t>
        </w:r>
      </w:hyperlink>
    </w:p>
    <w:p w14:paraId="7B6DAF88" w14:textId="7E2642AD" w:rsidR="006C5A72" w:rsidRDefault="006C5A72" w:rsidP="002A60E9">
      <w:r>
        <w:fldChar w:fldCharType="end"/>
      </w:r>
    </w:p>
    <w:p w14:paraId="3470EF51" w14:textId="77777777" w:rsidR="009E6535" w:rsidRDefault="009E6535" w:rsidP="002A60E9"/>
    <w:p w14:paraId="027C448F" w14:textId="77777777" w:rsidR="009E6535" w:rsidRDefault="009E6535" w:rsidP="002A60E9"/>
    <w:p w14:paraId="734B9DFF" w14:textId="77777777" w:rsidR="009E6535" w:rsidRDefault="009E6535" w:rsidP="002A60E9"/>
    <w:p w14:paraId="10FC44E9" w14:textId="77777777" w:rsidR="009E6535" w:rsidRDefault="009E6535" w:rsidP="002A60E9"/>
    <w:p w14:paraId="5DF496F9" w14:textId="77777777" w:rsidR="009E6535" w:rsidRDefault="009E6535" w:rsidP="002A60E9"/>
    <w:p w14:paraId="34742DD2" w14:textId="77777777" w:rsidR="009E6535" w:rsidRPr="002A60E9" w:rsidRDefault="009E6535" w:rsidP="002A60E9"/>
    <w:p w14:paraId="357A961B" w14:textId="77777777" w:rsidR="00822EAB" w:rsidRDefault="00822EAB" w:rsidP="006C5A72">
      <w:pPr>
        <w:rPr>
          <w:lang w:val="nn-NO"/>
        </w:rPr>
      </w:pPr>
    </w:p>
    <w:p w14:paraId="0688F2CD" w14:textId="77777777" w:rsidR="009E6535" w:rsidRDefault="009E6535">
      <w:pPr>
        <w:rPr>
          <w:rFonts w:asciiTheme="majorHAnsi" w:eastAsiaTheme="majorEastAsia" w:hAnsiTheme="majorHAnsi" w:cstheme="majorBidi"/>
          <w:b/>
          <w:color w:val="804F9A"/>
          <w:szCs w:val="24"/>
        </w:rPr>
      </w:pPr>
      <w:r>
        <w:br w:type="page"/>
      </w:r>
    </w:p>
    <w:p w14:paraId="4367B57D" w14:textId="553C54AA" w:rsidR="00095A1B" w:rsidRDefault="00095A1B" w:rsidP="00095A1B">
      <w:pPr>
        <w:pStyle w:val="Vedleggoverskrift3"/>
      </w:pPr>
      <w:bookmarkStart w:id="214" w:name="_Toc134792761"/>
      <w:r>
        <w:lastRenderedPageBreak/>
        <w:t>Sluttnoter</w:t>
      </w:r>
      <w:bookmarkEnd w:id="214"/>
    </w:p>
    <w:p w14:paraId="6A92639E" w14:textId="77777777" w:rsidR="000F6316" w:rsidRDefault="000F6316" w:rsidP="001C5E0B">
      <w:pPr>
        <w:pStyle w:val="Vedleggoverskrift3"/>
      </w:pPr>
    </w:p>
    <w:sectPr w:rsidR="000F6316" w:rsidSect="007B5263">
      <w:footerReference w:type="default" r:id="rId183"/>
      <w:footerReference w:type="first" r:id="rId184"/>
      <w:pgSz w:w="11906" w:h="16838"/>
      <w:pgMar w:top="1468" w:right="1871" w:bottom="1418" w:left="1871" w:header="709"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0DE02" w14:textId="77777777" w:rsidR="00F22F16" w:rsidRDefault="00F22F16" w:rsidP="005F5A45">
      <w:pPr>
        <w:spacing w:after="0" w:line="240" w:lineRule="auto"/>
      </w:pPr>
      <w:r>
        <w:separator/>
      </w:r>
    </w:p>
  </w:endnote>
  <w:endnote w:type="continuationSeparator" w:id="0">
    <w:p w14:paraId="692D8500" w14:textId="77777777" w:rsidR="00F22F16" w:rsidRDefault="00F22F16" w:rsidP="005F5A45">
      <w:pPr>
        <w:spacing w:after="0" w:line="240" w:lineRule="auto"/>
      </w:pPr>
      <w:r>
        <w:continuationSeparator/>
      </w:r>
    </w:p>
  </w:endnote>
  <w:endnote w:type="continuationNotice" w:id="1">
    <w:p w14:paraId="478E0BA2" w14:textId="77777777" w:rsidR="00F22F16" w:rsidRDefault="00F22F16">
      <w:pPr>
        <w:spacing w:after="0" w:line="240" w:lineRule="auto"/>
      </w:pPr>
    </w:p>
  </w:endnote>
  <w:endnote w:id="2">
    <w:p w14:paraId="5FBED9AD" w14:textId="77777777" w:rsidR="00390DEA" w:rsidRDefault="00390DEA" w:rsidP="00390DEA">
      <w:r>
        <w:rPr>
          <w:rStyle w:val="Sluttnotereferanse"/>
        </w:rPr>
        <w:endnoteRef/>
      </w:r>
      <w:r>
        <w:t xml:space="preserve"> Organisasjonsendringer</w:t>
      </w:r>
    </w:p>
    <w:p w14:paraId="0C2811EE" w14:textId="4E305273" w:rsidR="00654B48" w:rsidRDefault="009322C6" w:rsidP="003C01E0">
      <w:pPr>
        <w:numPr>
          <w:ilvl w:val="0"/>
          <w:numId w:val="12"/>
        </w:numPr>
        <w:spacing w:before="100" w:beforeAutospacing="1" w:after="100" w:afterAutospacing="1" w:line="240" w:lineRule="auto"/>
        <w:rPr>
          <w:rFonts w:ascii="Arial" w:eastAsia="Times New Roman" w:hAnsi="Arial" w:cs="Arial"/>
          <w:sz w:val="16"/>
          <w:szCs w:val="16"/>
        </w:rPr>
      </w:pPr>
      <w:r w:rsidRPr="009322C6">
        <w:rPr>
          <w:rFonts w:ascii="Arial" w:eastAsia="Times New Roman" w:hAnsi="Arial" w:cs="Arial"/>
          <w:sz w:val="16"/>
          <w:szCs w:val="16"/>
        </w:rPr>
        <w:t>Nordland kunst- og filmhøgskole er overført fra Nordland fylkeskommune til Universitetet i Tromsø - Norges arktiske universitet.</w:t>
      </w:r>
    </w:p>
    <w:p w14:paraId="37B1B0F8" w14:textId="46783222"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Norges dansehøyskole og Musikkteaterhøyskolen er fra 01.09.2019 fusjonert med Høyskolen Kristiania (HK). Tall er oppgitt for fusjonert institusjon, men før 2017 inngår kun deler av virksomheten i datagrunnlaget. For tidligere Westerdals Oslo ACT inngår kun data for NITH før 2012. For Høyskolen Kristiania inngår kun data for Markedshøyskolen før 2015. I perioden 2015–17 ble rapportering fra HK utvidet til å gjelde hele virksomheten (studentdata f.o.m. 2015, personaldata f.o.m 2016 og økonomidata f.o.m. 2017).</w:t>
      </w:r>
    </w:p>
    <w:p w14:paraId="36DEDBE2" w14:textId="03066F78"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Westerdals Oslo ACT er fra 01.08.2018 fusjonert med Høyskolen Kristiania (HK). Tall er oppgitt for fusjonert institusjon, men før 2017 inngår kun deler av virksomheten i datagrunnlaget (se over).</w:t>
      </w:r>
    </w:p>
    <w:p w14:paraId="1EA63303" w14:textId="6A6014AF"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Høgskolen i Sørøst-Norge er fra 04.05.2018 gitt universitetsstatus. Nytt navn er Universitetet i Sørøst-Norge (USN).</w:t>
      </w:r>
    </w:p>
    <w:p w14:paraId="68FFBF9F" w14:textId="28EF05AB"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Høgskolen i Oslo og Akershus er fra 12.01.2018 gitt universitetsstatus. Nytt navn er OsloMet – storbyuniversitetet.</w:t>
      </w:r>
    </w:p>
    <w:p w14:paraId="3667262E" w14:textId="74B93801"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Kunsthøgskolen i Oslo er fra 12.01.2018 gitt status som vitenskapelig høyskole.</w:t>
      </w:r>
    </w:p>
    <w:p w14:paraId="2E30905F" w14:textId="00A668C4"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Høyskolen Diakonova er fra 01.01.2018 fusjonert med VID vitenskapelige høgskole (VID). Tall er oppgitt for fusjonert institusjon.</w:t>
      </w:r>
    </w:p>
    <w:p w14:paraId="181F684D" w14:textId="00624898"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Universitetet i Bergen og Kunst- og designhøgskolen i Bergen organiseres fra 01.01.2017 som ett universitet med navnet Universitetet i Bergen (Ui</w:t>
      </w:r>
      <w:r w:rsidR="00014D4B">
        <w:rPr>
          <w:rFonts w:ascii="Arial" w:eastAsia="Times New Roman" w:hAnsi="Arial" w:cs="Arial"/>
          <w:sz w:val="16"/>
          <w:szCs w:val="16"/>
        </w:rPr>
        <w:t>B</w:t>
      </w:r>
      <w:r>
        <w:rPr>
          <w:rFonts w:ascii="Arial" w:eastAsia="Times New Roman" w:hAnsi="Arial" w:cs="Arial"/>
          <w:sz w:val="16"/>
          <w:szCs w:val="16"/>
        </w:rPr>
        <w:t>). Tall er oppgitt for fusjonert institusjon.</w:t>
      </w:r>
    </w:p>
    <w:p w14:paraId="07F11902" w14:textId="2D239B8B"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sidRPr="00691499">
        <w:rPr>
          <w:rFonts w:ascii="Arial" w:eastAsia="Times New Roman" w:hAnsi="Arial" w:cs="Arial"/>
          <w:sz w:val="16"/>
          <w:szCs w:val="16"/>
          <w:lang w:val="nn-NO"/>
        </w:rPr>
        <w:t xml:space="preserve">Høgskolen i Bergen, Høgskulen i Sogn og Fjordane og Høgskolen Stord/Haugesund organiseres fra 01.01.2017 som én høyskole med navnet Høgskulen på Vestlandet (HVL). </w:t>
      </w:r>
      <w:r>
        <w:rPr>
          <w:rFonts w:ascii="Arial" w:eastAsia="Times New Roman" w:hAnsi="Arial" w:cs="Arial"/>
          <w:sz w:val="16"/>
          <w:szCs w:val="16"/>
        </w:rPr>
        <w:t>Tall er oppgitt for fusjonert institusjon.</w:t>
      </w:r>
    </w:p>
    <w:p w14:paraId="47591CB2" w14:textId="4A12DCEE"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Høgskolen i Lillehammer og Høgskolen i Hedmark organiseres fra 01.01.2017 som én høyskole med navnet Høgskolen i Innlandet (HINN). Tall er oppgitt for fusjonert institusjon.</w:t>
      </w:r>
    </w:p>
    <w:p w14:paraId="40AEB0A1" w14:textId="50B265D9"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Universitetet i Tromsø - Norges arktiske universitet, Høgskolen i Narvik og Høgskolen i Harstad organiseres fra 01.01.2016 som ett universitet under navnet Universitetet i Tromsø - Norges arktiske universitet (UiT). Tall er oppgitt for fusjonert institusjon.</w:t>
      </w:r>
    </w:p>
    <w:p w14:paraId="08BAF3C6" w14:textId="66FA0DA5"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Universitetet i Nordland, Høgskolen i Nord-Trøndelag og Høgskolen i Nesna organiseres fra 01.01.2016 som ett universitet under navnet Nord universitet (NU). Tall er oppgitt for fusjonert institusjon.</w:t>
      </w:r>
    </w:p>
    <w:p w14:paraId="072699E5" w14:textId="21EA6EA6"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Norges teknisk-naturvitenskapelige universitet, Høgskolen i Gjøvik, Høgskolen i Sør-Trøndelag og Høgskolen i Ålesund organiseres fra 01.01.2016 som ett universitet under navnet Norges teknisk-naturvitenskapelige universitet (NTNU). Tall er oppgitt for fusjonert institusjon.</w:t>
      </w:r>
    </w:p>
    <w:p w14:paraId="6EEAAB0C" w14:textId="39A3ABE0"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Høgskolen i Buskerud og Vestfold og Høgskolen i Telemark organiseres fra 01.01.2016 som én institusjon under navnet Høgskolen i Sørøst-Norge (HSN). Tall er oppgitt for fusjonert institusjon.</w:t>
      </w:r>
    </w:p>
    <w:p w14:paraId="3BB0E8CA" w14:textId="20260BE0" w:rsidR="00390DEA" w:rsidRDefault="00390DEA" w:rsidP="003C01E0">
      <w:pPr>
        <w:numPr>
          <w:ilvl w:val="0"/>
          <w:numId w:val="12"/>
        </w:num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Den norske Eurytmihøyskole ble lagt ned med virkning fra 01.08.2015. Høyskolen er derfor utelatt fra alle tabeller.</w:t>
      </w:r>
    </w:p>
    <w:p w14:paraId="0CDF69EC" w14:textId="517061B4" w:rsidR="00390DEA" w:rsidRDefault="00390DEA" w:rsidP="00390DEA">
      <w:pPr>
        <w:pStyle w:val="NormalWeb"/>
        <w:rPr>
          <w:rFonts w:ascii="Arial" w:hAnsi="Arial" w:cs="Arial"/>
          <w:sz w:val="16"/>
          <w:szCs w:val="16"/>
        </w:rPr>
      </w:pPr>
      <w:r>
        <w:rPr>
          <w:rFonts w:ascii="Arial" w:hAnsi="Arial" w:cs="Arial"/>
          <w:sz w:val="16"/>
          <w:szCs w:val="16"/>
        </w:rPr>
        <w:t xml:space="preserve">Se også oversikt på nettsiden: </w:t>
      </w:r>
      <w:hyperlink r:id="rId1" w:history="1">
        <w:r w:rsidR="00A93E39" w:rsidRPr="00F6429C">
          <w:rPr>
            <w:rStyle w:val="Hyperkobling"/>
            <w:rFonts w:ascii="Arial" w:hAnsi="Arial" w:cs="Arial"/>
            <w:sz w:val="16"/>
            <w:szCs w:val="16"/>
          </w:rPr>
          <w:t>https://dbh.hkdir.no/datainnhold/institusjoner/institusjonsendringer</w:t>
        </w:r>
      </w:hyperlink>
    </w:p>
    <w:p w14:paraId="119B6187" w14:textId="77777777" w:rsidR="00A93E39" w:rsidRDefault="00A93E39" w:rsidP="00390DEA">
      <w:pPr>
        <w:pStyle w:val="NormalWeb"/>
        <w:rPr>
          <w:rFonts w:ascii="Arial" w:hAnsi="Arial" w:cs="Arial"/>
          <w:sz w:val="16"/>
          <w:szCs w:val="16"/>
        </w:rPr>
      </w:pPr>
    </w:p>
    <w:p w14:paraId="71EF42B8" w14:textId="77777777" w:rsidR="00390DEA" w:rsidRPr="00577F08" w:rsidRDefault="00390DEA" w:rsidP="00390DEA">
      <w:pPr>
        <w:pStyle w:val="Sluttnotetekst"/>
        <w:rPr>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070768"/>
      <w:docPartObj>
        <w:docPartGallery w:val="Page Numbers (Bottom of Page)"/>
        <w:docPartUnique/>
      </w:docPartObj>
    </w:sdtPr>
    <w:sdtContent>
      <w:p w14:paraId="072F3A1C" w14:textId="3BB6B52D" w:rsidR="007B5263" w:rsidRDefault="007B5263">
        <w:pPr>
          <w:pStyle w:val="Bunntekst"/>
        </w:pPr>
        <w:r>
          <w:fldChar w:fldCharType="begin"/>
        </w:r>
        <w:r>
          <w:instrText>PAGE   \* MERGEFORMAT</w:instrText>
        </w:r>
        <w:r>
          <w:fldChar w:fldCharType="separate"/>
        </w:r>
        <w:r>
          <w:t>2</w:t>
        </w:r>
        <w:r>
          <w:fldChar w:fldCharType="end"/>
        </w:r>
      </w:p>
    </w:sdtContent>
  </w:sdt>
  <w:p w14:paraId="3778B87C" w14:textId="62D8B366" w:rsidR="0019439E" w:rsidRPr="00661A4D" w:rsidRDefault="0019439E" w:rsidP="003F4730">
    <w:pPr>
      <w:pStyle w:val="Bunntekst"/>
      <w:rPr>
        <w:bCs/>
        <w:color w:val="007BB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C79B" w14:textId="254BC44D" w:rsidR="0019439E" w:rsidRDefault="0058134D">
    <w:pPr>
      <w:pStyle w:val="Bunntekst"/>
    </w:pPr>
    <w:r>
      <w:rPr>
        <w:noProof/>
      </w:rPr>
      <mc:AlternateContent>
        <mc:Choice Requires="wps">
          <w:drawing>
            <wp:anchor distT="0" distB="0" distL="114300" distR="114300" simplePos="1" relativeHeight="251658240" behindDoc="0" locked="0" layoutInCell="0" allowOverlap="1" wp14:anchorId="66B67B56" wp14:editId="420DDED1">
              <wp:simplePos x="0" y="10228183"/>
              <wp:positionH relativeFrom="page">
                <wp:posOffset>0</wp:posOffset>
              </wp:positionH>
              <wp:positionV relativeFrom="page">
                <wp:posOffset>10227945</wp:posOffset>
              </wp:positionV>
              <wp:extent cx="7560310" cy="171450"/>
              <wp:effectExtent l="0" t="0" r="0" b="0"/>
              <wp:wrapNone/>
              <wp:docPr id="28" name="Tekstboks 28" descr="{&quot;HashCode&quot;:12206335,&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bwMode="auto">
                      <a:xfrm>
                        <a:off x="0" y="0"/>
                        <a:ext cx="7560310" cy="171450"/>
                      </a:xfrm>
                      <a:prstGeom prst="rect">
                        <a:avLst/>
                      </a:prstGeom>
                      <a:noFill/>
                      <a:ln w="6350">
                        <a:noFill/>
                      </a:ln>
                      <a:extLst>
                        <a:ext uri="{909E8E84-426E-40DD-AFC4-6F175D3DCCD1}">
                          <a14:hiddenFill xmlns:a14="http://schemas.microsoft.com/office/drawing/2010/main">
                            <a:solidFill>
                              <a:schemeClr val="bg2"/>
                            </a:solidFill>
                          </a14:hiddenFill>
                        </a:ext>
                        <a:ext uri="{91240B29-F687-4F45-9708-019B960494DF}">
                          <a14:hiddenLine xmlns:a14="http://schemas.microsoft.com/office/drawing/2010/main" w="6350">
                            <a:solidFill>
                              <a:srgbClr val="FEF7F2"/>
                            </a:solidFill>
                          </a14:hiddenLine>
                        </a:ext>
                      </a:extLst>
                    </wps:spPr>
                    <wps:txbx>
                      <w:txbxContent>
                        <w:p w14:paraId="6CF120BB" w14:textId="0611DC3C" w:rsidR="0058134D" w:rsidRPr="0058134D" w:rsidRDefault="0058134D" w:rsidP="0058134D">
                          <w:pPr>
                            <w:spacing w:after="0"/>
                            <w:jc w:val="center"/>
                            <w:rPr>
                              <w:rFonts w:ascii="Calibri" w:hAnsi="Calibri" w:cs="Calibri"/>
                              <w:color w:val="FFFF00"/>
                            </w:rPr>
                          </w:pPr>
                        </w:p>
                      </w:txbxContent>
                    </wps:txbx>
                    <wps:bodyPr rot="0" spcFirstLastPara="0" vertOverflow="overflow" horzOverflow="overflow" vert="horz" wrap="square" lIns="360000" tIns="0" rIns="360000" bIns="0" numCol="1" spcCol="0" rtlCol="0" fromWordArt="0" anchor="b" anchorCtr="0" forceAA="0" compatLnSpc="1">
                      <a:prstTxWarp prst="textNoShape">
                        <a:avLst/>
                      </a:prstTxWarp>
                      <a:spAutoFit/>
                    </wps:bodyPr>
                  </wps:wsp>
                </a:graphicData>
              </a:graphic>
            </wp:anchor>
          </w:drawing>
        </mc:Choice>
        <mc:Fallback>
          <w:pict>
            <v:shapetype w14:anchorId="66B67B56" id="_x0000_t202" coordsize="21600,21600" o:spt="202" path="m,l,21600r21600,l21600,xe">
              <v:stroke joinstyle="miter"/>
              <v:path gradientshapeok="t" o:connecttype="rect"/>
            </v:shapetype>
            <v:shape id="Tekstboks 28" o:spid="_x0000_s1033" type="#_x0000_t202" alt="{&quot;HashCode&quot;:12206335,&quot;Height&quot;:841.0,&quot;Width&quot;:595.0,&quot;Placement&quot;:&quot;Footer&quot;,&quot;Index&quot;:&quot;FirstPage&quot;,&quot;Section&quot;:3,&quot;Top&quot;:0.0,&quot;Left&quot;:0.0}" style="position:absolute;left:0;text-align:left;margin-left:0;margin-top:805.35pt;width:595.3pt;height:13.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" o:allowincell="f" filled="f" fillcolor="#e7e6e6 [3214]" stroked="f" strokecolor="#fef7f2" strokeweight=".5pt">
              <v:textbox style="mso-fit-shape-to-text:t" inset="10mm,0,10mm,0">
                <w:txbxContent>
                  <w:p w14:paraId="6CF120BB" w14:textId="0611DC3C" w:rsidR="0058134D" w:rsidRPr="0058134D" w:rsidRDefault="0058134D" w:rsidP="0058134D">
                    <w:pPr>
                      <w:spacing w:after="0"/>
                      <w:jc w:val="center"/>
                      <w:rPr>
                        <w:rFonts w:ascii="Calibri" w:hAnsi="Calibri" w:cs="Calibri"/>
                        <w:color w:val="FFFF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88CC7" w14:textId="77777777" w:rsidR="00F22F16" w:rsidRDefault="00F22F16" w:rsidP="005F5A45">
      <w:pPr>
        <w:spacing w:after="0" w:line="240" w:lineRule="auto"/>
      </w:pPr>
    </w:p>
  </w:footnote>
  <w:footnote w:type="continuationSeparator" w:id="0">
    <w:p w14:paraId="639E7533" w14:textId="77777777" w:rsidR="00F22F16" w:rsidRDefault="00F22F16" w:rsidP="005F5A45">
      <w:pPr>
        <w:spacing w:after="0" w:line="240" w:lineRule="auto"/>
      </w:pPr>
      <w:r>
        <w:continuationSeparator/>
      </w:r>
    </w:p>
  </w:footnote>
  <w:footnote w:type="continuationNotice" w:id="1">
    <w:p w14:paraId="7C3C3D1C" w14:textId="77777777" w:rsidR="00F22F16" w:rsidRDefault="00F22F16">
      <w:pPr>
        <w:spacing w:after="0" w:line="240" w:lineRule="auto"/>
      </w:pPr>
    </w:p>
  </w:footnote>
  <w:footnote w:id="2">
    <w:p w14:paraId="187DD1C7" w14:textId="67AB2D1D" w:rsidR="00C106AC" w:rsidRPr="00406C0D" w:rsidRDefault="00C106AC">
      <w:pPr>
        <w:pStyle w:val="Fotnotetekst"/>
        <w:rPr>
          <w:lang w:val="nb-NO"/>
        </w:rPr>
      </w:pPr>
      <w:bookmarkStart w:id="11" w:name="_Ref134705210"/>
      <w:r w:rsidRPr="002C05C0">
        <w:rPr>
          <w:rStyle w:val="Fotnotereferanse"/>
          <w:lang w:val="nb-NO"/>
        </w:rPr>
        <w:footnoteRef/>
      </w:r>
      <w:r w:rsidRPr="002C05C0">
        <w:rPr>
          <w:lang w:val="nb-NO"/>
        </w:rPr>
        <w:t xml:space="preserve"> </w:t>
      </w:r>
      <w:r w:rsidR="007E4FB8" w:rsidRPr="002C05C0">
        <w:rPr>
          <w:lang w:val="nb-NO"/>
        </w:rPr>
        <w:t xml:space="preserve">Andre </w:t>
      </w:r>
      <w:r w:rsidR="00874BFC">
        <w:rPr>
          <w:lang w:val="nb-NO"/>
        </w:rPr>
        <w:t>høyskoler</w:t>
      </w:r>
      <w:r w:rsidR="005777FC" w:rsidRPr="002549E9">
        <w:rPr>
          <w:lang w:val="nb-NO"/>
        </w:rPr>
        <w:t xml:space="preserve"> </w:t>
      </w:r>
      <w:r w:rsidR="007E4FB8" w:rsidRPr="002549E9">
        <w:rPr>
          <w:lang w:val="nb-NO"/>
        </w:rPr>
        <w:t xml:space="preserve">registrert i </w:t>
      </w:r>
      <w:proofErr w:type="spellStart"/>
      <w:r w:rsidR="007E4FB8" w:rsidRPr="002549E9">
        <w:rPr>
          <w:lang w:val="nb-NO"/>
        </w:rPr>
        <w:t>DBH</w:t>
      </w:r>
      <w:proofErr w:type="spellEnd"/>
      <w:r w:rsidR="007E4FB8" w:rsidRPr="002549E9">
        <w:rPr>
          <w:lang w:val="nb-NO"/>
        </w:rPr>
        <w:t xml:space="preserve">: </w:t>
      </w:r>
      <w:r w:rsidR="00447A82" w:rsidRPr="002549E9">
        <w:rPr>
          <w:lang w:val="nb-NO"/>
        </w:rPr>
        <w:t>Politihøgskolen (PHS), Kriminalomsorgens høgskole og utdanningssenter (KRUS), Forsvarets høyskole (FHS), Atlantis medisinske høgskole (</w:t>
      </w:r>
      <w:proofErr w:type="spellStart"/>
      <w:r w:rsidR="00447A82" w:rsidRPr="002549E9">
        <w:rPr>
          <w:lang w:val="nb-NO"/>
        </w:rPr>
        <w:t>AMH</w:t>
      </w:r>
      <w:proofErr w:type="spellEnd"/>
      <w:r w:rsidR="00447A82" w:rsidRPr="002549E9">
        <w:rPr>
          <w:lang w:val="nb-NO"/>
        </w:rPr>
        <w:t>), Høyskolen for yrkesfag (</w:t>
      </w:r>
      <w:proofErr w:type="spellStart"/>
      <w:r w:rsidR="00447A82" w:rsidRPr="002549E9">
        <w:rPr>
          <w:lang w:val="nb-NO"/>
        </w:rPr>
        <w:t>HØFY</w:t>
      </w:r>
      <w:proofErr w:type="spellEnd"/>
      <w:r w:rsidR="00447A82" w:rsidRPr="002549E9">
        <w:rPr>
          <w:lang w:val="nb-NO"/>
        </w:rPr>
        <w:t xml:space="preserve">), Lillehammer </w:t>
      </w:r>
      <w:proofErr w:type="spellStart"/>
      <w:r w:rsidR="00447A82" w:rsidRPr="002549E9">
        <w:rPr>
          <w:lang w:val="nb-NO"/>
        </w:rPr>
        <w:t>Institute</w:t>
      </w:r>
      <w:proofErr w:type="spellEnd"/>
      <w:r w:rsidR="00447A82" w:rsidRPr="002549E9">
        <w:rPr>
          <w:lang w:val="nb-NO"/>
        </w:rPr>
        <w:t xml:space="preserve"> </w:t>
      </w:r>
      <w:proofErr w:type="spellStart"/>
      <w:r w:rsidR="00447A82" w:rsidRPr="002549E9">
        <w:rPr>
          <w:lang w:val="nb-NO"/>
        </w:rPr>
        <w:t>of</w:t>
      </w:r>
      <w:proofErr w:type="spellEnd"/>
      <w:r w:rsidR="00447A82" w:rsidRPr="002549E9">
        <w:rPr>
          <w:lang w:val="nb-NO"/>
        </w:rPr>
        <w:t xml:space="preserve"> Music Production Industries (</w:t>
      </w:r>
      <w:proofErr w:type="spellStart"/>
      <w:r w:rsidR="00447A82" w:rsidRPr="002549E9">
        <w:rPr>
          <w:lang w:val="nb-NO"/>
        </w:rPr>
        <w:t>LIMPI</w:t>
      </w:r>
      <w:proofErr w:type="spellEnd"/>
      <w:r w:rsidR="00447A82" w:rsidRPr="002549E9">
        <w:rPr>
          <w:lang w:val="nb-NO"/>
        </w:rPr>
        <w:t xml:space="preserve">), Noroff (NOROFF), Norsk barnebokinstitutt (NBI), Norsk gestaltinstitutt (NGI), </w:t>
      </w:r>
      <w:proofErr w:type="spellStart"/>
      <w:r w:rsidR="00447A82" w:rsidRPr="002549E9">
        <w:rPr>
          <w:lang w:val="nb-NO"/>
        </w:rPr>
        <w:t>NSKI</w:t>
      </w:r>
      <w:proofErr w:type="spellEnd"/>
      <w:r w:rsidR="00447A82" w:rsidRPr="002549E9">
        <w:rPr>
          <w:lang w:val="nb-NO"/>
        </w:rPr>
        <w:t xml:space="preserve"> Høyskole (</w:t>
      </w:r>
      <w:proofErr w:type="spellStart"/>
      <w:r w:rsidR="00447A82" w:rsidRPr="002549E9">
        <w:rPr>
          <w:lang w:val="nb-NO"/>
        </w:rPr>
        <w:t>NSKI</w:t>
      </w:r>
      <w:proofErr w:type="spellEnd"/>
      <w:r w:rsidR="00447A82" w:rsidRPr="002549E9">
        <w:rPr>
          <w:lang w:val="nb-NO"/>
        </w:rPr>
        <w:t>), Oslo Nye Høyskole (</w:t>
      </w:r>
      <w:proofErr w:type="spellStart"/>
      <w:r w:rsidR="00447A82" w:rsidRPr="002549E9">
        <w:rPr>
          <w:lang w:val="nb-NO"/>
        </w:rPr>
        <w:t>ONH</w:t>
      </w:r>
      <w:proofErr w:type="spellEnd"/>
      <w:r w:rsidR="00447A82" w:rsidRPr="002549E9">
        <w:rPr>
          <w:lang w:val="nb-NO"/>
        </w:rPr>
        <w:t>), Skrivekunstakademiet (</w:t>
      </w:r>
      <w:proofErr w:type="spellStart"/>
      <w:r w:rsidR="00447A82" w:rsidRPr="002549E9">
        <w:rPr>
          <w:lang w:val="nb-NO"/>
        </w:rPr>
        <w:t>SKA</w:t>
      </w:r>
      <w:proofErr w:type="spellEnd"/>
      <w:r w:rsidR="00447A82" w:rsidRPr="002549E9">
        <w:rPr>
          <w:lang w:val="nb-NO"/>
        </w:rPr>
        <w:t>)</w:t>
      </w:r>
      <w:r w:rsidR="007E4FB8" w:rsidRPr="002549E9">
        <w:rPr>
          <w:lang w:val="nb-NO"/>
        </w:rPr>
        <w:t xml:space="preserve">. Se </w:t>
      </w:r>
      <w:r w:rsidR="00406C0D">
        <w:rPr>
          <w:lang w:val="nb-NO"/>
        </w:rPr>
        <w:t xml:space="preserve">også </w:t>
      </w:r>
      <w:r w:rsidR="007E4FB8" w:rsidRPr="00406C0D">
        <w:rPr>
          <w:lang w:val="nb-NO"/>
        </w:rPr>
        <w:t xml:space="preserve">komplett liste over </w:t>
      </w:r>
      <w:r w:rsidR="007E4FB8" w:rsidRPr="007E4FB8">
        <w:rPr>
          <w:lang w:val="nb-NO"/>
        </w:rPr>
        <w:t>akkrediterte</w:t>
      </w:r>
      <w:r w:rsidR="007E4FB8" w:rsidRPr="00406C0D">
        <w:rPr>
          <w:lang w:val="nb-NO"/>
        </w:rPr>
        <w:t xml:space="preserve"> institusjoner på </w:t>
      </w:r>
      <w:proofErr w:type="spellStart"/>
      <w:r w:rsidR="007E4FB8" w:rsidRPr="00406C0D">
        <w:rPr>
          <w:lang w:val="nb-NO"/>
        </w:rPr>
        <w:t>NOKUTs</w:t>
      </w:r>
      <w:proofErr w:type="spellEnd"/>
      <w:r w:rsidR="007E4FB8" w:rsidRPr="00406C0D">
        <w:rPr>
          <w:lang w:val="nb-NO"/>
        </w:rPr>
        <w:t xml:space="preserve"> nettsider: </w:t>
      </w:r>
      <w:r w:rsidR="004671EA" w:rsidRPr="004671EA">
        <w:rPr>
          <w:lang w:val="nb-NO"/>
        </w:rPr>
        <w:t>https://www.nokut.no/norsk-utdanning/hogare-utdanning/akkrediterte-institusjonar/</w:t>
      </w:r>
      <w:bookmarkEnd w:id="11"/>
    </w:p>
  </w:footnote>
  <w:footnote w:id="3">
    <w:p w14:paraId="6B896444" w14:textId="61613A5D" w:rsidR="00F74A9F" w:rsidRPr="00F74A9F" w:rsidRDefault="00F74A9F">
      <w:pPr>
        <w:pStyle w:val="Fotnotetekst"/>
        <w:rPr>
          <w:lang w:val="nb-NO"/>
        </w:rPr>
      </w:pPr>
      <w:r>
        <w:rPr>
          <w:rStyle w:val="Fotnotereferanse"/>
        </w:rPr>
        <w:footnoteRef/>
      </w:r>
      <w:r w:rsidRPr="00F74A9F">
        <w:rPr>
          <w:lang w:val="nb-NO"/>
        </w:rPr>
        <w:t xml:space="preserve"> </w:t>
      </w:r>
      <w:r w:rsidR="00192B18">
        <w:rPr>
          <w:lang w:val="nb-NO"/>
        </w:rPr>
        <w:t>Det er</w:t>
      </w:r>
      <w:r w:rsidR="00CC3E3A">
        <w:rPr>
          <w:lang w:val="nb-NO"/>
        </w:rPr>
        <w:t xml:space="preserve"> en </w:t>
      </w:r>
      <w:r w:rsidR="00304E10">
        <w:rPr>
          <w:lang w:val="nb-NO"/>
        </w:rPr>
        <w:t xml:space="preserve">sterk positiv sammenheng </w:t>
      </w:r>
      <w:r w:rsidR="00CC3E3A">
        <w:rPr>
          <w:lang w:val="nb-NO"/>
        </w:rPr>
        <w:t xml:space="preserve">mellom </w:t>
      </w:r>
      <w:r w:rsidR="00CC3E3A" w:rsidRPr="00CC3E3A">
        <w:rPr>
          <w:lang w:val="nb-NO"/>
        </w:rPr>
        <w:t xml:space="preserve">antall </w:t>
      </w:r>
      <w:r w:rsidR="00CC3E3A">
        <w:rPr>
          <w:lang w:val="nb-NO"/>
        </w:rPr>
        <w:t xml:space="preserve">kvalifiserte </w:t>
      </w:r>
      <w:proofErr w:type="spellStart"/>
      <w:r w:rsidR="00CC3E3A">
        <w:rPr>
          <w:lang w:val="nb-NO"/>
        </w:rPr>
        <w:t>førstevalgs</w:t>
      </w:r>
      <w:r w:rsidR="00CC3E3A" w:rsidRPr="00CC3E3A">
        <w:rPr>
          <w:lang w:val="nb-NO"/>
        </w:rPr>
        <w:t>søkere</w:t>
      </w:r>
      <w:proofErr w:type="spellEnd"/>
      <w:r w:rsidR="00CC3E3A" w:rsidRPr="00CC3E3A">
        <w:rPr>
          <w:lang w:val="nb-NO"/>
        </w:rPr>
        <w:t xml:space="preserve"> per studieplass </w:t>
      </w:r>
      <w:r w:rsidR="002E280D">
        <w:rPr>
          <w:lang w:val="nb-NO"/>
        </w:rPr>
        <w:t xml:space="preserve">og </w:t>
      </w:r>
      <w:r w:rsidR="00CC3E3A" w:rsidRPr="00CC3E3A">
        <w:rPr>
          <w:lang w:val="nb-NO"/>
        </w:rPr>
        <w:t>poengsnitt for studenter som er tatt opp</w:t>
      </w:r>
      <w:r w:rsidR="00812454">
        <w:rPr>
          <w:lang w:val="nb-NO"/>
        </w:rPr>
        <w:t xml:space="preserve"> ved institusjonen</w:t>
      </w:r>
      <w:r w:rsidR="00192B18">
        <w:rPr>
          <w:lang w:val="nb-NO"/>
        </w:rPr>
        <w:t>e i 2022</w:t>
      </w:r>
      <w:r w:rsidR="0030332C">
        <w:rPr>
          <w:lang w:val="nb-NO"/>
        </w:rPr>
        <w:t xml:space="preserve">, </w:t>
      </w:r>
      <w:r w:rsidR="00766F77">
        <w:rPr>
          <w:lang w:val="nb-NO"/>
        </w:rPr>
        <w:t>indikert gjennom</w:t>
      </w:r>
      <w:r w:rsidR="0030332C">
        <w:rPr>
          <w:lang w:val="nb-NO"/>
        </w:rPr>
        <w:t xml:space="preserve"> en </w:t>
      </w:r>
      <w:r w:rsidR="00192B18" w:rsidRPr="00192B18">
        <w:rPr>
          <w:lang w:val="nb-NO"/>
        </w:rPr>
        <w:t xml:space="preserve">korrelasjonskoeffisient på </w:t>
      </w:r>
      <w:r w:rsidR="00D57B90">
        <w:rPr>
          <w:lang w:val="nb-NO"/>
        </w:rPr>
        <w:t>0,</w:t>
      </w:r>
      <w:r w:rsidR="00192B18" w:rsidRPr="00192B18">
        <w:rPr>
          <w:lang w:val="nb-NO"/>
        </w:rPr>
        <w:t>69</w:t>
      </w:r>
      <w:r w:rsidR="00192B18">
        <w:rPr>
          <w:lang w:val="nb-NO"/>
        </w:rPr>
        <w:t xml:space="preserve">. </w:t>
      </w:r>
    </w:p>
  </w:footnote>
  <w:footnote w:id="4">
    <w:p w14:paraId="615AAD8A" w14:textId="3C83F709" w:rsidR="00856045" w:rsidRPr="00B5161C" w:rsidRDefault="00856045" w:rsidP="00856045">
      <w:pPr>
        <w:pStyle w:val="Fotnotetekst"/>
        <w:rPr>
          <w:lang w:val="en-US"/>
        </w:rPr>
      </w:pPr>
      <w:r>
        <w:rPr>
          <w:rStyle w:val="Fotnotereferanse"/>
        </w:rPr>
        <w:footnoteRef/>
      </w:r>
      <w:r>
        <w:t xml:space="preserve"> </w:t>
      </w:r>
      <w:r w:rsidRPr="00070DF6">
        <w:t xml:space="preserve">Table B4.2. Distribution of new entrants to tertiary education, by field of study (2015 and 2020) </w:t>
      </w:r>
      <w:proofErr w:type="spellStart"/>
      <w:r w:rsidRPr="00070DF6">
        <w:t>og</w:t>
      </w:r>
      <w:proofErr w:type="spellEnd"/>
      <w:r w:rsidRPr="00070DF6">
        <w:t xml:space="preserve"> </w:t>
      </w:r>
      <w:r>
        <w:t>Table A1.3. Field of study among tertiary-educated 25</w:t>
      </w:r>
      <w:r w:rsidRPr="00070DF6">
        <w:t>–</w:t>
      </w:r>
      <w:r>
        <w:t>64</w:t>
      </w:r>
      <w:r w:rsidRPr="00070DF6">
        <w:t>-</w:t>
      </w:r>
      <w:r>
        <w:t>year-olds (2021).</w:t>
      </w:r>
    </w:p>
  </w:footnote>
  <w:footnote w:id="5">
    <w:p w14:paraId="692F9414" w14:textId="3A3A24D4" w:rsidR="000161C4" w:rsidRPr="00170B2D" w:rsidRDefault="000161C4">
      <w:pPr>
        <w:pStyle w:val="Fotnotetekst"/>
        <w:rPr>
          <w:lang w:val="en-US"/>
        </w:rPr>
      </w:pPr>
      <w:r>
        <w:rPr>
          <w:rStyle w:val="Fotnotereferanse"/>
        </w:rPr>
        <w:footnoteRef/>
      </w:r>
      <w:r w:rsidRPr="00D01193">
        <w:rPr>
          <w:lang w:val="en-US"/>
        </w:rPr>
        <w:t xml:space="preserve"> </w:t>
      </w:r>
      <w:proofErr w:type="spellStart"/>
      <w:r w:rsidR="00FF21AE" w:rsidRPr="00170B2D">
        <w:rPr>
          <w:lang w:val="en-US"/>
        </w:rPr>
        <w:t>Foreløpig</w:t>
      </w:r>
      <w:proofErr w:type="spellEnd"/>
      <w:r w:rsidR="00FF21AE" w:rsidRPr="00170B2D">
        <w:rPr>
          <w:lang w:val="en-US"/>
        </w:rPr>
        <w:t xml:space="preserve"> </w:t>
      </w:r>
      <w:proofErr w:type="spellStart"/>
      <w:r w:rsidR="00FF21AE" w:rsidRPr="00170B2D">
        <w:rPr>
          <w:lang w:val="en-US"/>
        </w:rPr>
        <w:t>upublisert</w:t>
      </w:r>
      <w:proofErr w:type="spellEnd"/>
      <w:r w:rsidR="00FF21AE" w:rsidRPr="00170B2D">
        <w:rPr>
          <w:lang w:val="en-US"/>
        </w:rPr>
        <w:t xml:space="preserve"> </w:t>
      </w:r>
      <w:proofErr w:type="spellStart"/>
      <w:r w:rsidR="00FF21AE" w:rsidRPr="00170B2D">
        <w:rPr>
          <w:lang w:val="en-US"/>
        </w:rPr>
        <w:t>notat</w:t>
      </w:r>
      <w:proofErr w:type="spellEnd"/>
      <w:r w:rsidR="00FF21AE" w:rsidRPr="00170B2D">
        <w:rPr>
          <w:lang w:val="en-US"/>
        </w:rPr>
        <w:t xml:space="preserve"> </w:t>
      </w:r>
      <w:r w:rsidR="004B25DA" w:rsidRPr="00170B2D">
        <w:rPr>
          <w:lang w:val="en-US"/>
        </w:rPr>
        <w:t xml:space="preserve">av </w:t>
      </w:r>
      <w:proofErr w:type="spellStart"/>
      <w:r w:rsidR="004B25DA" w:rsidRPr="00170B2D">
        <w:rPr>
          <w:lang w:val="en-US"/>
        </w:rPr>
        <w:t>Lånekassen</w:t>
      </w:r>
      <w:proofErr w:type="spellEnd"/>
      <w:r w:rsidR="004B25DA" w:rsidRPr="00170B2D">
        <w:rPr>
          <w:lang w:val="en-US"/>
        </w:rPr>
        <w:t xml:space="preserve"> </w:t>
      </w:r>
      <w:proofErr w:type="spellStart"/>
      <w:r w:rsidR="004B25DA" w:rsidRPr="00170B2D">
        <w:rPr>
          <w:lang w:val="en-US"/>
        </w:rPr>
        <w:t>og</w:t>
      </w:r>
      <w:proofErr w:type="spellEnd"/>
      <w:r w:rsidR="004B25DA" w:rsidRPr="00170B2D">
        <w:rPr>
          <w:lang w:val="en-US"/>
        </w:rPr>
        <w:t xml:space="preserve"> </w:t>
      </w:r>
      <w:r w:rsidR="00862879">
        <w:rPr>
          <w:lang w:val="en-US"/>
        </w:rPr>
        <w:t>HK</w:t>
      </w:r>
      <w:r w:rsidR="004B25DA" w:rsidRPr="00170B2D">
        <w:rPr>
          <w:lang w:val="en-US"/>
        </w:rPr>
        <w:t>-dir</w:t>
      </w:r>
      <w:r w:rsidRPr="00170B2D">
        <w:rPr>
          <w:lang w:val="en-US"/>
        </w:rPr>
        <w:t>.</w:t>
      </w:r>
    </w:p>
  </w:footnote>
  <w:footnote w:id="6">
    <w:p w14:paraId="22C4B5C2" w14:textId="7F8B7B9A" w:rsidR="000708C3" w:rsidRPr="00170B2D" w:rsidRDefault="000708C3">
      <w:pPr>
        <w:pStyle w:val="Fotnotetekst"/>
        <w:rPr>
          <w:lang w:val="en-US"/>
        </w:rPr>
      </w:pPr>
      <w:r>
        <w:rPr>
          <w:rStyle w:val="Fotnotereferanse"/>
        </w:rPr>
        <w:footnoteRef/>
      </w:r>
      <w:r w:rsidR="00597AFF">
        <w:rPr>
          <w:lang w:val="en-US"/>
        </w:rPr>
        <w:t xml:space="preserve"> </w:t>
      </w:r>
      <w:r w:rsidR="00E85377" w:rsidRPr="00170B2D">
        <w:rPr>
          <w:lang w:val="en-US"/>
        </w:rPr>
        <w:t>Figure B1.3. Share of tertiary students studying part-time (2013, 2020)</w:t>
      </w:r>
    </w:p>
  </w:footnote>
  <w:footnote w:id="7">
    <w:p w14:paraId="39E60A1E" w14:textId="0717B10D" w:rsidR="000860D1" w:rsidRPr="000860D1" w:rsidRDefault="000860D1">
      <w:pPr>
        <w:pStyle w:val="Fotnotetekst"/>
        <w:rPr>
          <w:lang w:val="nb-NO"/>
        </w:rPr>
      </w:pPr>
      <w:r>
        <w:rPr>
          <w:rStyle w:val="Fotnotereferanse"/>
        </w:rPr>
        <w:footnoteRef/>
      </w:r>
      <w:r w:rsidRPr="000860D1">
        <w:rPr>
          <w:lang w:val="nb-NO"/>
        </w:rPr>
        <w:t xml:space="preserve"> </w:t>
      </w:r>
      <w:r w:rsidR="00AC76FF">
        <w:rPr>
          <w:lang w:val="nb-NO"/>
        </w:rPr>
        <w:t>Departementet</w:t>
      </w:r>
      <w:r w:rsidRPr="000860D1">
        <w:rPr>
          <w:lang w:val="nb-NO"/>
        </w:rPr>
        <w:t xml:space="preserve"> forventer at forslaget i svært liten grad vil berøre </w:t>
      </w:r>
      <w:r w:rsidR="00AC76FF">
        <w:rPr>
          <w:lang w:val="nb-NO"/>
        </w:rPr>
        <w:t>utvekslingsstudenter</w:t>
      </w:r>
      <w:r w:rsidRPr="000860D1">
        <w:rPr>
          <w:lang w:val="nb-NO"/>
        </w:rPr>
        <w:t xml:space="preserve"> </w:t>
      </w:r>
      <w:r w:rsidR="00AC76FF">
        <w:rPr>
          <w:lang w:val="nb-NO"/>
        </w:rPr>
        <w:t>fra disse landene</w:t>
      </w:r>
      <w:r w:rsidRPr="000860D1">
        <w:rPr>
          <w:lang w:val="nb-NO"/>
        </w:rPr>
        <w:t xml:space="preserve">. Noen internasjonale studenter </w:t>
      </w:r>
      <w:r w:rsidR="00AC76FF">
        <w:rPr>
          <w:lang w:val="nb-NO"/>
        </w:rPr>
        <w:t>fra land utenfor EU/EØS og Sveits</w:t>
      </w:r>
      <w:r w:rsidRPr="000860D1">
        <w:rPr>
          <w:lang w:val="nb-NO"/>
        </w:rPr>
        <w:t xml:space="preserve"> vil også være unntatt fra å betale studieavgifter basert på opphold i Norge eller annen nær tilknytning til Norge</w:t>
      </w:r>
      <w:r w:rsidR="007A58B9">
        <w:rPr>
          <w:lang w:val="nb-NO"/>
        </w:rPr>
        <w:t>.</w:t>
      </w:r>
    </w:p>
  </w:footnote>
  <w:footnote w:id="8">
    <w:p w14:paraId="16E0A465" w14:textId="41E0320A" w:rsidR="00040E61" w:rsidRPr="0033006D" w:rsidRDefault="00040E61">
      <w:pPr>
        <w:pStyle w:val="Fotnotetekst"/>
        <w:rPr>
          <w:lang w:val="nb-NO"/>
        </w:rPr>
      </w:pPr>
      <w:r>
        <w:rPr>
          <w:rStyle w:val="Fotnotereferanse"/>
        </w:rPr>
        <w:footnoteRef/>
      </w:r>
      <w:r w:rsidRPr="0033006D">
        <w:rPr>
          <w:lang w:val="nb-NO"/>
        </w:rPr>
        <w:t xml:space="preserve"> </w:t>
      </w:r>
      <w:r w:rsidR="009C00BE">
        <w:rPr>
          <w:lang w:val="nb-NO"/>
        </w:rPr>
        <w:t xml:space="preserve">Prioriterte land utenfor EU </w:t>
      </w:r>
      <w:r w:rsidR="0051391F" w:rsidRPr="0033006D">
        <w:rPr>
          <w:lang w:val="nb-NO"/>
        </w:rPr>
        <w:t>o</w:t>
      </w:r>
      <w:r w:rsidR="0051391F">
        <w:rPr>
          <w:lang w:val="nb-NO"/>
        </w:rPr>
        <w:t xml:space="preserve">mfatter </w:t>
      </w:r>
      <w:r w:rsidR="0051391F" w:rsidRPr="0033006D">
        <w:rPr>
          <w:lang w:val="nb-NO"/>
        </w:rPr>
        <w:t>Brasil, Canada, India, Japan, Kina, Russland, Sør-Afrika, Sør-Korea og USA</w:t>
      </w:r>
      <w:r w:rsidR="008874DF">
        <w:rPr>
          <w:lang w:val="nb-NO"/>
        </w:rPr>
        <w:t xml:space="preserve"> og gjelder for perioden 2021-2027.</w:t>
      </w:r>
    </w:p>
  </w:footnote>
  <w:footnote w:id="9">
    <w:p w14:paraId="44D93123" w14:textId="4D9D9AEC" w:rsidR="0022434F" w:rsidRPr="00E61967" w:rsidRDefault="0022434F">
      <w:pPr>
        <w:pStyle w:val="Fotnotetekst"/>
        <w:rPr>
          <w:lang w:val="nb-NO"/>
        </w:rPr>
      </w:pPr>
      <w:r>
        <w:rPr>
          <w:rStyle w:val="Fotnotereferanse"/>
        </w:rPr>
        <w:footnoteRef/>
      </w:r>
      <w:r w:rsidRPr="00E61967">
        <w:rPr>
          <w:lang w:val="nb-NO"/>
        </w:rPr>
        <w:t xml:space="preserve"> https://www.ssb.no/</w:t>
      </w:r>
      <w:r w:rsidR="00290F58" w:rsidRPr="00E61967">
        <w:rPr>
          <w:lang w:val="nb-NO"/>
        </w:rPr>
        <w:t>statbank/table/13895/</w:t>
      </w:r>
    </w:p>
  </w:footnote>
  <w:footnote w:id="10">
    <w:p w14:paraId="3BD67B72" w14:textId="5E90A869" w:rsidR="00600CD2" w:rsidRPr="00B47206" w:rsidRDefault="00600CD2">
      <w:pPr>
        <w:pStyle w:val="Fotnotetekst"/>
        <w:rPr>
          <w:lang w:val="nb-NO"/>
        </w:rPr>
      </w:pPr>
      <w:r>
        <w:rPr>
          <w:rStyle w:val="Fotnotereferanse"/>
        </w:rPr>
        <w:footnoteRef/>
      </w:r>
      <w:r w:rsidRPr="00C429C4">
        <w:rPr>
          <w:lang w:val="nb-NO"/>
        </w:rPr>
        <w:t xml:space="preserve"> </w:t>
      </w:r>
      <w:r w:rsidR="00A95CAE">
        <w:rPr>
          <w:lang w:val="nb-NO"/>
        </w:rPr>
        <w:t>Arbeidssted pr 1. oktober 2021. Inkluderer personer som ble tatt opp på doktorgradsprogram mellom 2005 og 2015.</w:t>
      </w:r>
      <w:r w:rsidR="008050E3">
        <w:rPr>
          <w:lang w:val="nb-NO"/>
        </w:rPr>
        <w:t xml:space="preserve"> N = 8412.</w:t>
      </w:r>
    </w:p>
  </w:footnote>
  <w:footnote w:id="11">
    <w:p w14:paraId="2450E62D" w14:textId="1E7DFF5A" w:rsidR="008D7071" w:rsidRPr="00C23415" w:rsidRDefault="008D7071">
      <w:pPr>
        <w:pStyle w:val="Fotnotetekst"/>
        <w:rPr>
          <w:lang w:val="nb-NO"/>
        </w:rPr>
      </w:pPr>
      <w:r>
        <w:rPr>
          <w:rStyle w:val="Fotnotereferanse"/>
        </w:rPr>
        <w:footnoteRef/>
      </w:r>
      <w:r w:rsidRPr="00C429C4">
        <w:rPr>
          <w:lang w:val="nb-NO"/>
        </w:rPr>
        <w:t xml:space="preserve"> </w:t>
      </w:r>
      <w:r>
        <w:rPr>
          <w:lang w:val="nb-NO"/>
        </w:rPr>
        <w:t>Arbeidssted pr 1. oktober 2021. Inkluderer personer som ble tatt opp på doktorgradsprogram mellom 2005 og 2015. N = 4430.</w:t>
      </w:r>
    </w:p>
  </w:footnote>
  <w:footnote w:id="12">
    <w:p w14:paraId="7C278F59" w14:textId="66B56A49" w:rsidR="00E45475" w:rsidRPr="00E45475" w:rsidRDefault="00E45475">
      <w:pPr>
        <w:pStyle w:val="Fotnotetekst"/>
        <w:rPr>
          <w:lang w:val="nb-NO"/>
        </w:rPr>
      </w:pPr>
      <w:r>
        <w:rPr>
          <w:rStyle w:val="Fotnotereferanse"/>
        </w:rPr>
        <w:footnoteRef/>
      </w:r>
      <w:r w:rsidRPr="002E4940">
        <w:rPr>
          <w:lang w:val="nb-NO"/>
        </w:rPr>
        <w:t xml:space="preserve"> </w:t>
      </w:r>
      <w:r w:rsidR="009C5C73" w:rsidRPr="002E4940">
        <w:rPr>
          <w:lang w:val="nb-NO"/>
        </w:rPr>
        <w:t xml:space="preserve">Rapporterte artikler er kryss-sjekket mot </w:t>
      </w:r>
      <w:proofErr w:type="spellStart"/>
      <w:r w:rsidR="009C5C73" w:rsidRPr="002E4940">
        <w:rPr>
          <w:lang w:val="nb-NO"/>
        </w:rPr>
        <w:t>Unpaywall</w:t>
      </w:r>
      <w:proofErr w:type="spellEnd"/>
      <w:r w:rsidR="009C5C73" w:rsidRPr="002E4940">
        <w:rPr>
          <w:lang w:val="nb-NO"/>
        </w:rPr>
        <w:t xml:space="preserve"> (kilde for data om Open Access-status på enkeltartikler), tidsskriftlister over åpne tilgangstidsskrift fra </w:t>
      </w:r>
      <w:proofErr w:type="spellStart"/>
      <w:r w:rsidR="009C5C73" w:rsidRPr="002E4940">
        <w:rPr>
          <w:lang w:val="nb-NO"/>
        </w:rPr>
        <w:t>DOAJ</w:t>
      </w:r>
      <w:proofErr w:type="spellEnd"/>
      <w:r w:rsidR="009C5C73" w:rsidRPr="002E4940">
        <w:rPr>
          <w:lang w:val="nb-NO"/>
        </w:rPr>
        <w:t xml:space="preserve"> og </w:t>
      </w:r>
      <w:proofErr w:type="spellStart"/>
      <w:r w:rsidR="009C5C73" w:rsidRPr="002E4940">
        <w:rPr>
          <w:lang w:val="nb-NO"/>
        </w:rPr>
        <w:t>Scopus</w:t>
      </w:r>
      <w:proofErr w:type="spellEnd"/>
      <w:r w:rsidR="009C5C73" w:rsidRPr="002E4940">
        <w:rPr>
          <w:lang w:val="nb-NO"/>
        </w:rPr>
        <w:t xml:space="preserve">, samt data fra forlag i forbindelse med publiser og les-avtaler. </w:t>
      </w:r>
      <w:r w:rsidR="009C5C73" w:rsidRPr="002D25F7">
        <w:rPr>
          <w:lang w:val="nb-NO"/>
        </w:rPr>
        <w:t>Det må tas høyde for mangler og svakheter i kildene, disse kan gi utslag i både antall og distribusjon av de forskjellige åpen tilgang-variantene. Se mer om metoden på https://www.openscience.no/oa-barometer/metode-beregning-av-apen-tilgang</w:t>
      </w:r>
    </w:p>
  </w:footnote>
  <w:footnote w:id="13">
    <w:p w14:paraId="40159CF1" w14:textId="77777777" w:rsidR="00951E8E" w:rsidRPr="002D25F7" w:rsidRDefault="00951E8E" w:rsidP="00951E8E">
      <w:pPr>
        <w:pStyle w:val="Fotnotetekst"/>
        <w:rPr>
          <w:lang w:val="nb-NO"/>
        </w:rPr>
      </w:pPr>
      <w:r>
        <w:rPr>
          <w:rStyle w:val="Fotnotereferanse"/>
        </w:rPr>
        <w:footnoteRef/>
      </w:r>
      <w:r w:rsidRPr="002D25F7">
        <w:rPr>
          <w:lang w:val="nb-NO"/>
        </w:rPr>
        <w:t xml:space="preserve"> Dette har Sikt beregnet utfra SHERPA/</w:t>
      </w:r>
      <w:proofErr w:type="spellStart"/>
      <w:r w:rsidRPr="002D25F7">
        <w:rPr>
          <w:lang w:val="nb-NO"/>
        </w:rPr>
        <w:t>RoMEO</w:t>
      </w:r>
      <w:proofErr w:type="spellEnd"/>
      <w:r w:rsidRPr="002D25F7">
        <w:rPr>
          <w:lang w:val="nb-NO"/>
        </w:rPr>
        <w:t>, som antas å være den mest komplette oversikten over tidsskriftenes retningslinjer for egenarkivering.</w:t>
      </w:r>
    </w:p>
  </w:footnote>
  <w:footnote w:id="14">
    <w:p w14:paraId="262C6328" w14:textId="70FE77B0" w:rsidR="00DC23FE" w:rsidRPr="00DC23FE" w:rsidRDefault="00DC23FE">
      <w:pPr>
        <w:pStyle w:val="Fotnotetekst"/>
        <w:rPr>
          <w:lang w:val="nb-NO"/>
        </w:rPr>
      </w:pPr>
      <w:r>
        <w:rPr>
          <w:rStyle w:val="Fotnotereferanse"/>
        </w:rPr>
        <w:footnoteRef/>
      </w:r>
      <w:r w:rsidRPr="009314CA">
        <w:rPr>
          <w:lang w:val="nb-NO"/>
        </w:rPr>
        <w:t xml:space="preserve"> </w:t>
      </w:r>
      <w:r w:rsidRPr="00DC23FE">
        <w:rPr>
          <w:lang w:val="nb-NO"/>
        </w:rPr>
        <w:t>Institutter/avdelinger regnes her som tilhørende det fagområdet de har oppgitt størstedelen av sin FoU-aktivitet innenfor.</w:t>
      </w:r>
    </w:p>
  </w:footnote>
  <w:footnote w:id="15">
    <w:p w14:paraId="21EF6B9A" w14:textId="1186E10E" w:rsidR="00C00F07" w:rsidRPr="00C00F07" w:rsidRDefault="00C00F07">
      <w:pPr>
        <w:pStyle w:val="Fotnotetekst"/>
        <w:rPr>
          <w:lang w:val="nb-NO"/>
        </w:rPr>
      </w:pPr>
      <w:r>
        <w:rPr>
          <w:rStyle w:val="Fotnotereferanse"/>
        </w:rPr>
        <w:footnoteRef/>
      </w:r>
      <w:r w:rsidRPr="004C2CE5">
        <w:rPr>
          <w:lang w:val="nb-NO"/>
        </w:rPr>
        <w:t xml:space="preserve"> </w:t>
      </w:r>
      <w:r w:rsidR="000960F6">
        <w:rPr>
          <w:lang w:val="nb-NO"/>
        </w:rPr>
        <w:t>Her</w:t>
      </w:r>
      <w:r w:rsidR="00546B68">
        <w:rPr>
          <w:lang w:val="nb-NO"/>
        </w:rPr>
        <w:t xml:space="preserve"> brukes SSBs</w:t>
      </w:r>
      <w:r w:rsidR="00501EC7">
        <w:rPr>
          <w:lang w:val="nb-NO"/>
        </w:rPr>
        <w:t xml:space="preserve"> definisjon av </w:t>
      </w:r>
      <w:r w:rsidR="00AF2191">
        <w:rPr>
          <w:lang w:val="nb-NO"/>
        </w:rPr>
        <w:t>«</w:t>
      </w:r>
      <w:r w:rsidR="00501EC7">
        <w:rPr>
          <w:lang w:val="nb-NO"/>
        </w:rPr>
        <w:t>FoU-årsverk</w:t>
      </w:r>
      <w:r w:rsidR="00AF2191">
        <w:rPr>
          <w:lang w:val="nb-NO"/>
        </w:rPr>
        <w:t>»</w:t>
      </w:r>
      <w:r w:rsidR="000211C2">
        <w:rPr>
          <w:lang w:val="nb-NO"/>
        </w:rPr>
        <w:t xml:space="preserve">, som er en beregnet størrelse </w:t>
      </w:r>
      <w:r w:rsidR="00E705D0">
        <w:rPr>
          <w:lang w:val="nb-NO"/>
        </w:rPr>
        <w:t xml:space="preserve">av </w:t>
      </w:r>
      <w:r w:rsidR="00C4092B">
        <w:rPr>
          <w:lang w:val="nb-NO"/>
        </w:rPr>
        <w:t>tid brukt til FoU</w:t>
      </w:r>
      <w:r w:rsidR="004C5E0D">
        <w:rPr>
          <w:lang w:val="nb-NO"/>
        </w:rPr>
        <w:t xml:space="preserve"> ved universiteter og høyskoler</w:t>
      </w:r>
      <w:r w:rsidR="002E642B">
        <w:rPr>
          <w:lang w:val="nb-NO"/>
        </w:rPr>
        <w:t xml:space="preserve"> til forskjell fra </w:t>
      </w:r>
      <w:proofErr w:type="spellStart"/>
      <w:r w:rsidR="002E642B">
        <w:rPr>
          <w:lang w:val="nb-NO"/>
        </w:rPr>
        <w:t>DBHs</w:t>
      </w:r>
      <w:proofErr w:type="spellEnd"/>
      <w:r w:rsidR="002E642B">
        <w:rPr>
          <w:lang w:val="nb-NO"/>
        </w:rPr>
        <w:t xml:space="preserve"> «faglige</w:t>
      </w:r>
      <w:r w:rsidR="004C5E0D">
        <w:rPr>
          <w:lang w:val="nb-NO"/>
        </w:rPr>
        <w:t xml:space="preserve"> </w:t>
      </w:r>
      <w:r w:rsidR="00AF2191">
        <w:rPr>
          <w:lang w:val="nb-NO"/>
        </w:rPr>
        <w:t xml:space="preserve">årsverk» basert på </w:t>
      </w:r>
      <w:r w:rsidR="0093746A">
        <w:rPr>
          <w:lang w:val="nb-NO"/>
        </w:rPr>
        <w:t>stillingskategorier</w:t>
      </w:r>
      <w:r w:rsidR="00AF2191">
        <w:rPr>
          <w:lang w:val="nb-NO"/>
        </w:rPr>
        <w:t>.</w:t>
      </w:r>
    </w:p>
  </w:footnote>
  <w:footnote w:id="16">
    <w:p w14:paraId="23B062BF" w14:textId="10C70DE6" w:rsidR="00520340" w:rsidRPr="00520340" w:rsidRDefault="00520340">
      <w:pPr>
        <w:pStyle w:val="Fotnotetekst"/>
        <w:rPr>
          <w:lang w:val="nb-NO"/>
        </w:rPr>
      </w:pPr>
      <w:r>
        <w:rPr>
          <w:rStyle w:val="Fotnotereferanse"/>
        </w:rPr>
        <w:footnoteRef/>
      </w:r>
      <w:r w:rsidRPr="00850E83">
        <w:rPr>
          <w:lang w:val="nb-NO"/>
        </w:rPr>
        <w:t xml:space="preserve"> </w:t>
      </w:r>
      <w:r w:rsidR="00156C38" w:rsidRPr="00156C38">
        <w:rPr>
          <w:lang w:val="nb-NO"/>
        </w:rPr>
        <w:t xml:space="preserve">Forskningsrådet </w:t>
      </w:r>
      <w:proofErr w:type="gramStart"/>
      <w:r w:rsidR="00156C38" w:rsidRPr="00156C38">
        <w:rPr>
          <w:lang w:val="nb-NO"/>
        </w:rPr>
        <w:t>implementerer</w:t>
      </w:r>
      <w:proofErr w:type="gramEnd"/>
      <w:r w:rsidR="00156C38" w:rsidRPr="00156C38">
        <w:rPr>
          <w:lang w:val="nb-NO"/>
        </w:rPr>
        <w:t xml:space="preserve"> oppdateringer av </w:t>
      </w:r>
      <w:proofErr w:type="spellStart"/>
      <w:r w:rsidR="00156C38" w:rsidRPr="00156C38">
        <w:rPr>
          <w:lang w:val="nb-NO"/>
        </w:rPr>
        <w:t>eCorda</w:t>
      </w:r>
      <w:proofErr w:type="spellEnd"/>
      <w:r w:rsidR="00156C38" w:rsidRPr="00156C38">
        <w:rPr>
          <w:lang w:val="nb-NO"/>
        </w:rPr>
        <w:t xml:space="preserve"> to ganger årlig </w:t>
      </w:r>
      <w:proofErr w:type="spellStart"/>
      <w:r w:rsidR="00156C38" w:rsidRPr="00156C38">
        <w:rPr>
          <w:lang w:val="nb-NO"/>
        </w:rPr>
        <w:t>i</w:t>
      </w:r>
      <w:r w:rsidR="00156C38">
        <w:rPr>
          <w:lang w:val="nb-NO"/>
        </w:rPr>
        <w:t>h</w:t>
      </w:r>
      <w:r w:rsidR="00156C38" w:rsidRPr="00156C38">
        <w:rPr>
          <w:lang w:val="nb-NO"/>
        </w:rPr>
        <w:t>ht</w:t>
      </w:r>
      <w:proofErr w:type="spellEnd"/>
      <w:r w:rsidR="00156C38" w:rsidRPr="00156C38">
        <w:rPr>
          <w:lang w:val="nb-NO"/>
        </w:rPr>
        <w:t xml:space="preserve">. </w:t>
      </w:r>
      <w:proofErr w:type="spellStart"/>
      <w:r w:rsidR="005F17F1" w:rsidRPr="00156C38">
        <w:rPr>
          <w:lang w:val="nb-NO"/>
        </w:rPr>
        <w:t>hovedoppdateringene</w:t>
      </w:r>
      <w:proofErr w:type="spellEnd"/>
      <w:r w:rsidR="00156C38" w:rsidRPr="00156C38">
        <w:rPr>
          <w:lang w:val="nb-NO"/>
        </w:rPr>
        <w:t xml:space="preserve">. </w:t>
      </w:r>
      <w:r w:rsidR="00C74633">
        <w:rPr>
          <w:lang w:val="nb-NO"/>
        </w:rPr>
        <w:t>Europakommisjonen har meddelt at n</w:t>
      </w:r>
      <w:r w:rsidR="00156C38" w:rsidRPr="00156C38">
        <w:rPr>
          <w:lang w:val="nb-NO"/>
        </w:rPr>
        <w:t xml:space="preserve">este </w:t>
      </w:r>
      <w:proofErr w:type="spellStart"/>
      <w:r w:rsidR="00156C38" w:rsidRPr="00156C38">
        <w:rPr>
          <w:lang w:val="nb-NO"/>
        </w:rPr>
        <w:t>hovedoppdatering</w:t>
      </w:r>
      <w:proofErr w:type="spellEnd"/>
      <w:r w:rsidR="00156C38" w:rsidRPr="00156C38">
        <w:rPr>
          <w:lang w:val="nb-NO"/>
        </w:rPr>
        <w:t xml:space="preserve"> kommer i løpet av høsten</w:t>
      </w:r>
      <w:r w:rsidR="003C5E5D">
        <w:rPr>
          <w:lang w:val="nb-NO"/>
        </w:rPr>
        <w:t xml:space="preserve"> 2022. </w:t>
      </w:r>
      <w:r w:rsidR="00156C38" w:rsidRPr="00156C38">
        <w:rPr>
          <w:lang w:val="nb-NO"/>
        </w:rPr>
        <w:t>Det har vært merkbare forsinkelser i distribusjonen av dataene fra Kommisjonens side i starten av Horisont Europa</w:t>
      </w:r>
    </w:p>
  </w:footnote>
  <w:footnote w:id="17">
    <w:p w14:paraId="46A1E425" w14:textId="382905A1" w:rsidR="00FA1DAE" w:rsidRPr="00AE3302" w:rsidRDefault="00FA1DAE">
      <w:pPr>
        <w:pStyle w:val="Fotnotetekst"/>
        <w:rPr>
          <w:lang w:val="nb-NO"/>
        </w:rPr>
      </w:pPr>
      <w:r>
        <w:rPr>
          <w:rStyle w:val="Fotnotereferanse"/>
        </w:rPr>
        <w:footnoteRef/>
      </w:r>
      <w:r w:rsidRPr="00FC5ED7">
        <w:rPr>
          <w:lang w:val="nb-NO"/>
        </w:rPr>
        <w:t xml:space="preserve"> Tallene </w:t>
      </w:r>
      <w:r w:rsidR="00AF0A91" w:rsidRPr="00AE3302">
        <w:rPr>
          <w:lang w:val="nb-NO"/>
        </w:rPr>
        <w:t>på fakultetsnivå er hentet fra</w:t>
      </w:r>
      <w:r w:rsidR="0035105F" w:rsidRPr="00AE3302">
        <w:rPr>
          <w:lang w:val="nb-NO"/>
        </w:rPr>
        <w:t xml:space="preserve"> </w:t>
      </w:r>
      <w:hyperlink r:id="rId1" w:history="1">
        <w:r w:rsidR="0035105F" w:rsidRPr="00FC5ED7">
          <w:rPr>
            <w:rStyle w:val="Hyperkobling"/>
            <w:lang w:val="nb-NO"/>
          </w:rPr>
          <w:t xml:space="preserve">Database for statistikk om høyere utdanning - </w:t>
        </w:r>
        <w:proofErr w:type="spellStart"/>
        <w:r w:rsidR="0035105F" w:rsidRPr="00FC5ED7">
          <w:rPr>
            <w:rStyle w:val="Hyperkobling"/>
            <w:lang w:val="nb-NO"/>
          </w:rPr>
          <w:t>DBH</w:t>
        </w:r>
        <w:proofErr w:type="spellEnd"/>
        <w:r w:rsidR="0035105F" w:rsidRPr="00FC5ED7">
          <w:rPr>
            <w:rStyle w:val="Hyperkobling"/>
            <w:lang w:val="nb-NO"/>
          </w:rPr>
          <w:t xml:space="preserve"> (hkdir.no)</w:t>
        </w:r>
      </w:hyperlink>
      <w:r w:rsidR="0035105F" w:rsidRPr="00FC5ED7">
        <w:rPr>
          <w:lang w:val="nb-NO"/>
        </w:rPr>
        <w:t>.</w:t>
      </w:r>
    </w:p>
  </w:footnote>
  <w:footnote w:id="18">
    <w:p w14:paraId="2CFDA6A6" w14:textId="4B96778C" w:rsidR="00AD0A4C" w:rsidRPr="00CD7835" w:rsidRDefault="00AD0A4C">
      <w:pPr>
        <w:pStyle w:val="Fotnotetekst"/>
        <w:rPr>
          <w:lang w:val="nb-NO"/>
        </w:rPr>
      </w:pPr>
      <w:r>
        <w:rPr>
          <w:rStyle w:val="Fotnotereferanse"/>
        </w:rPr>
        <w:footnoteRef/>
      </w:r>
      <w:r w:rsidRPr="00170B2D">
        <w:rPr>
          <w:lang w:val="nb-NO"/>
        </w:rPr>
        <w:t xml:space="preserve"> </w:t>
      </w:r>
      <w:r w:rsidR="0056387D">
        <w:rPr>
          <w:lang w:val="nb-NO"/>
        </w:rPr>
        <w:t xml:space="preserve">Når det gjelder </w:t>
      </w:r>
      <w:r>
        <w:rPr>
          <w:lang w:val="nb-NO"/>
        </w:rPr>
        <w:t>de private institusjonene</w:t>
      </w:r>
      <w:r w:rsidR="00E97B4B">
        <w:rPr>
          <w:lang w:val="nb-NO"/>
        </w:rPr>
        <w:t xml:space="preserve"> er det problematisk å </w:t>
      </w:r>
      <w:r w:rsidR="003B557B">
        <w:rPr>
          <w:lang w:val="nb-NO"/>
        </w:rPr>
        <w:t xml:space="preserve">bruke </w:t>
      </w:r>
      <w:r w:rsidR="00850070">
        <w:rPr>
          <w:lang w:val="nb-NO"/>
        </w:rPr>
        <w:t xml:space="preserve">et </w:t>
      </w:r>
      <w:r w:rsidR="006E486A">
        <w:rPr>
          <w:lang w:val="nb-NO"/>
        </w:rPr>
        <w:t xml:space="preserve">tilsvarende samlet forholdstall. </w:t>
      </w:r>
      <w:r w:rsidR="00BB7B74">
        <w:rPr>
          <w:lang w:val="nb-NO"/>
        </w:rPr>
        <w:t xml:space="preserve">Grunnen til dette er at BI ikke har sammenlignbare tall, og ansatte ved BI utgjør </w:t>
      </w:r>
      <w:r w:rsidR="00977A71">
        <w:rPr>
          <w:lang w:val="nb-NO"/>
        </w:rPr>
        <w:t xml:space="preserve">videre </w:t>
      </w:r>
      <w:r w:rsidR="00BB7B74">
        <w:rPr>
          <w:lang w:val="nb-NO"/>
        </w:rPr>
        <w:t xml:space="preserve">en vesentlig andel av </w:t>
      </w:r>
      <w:r w:rsidR="004A7D0D">
        <w:rPr>
          <w:lang w:val="nb-NO"/>
        </w:rPr>
        <w:t>alle ansatte ved private institusjoner.</w:t>
      </w:r>
      <w:r w:rsidR="00995421">
        <w:rPr>
          <w:lang w:val="nb-NO"/>
        </w:rPr>
        <w:t xml:space="preserve"> Dette må man være oppmerksom på når man leser </w:t>
      </w:r>
      <w:proofErr w:type="spellStart"/>
      <w:r w:rsidR="00995421">
        <w:rPr>
          <w:lang w:val="nb-NO"/>
        </w:rPr>
        <w:t>vedleggstabell</w:t>
      </w:r>
      <w:proofErr w:type="spellEnd"/>
      <w:r w:rsidR="00995421">
        <w:rPr>
          <w:lang w:val="nb-NO"/>
        </w:rPr>
        <w:t xml:space="preserve"> V</w:t>
      </w:r>
      <w:r w:rsidR="00595D14">
        <w:rPr>
          <w:lang w:val="nb-NO"/>
        </w:rPr>
        <w:t>4.1</w:t>
      </w:r>
      <w:r w:rsidR="00CF37EF">
        <w:rPr>
          <w:lang w:val="nb-NO"/>
        </w:rPr>
        <w:t>8</w:t>
      </w:r>
      <w:r w:rsidR="00595D14">
        <w:rPr>
          <w:lang w:val="nb-NO"/>
        </w:rPr>
        <w:t xml:space="preserve"> og V4.1</w:t>
      </w:r>
      <w:r w:rsidR="00CF37EF">
        <w:rPr>
          <w:lang w:val="nb-NO"/>
        </w:rPr>
        <w:t>9.</w:t>
      </w:r>
      <w:r w:rsidR="007D7F1B">
        <w:rPr>
          <w:lang w:val="nb-NO"/>
        </w:rPr>
        <w:t xml:space="preserve"> Mellom annet skiller ikke BI mellom </w:t>
      </w:r>
      <w:r w:rsidR="006000A5">
        <w:rPr>
          <w:lang w:val="nb-NO"/>
        </w:rPr>
        <w:t xml:space="preserve">stillingstyper på en måte som samsvarer med </w:t>
      </w:r>
      <w:r w:rsidR="00657E29">
        <w:rPr>
          <w:lang w:val="nb-NO"/>
        </w:rPr>
        <w:t xml:space="preserve">det som her defineres som </w:t>
      </w:r>
      <w:r w:rsidR="007D7F1B">
        <w:rPr>
          <w:lang w:val="nb-NO"/>
        </w:rPr>
        <w:t>«administrative» og «øvrige» stillinger</w:t>
      </w:r>
      <w:r w:rsidR="00605285">
        <w:rPr>
          <w:lang w:val="nb-NO"/>
        </w:rPr>
        <w:t xml:space="preserve"> (se </w:t>
      </w:r>
      <w:r w:rsidR="00670DE6">
        <w:rPr>
          <w:lang w:val="nb-NO"/>
        </w:rPr>
        <w:t>merknader</w:t>
      </w:r>
      <w:r w:rsidR="00605285">
        <w:rPr>
          <w:lang w:val="nb-NO"/>
        </w:rPr>
        <w:t xml:space="preserve"> under V4.17, V4.18 og V4.19</w:t>
      </w:r>
      <w:r w:rsidR="00484FDD">
        <w:rPr>
          <w:lang w:val="nb-NO"/>
        </w:rPr>
        <w:t xml:space="preserve"> for </w:t>
      </w:r>
      <w:r w:rsidR="00D56768">
        <w:rPr>
          <w:lang w:val="nb-NO"/>
        </w:rPr>
        <w:t>lenke og</w:t>
      </w:r>
      <w:r w:rsidR="00484FDD">
        <w:rPr>
          <w:lang w:val="nb-NO"/>
        </w:rPr>
        <w:t xml:space="preserve"> informasjon om hvordan disse </w:t>
      </w:r>
      <w:r w:rsidR="00D56768">
        <w:rPr>
          <w:lang w:val="nb-NO"/>
        </w:rPr>
        <w:t>inndelingene</w:t>
      </w:r>
      <w:r w:rsidR="00A463FB">
        <w:rPr>
          <w:lang w:val="nb-NO"/>
        </w:rPr>
        <w:t xml:space="preserve"> gjøres</w:t>
      </w:r>
      <w:r w:rsidR="00605285">
        <w:rPr>
          <w:lang w:val="nb-NO"/>
        </w:rPr>
        <w:t>).</w:t>
      </w:r>
      <w:r w:rsidR="00AC59E9">
        <w:rPr>
          <w:lang w:val="nb-NO"/>
        </w:rPr>
        <w:t xml:space="preserve"> </w:t>
      </w:r>
    </w:p>
  </w:footnote>
  <w:footnote w:id="19">
    <w:p w14:paraId="4668BDBF" w14:textId="79E407D2" w:rsidR="00B3363D" w:rsidRPr="008D6166" w:rsidRDefault="00B3363D">
      <w:pPr>
        <w:pStyle w:val="Fotnotetekst"/>
        <w:rPr>
          <w:lang w:val="nb-NO"/>
        </w:rPr>
      </w:pPr>
      <w:r>
        <w:rPr>
          <w:rStyle w:val="Fotnotereferanse"/>
        </w:rPr>
        <w:footnoteRef/>
      </w:r>
      <w:r w:rsidRPr="008D6166">
        <w:rPr>
          <w:lang w:val="nb-NO"/>
        </w:rPr>
        <w:t xml:space="preserve"> </w:t>
      </w:r>
      <w:r w:rsidR="0061023D">
        <w:rPr>
          <w:lang w:val="nb-NO"/>
        </w:rPr>
        <w:t xml:space="preserve">Tallet </w:t>
      </w:r>
      <w:proofErr w:type="gramStart"/>
      <w:r w:rsidR="0061023D">
        <w:rPr>
          <w:lang w:val="nb-NO"/>
        </w:rPr>
        <w:t>for BI</w:t>
      </w:r>
      <w:proofErr w:type="gramEnd"/>
      <w:r w:rsidR="0061023D">
        <w:rPr>
          <w:lang w:val="nb-NO"/>
        </w:rPr>
        <w:t xml:space="preserve"> (0,77) kan ikke sammenlignes med </w:t>
      </w:r>
      <w:r w:rsidR="005C7ECB">
        <w:rPr>
          <w:lang w:val="nb-NO"/>
        </w:rPr>
        <w:t>andre.</w:t>
      </w:r>
    </w:p>
  </w:footnote>
  <w:footnote w:id="20">
    <w:p w14:paraId="007D4C65" w14:textId="091C8D56" w:rsidR="00373934" w:rsidRPr="00675C1C" w:rsidRDefault="00373934">
      <w:pPr>
        <w:pStyle w:val="Fotnotetekst"/>
        <w:rPr>
          <w:lang w:val="nb-NO"/>
        </w:rPr>
      </w:pPr>
      <w:r>
        <w:rPr>
          <w:rStyle w:val="Fotnotereferanse"/>
        </w:rPr>
        <w:footnoteRef/>
      </w:r>
      <w:r w:rsidRPr="00310A84">
        <w:rPr>
          <w:lang w:val="nb-NO"/>
        </w:rPr>
        <w:t xml:space="preserve"> </w:t>
      </w:r>
      <w:r w:rsidR="00144E84">
        <w:rPr>
          <w:lang w:val="nb-NO"/>
        </w:rPr>
        <w:t xml:space="preserve">Data på fakultetsnivå er hentet fra </w:t>
      </w:r>
      <w:hyperlink r:id="rId2" w:history="1">
        <w:proofErr w:type="spellStart"/>
        <w:r w:rsidR="009D4C04" w:rsidRPr="009D4C04">
          <w:rPr>
            <w:rStyle w:val="Hyperkobling"/>
            <w:lang w:val="nb-NO"/>
          </w:rPr>
          <w:t>DBH</w:t>
        </w:r>
        <w:proofErr w:type="spellEnd"/>
      </w:hyperlink>
    </w:p>
  </w:footnote>
</w:footnotes>
</file>

<file path=word/intelligence.xml><?xml version="1.0" encoding="utf-8"?>
<int:Intelligence xmlns:int="http://schemas.microsoft.com/office/intelligence/2019/intelligence">
  <int:IntelligenceSettings/>
  <int:Manifest>
    <int:ParagraphRange paragraphId="783389204" textId="1255103203" start="581" length="5" invalidationStart="581" invalidationLength="5" id="04DaIkiJ"/>
    <int:ParagraphRange paragraphId="783389204" textId="685124982" start="581" length="5" invalidationStart="581" invalidationLength="5" id="IObskAbo"/>
  </int:Manifest>
  <int:Observations>
    <int:Content id="04DaIkiJ">
      <int:Rejection type="LegacyProofing"/>
    </int:Content>
    <int:Content id="IObskAb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98410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A4FA9CA2"/>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9676BDB2"/>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8E5A79BE"/>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6A829EDE"/>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768F2C"/>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297E3CD8"/>
    <w:lvl w:ilvl="0">
      <w:start w:val="1"/>
      <w:numFmt w:val="decimal"/>
      <w:pStyle w:val="Nummerertliste"/>
      <w:lvlText w:val="%1."/>
      <w:lvlJc w:val="left"/>
      <w:pPr>
        <w:tabs>
          <w:tab w:val="num" w:pos="360"/>
        </w:tabs>
        <w:ind w:left="360" w:hanging="360"/>
      </w:pPr>
    </w:lvl>
  </w:abstractNum>
  <w:abstractNum w:abstractNumId="7" w15:restartNumberingAfterBreak="0">
    <w:nsid w:val="038375EF"/>
    <w:multiLevelType w:val="multilevel"/>
    <w:tmpl w:val="61FE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91966"/>
    <w:multiLevelType w:val="hybridMultilevel"/>
    <w:tmpl w:val="0B0059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3717E9"/>
    <w:multiLevelType w:val="multilevel"/>
    <w:tmpl w:val="F0BC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07C3E"/>
    <w:multiLevelType w:val="multilevel"/>
    <w:tmpl w:val="A650C76E"/>
    <w:lvl w:ilvl="0">
      <w:start w:val="1"/>
      <w:numFmt w:val="decimal"/>
      <w:pStyle w:val="Overskrift1"/>
      <w:lvlText w:val="%1"/>
      <w:lvlJc w:val="left"/>
      <w:pPr>
        <w:ind w:left="454" w:hanging="454"/>
      </w:pPr>
    </w:lvl>
    <w:lvl w:ilvl="1">
      <w:start w:val="1"/>
      <w:numFmt w:val="decimal"/>
      <w:pStyle w:val="Overskrift2"/>
      <w:lvlText w:val="%1.%2"/>
      <w:lvlJc w:val="left"/>
      <w:pPr>
        <w:ind w:left="425" w:hanging="425"/>
      </w:pPr>
    </w:lvl>
    <w:lvl w:ilvl="2">
      <w:start w:val="1"/>
      <w:numFmt w:val="decimal"/>
      <w:pStyle w:val="Overskrift3"/>
      <w:suff w:val="space"/>
      <w:lvlText w:val="%1.%2.%3"/>
      <w:lvlJc w:val="left"/>
      <w:pPr>
        <w:ind w:left="454" w:hanging="454"/>
      </w:pPr>
    </w:lvl>
    <w:lvl w:ilvl="3">
      <w:start w:val="1"/>
      <w:numFmt w:val="decimal"/>
      <w:pStyle w:val="Overskrift4"/>
      <w:suff w:val="space"/>
      <w:lvlText w:val="%1.%2.%3.%4"/>
      <w:lvlJc w:val="left"/>
      <w:pPr>
        <w:ind w:left="0" w:firstLine="0"/>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3BBC551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0C21967"/>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AF02BF"/>
    <w:multiLevelType w:val="multilevel"/>
    <w:tmpl w:val="212E50AE"/>
    <w:lvl w:ilvl="0">
      <w:start w:val="1"/>
      <w:numFmt w:val="bullet"/>
      <w:pStyle w:val="Punktliste"/>
      <w:lvlText w:val=""/>
      <w:lvlJc w:val="left"/>
      <w:pPr>
        <w:tabs>
          <w:tab w:val="num" w:pos="454"/>
        </w:tabs>
        <w:ind w:left="624" w:hanging="170"/>
      </w:pPr>
      <w:rPr>
        <w:rFonts w:ascii="Symbol" w:hAnsi="Symbol" w:hint="default"/>
        <w:sz w:val="14"/>
        <w:szCs w:val="16"/>
      </w:rPr>
    </w:lvl>
    <w:lvl w:ilvl="1">
      <w:start w:val="1"/>
      <w:numFmt w:val="bullet"/>
      <w:pStyle w:val="Punktliste2"/>
      <w:lvlText w:val="○"/>
      <w:lvlJc w:val="left"/>
      <w:pPr>
        <w:ind w:left="1021" w:hanging="170"/>
      </w:pPr>
      <w:rPr>
        <w:rFonts w:ascii="Arial" w:hAnsi="Arial" w:hint="default"/>
        <w:sz w:val="14"/>
        <w:szCs w:val="16"/>
      </w:rPr>
    </w:lvl>
    <w:lvl w:ilvl="2">
      <w:start w:val="1"/>
      <w:numFmt w:val="bullet"/>
      <w:pStyle w:val="Punktliste3"/>
      <w:lvlText w:val="○"/>
      <w:lvlJc w:val="left"/>
      <w:pPr>
        <w:ind w:left="1588" w:hanging="170"/>
      </w:pPr>
      <w:rPr>
        <w:rFonts w:ascii="Arial" w:hAnsi="Arial" w:hint="default"/>
        <w:sz w:val="14"/>
        <w:szCs w:val="1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2E5007"/>
    <w:multiLevelType w:val="hybridMultilevel"/>
    <w:tmpl w:val="D8D636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DE222D2"/>
    <w:multiLevelType w:val="hybridMultilevel"/>
    <w:tmpl w:val="F42E1D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00E0210"/>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A4C6B67"/>
    <w:multiLevelType w:val="hybridMultilevel"/>
    <w:tmpl w:val="28909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A40729F"/>
    <w:multiLevelType w:val="hybridMultilevel"/>
    <w:tmpl w:val="11F43078"/>
    <w:lvl w:ilvl="0" w:tplc="04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75BD2E5C"/>
    <w:multiLevelType w:val="hybridMultilevel"/>
    <w:tmpl w:val="75B2A9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9961493">
    <w:abstractNumId w:val="16"/>
  </w:num>
  <w:num w:numId="2" w16cid:durableId="685056343">
    <w:abstractNumId w:val="12"/>
  </w:num>
  <w:num w:numId="3" w16cid:durableId="805850668">
    <w:abstractNumId w:val="11"/>
  </w:num>
  <w:num w:numId="4" w16cid:durableId="695666442">
    <w:abstractNumId w:val="6"/>
  </w:num>
  <w:num w:numId="5" w16cid:durableId="977219470">
    <w:abstractNumId w:val="3"/>
  </w:num>
  <w:num w:numId="6" w16cid:durableId="666514388">
    <w:abstractNumId w:val="2"/>
  </w:num>
  <w:num w:numId="7" w16cid:durableId="1993409267">
    <w:abstractNumId w:val="1"/>
  </w:num>
  <w:num w:numId="8" w16cid:durableId="1388407833">
    <w:abstractNumId w:val="0"/>
  </w:num>
  <w:num w:numId="9" w16cid:durableId="1192718554">
    <w:abstractNumId w:val="5"/>
  </w:num>
  <w:num w:numId="10" w16cid:durableId="633872226">
    <w:abstractNumId w:val="4"/>
  </w:num>
  <w:num w:numId="11" w16cid:durableId="808984266">
    <w:abstractNumId w:val="13"/>
  </w:num>
  <w:num w:numId="12" w16cid:durableId="18745078">
    <w:abstractNumId w:val="7"/>
  </w:num>
  <w:num w:numId="13" w16cid:durableId="868645469">
    <w:abstractNumId w:val="9"/>
  </w:num>
  <w:num w:numId="14" w16cid:durableId="3322186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8783524">
    <w:abstractNumId w:val="10"/>
    <w:lvlOverride w:ilvl="0">
      <w:lvl w:ilvl="0">
        <w:start w:val="1"/>
        <w:numFmt w:val="decimal"/>
        <w:pStyle w:val="Overskrift1"/>
        <w:lvlText w:val="%1"/>
        <w:lvlJc w:val="left"/>
        <w:pPr>
          <w:ind w:left="454" w:hanging="454"/>
        </w:pPr>
        <w:rPr>
          <w:rFonts w:hint="default"/>
        </w:rPr>
      </w:lvl>
    </w:lvlOverride>
    <w:lvlOverride w:ilvl="1">
      <w:lvl w:ilvl="1">
        <w:start w:val="1"/>
        <w:numFmt w:val="decimal"/>
        <w:pStyle w:val="Overskrift2"/>
        <w:lvlText w:val="%1.%2"/>
        <w:lvlJc w:val="left"/>
        <w:pPr>
          <w:ind w:left="425" w:hanging="425"/>
        </w:pPr>
        <w:rPr>
          <w:rFonts w:hint="default"/>
        </w:rPr>
      </w:lvl>
    </w:lvlOverride>
    <w:lvlOverride w:ilvl="2">
      <w:lvl w:ilvl="2">
        <w:start w:val="1"/>
        <w:numFmt w:val="decimal"/>
        <w:pStyle w:val="Overskrift3"/>
        <w:lvlText w:val="%1.%2.%3"/>
        <w:lvlJc w:val="left"/>
        <w:pPr>
          <w:ind w:left="454" w:hanging="454"/>
        </w:pPr>
        <w:rPr>
          <w:rFonts w:hint="default"/>
        </w:rPr>
      </w:lvl>
    </w:lvlOverride>
    <w:lvlOverride w:ilvl="3">
      <w:lvl w:ilvl="3">
        <w:start w:val="1"/>
        <w:numFmt w:val="decimal"/>
        <w:pStyle w:val="Overskrift4"/>
        <w:suff w:val="space"/>
        <w:lvlText w:val="%1.%2.%3.%4"/>
        <w:lvlJc w:val="left"/>
        <w:pPr>
          <w:ind w:left="0" w:firstLine="0"/>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pStyle w:val="Overskrift6"/>
        <w:lvlText w:val="%1.%2.%3.%4.%5.%6"/>
        <w:lvlJc w:val="left"/>
        <w:pPr>
          <w:ind w:left="1152" w:hanging="1152"/>
        </w:pPr>
        <w:rPr>
          <w:rFonts w:hint="default"/>
        </w:rPr>
      </w:lvl>
    </w:lvlOverride>
    <w:lvlOverride w:ilvl="6">
      <w:lvl w:ilvl="6">
        <w:start w:val="1"/>
        <w:numFmt w:val="decimal"/>
        <w:pStyle w:val="Overskrift7"/>
        <w:lvlText w:val="%1.%2.%3.%4.%5.%6.%7"/>
        <w:lvlJc w:val="left"/>
        <w:pPr>
          <w:ind w:left="1296" w:hanging="1296"/>
        </w:pPr>
        <w:rPr>
          <w:rFonts w:hint="default"/>
        </w:rPr>
      </w:lvl>
    </w:lvlOverride>
    <w:lvlOverride w:ilvl="7">
      <w:lvl w:ilvl="7">
        <w:start w:val="1"/>
        <w:numFmt w:val="decimal"/>
        <w:pStyle w:val="Overskrift8"/>
        <w:lvlText w:val="%1.%2.%3.%4.%5.%6.%7.%8"/>
        <w:lvlJc w:val="left"/>
        <w:pPr>
          <w:ind w:left="1440" w:hanging="1440"/>
        </w:pPr>
        <w:rPr>
          <w:rFonts w:hint="default"/>
        </w:rPr>
      </w:lvl>
    </w:lvlOverride>
    <w:lvlOverride w:ilvl="8">
      <w:lvl w:ilvl="8">
        <w:start w:val="1"/>
        <w:numFmt w:val="decimal"/>
        <w:pStyle w:val="Overskrift9"/>
        <w:lvlText w:val="%1.%2.%3.%4.%5.%6.%7.%8.%9"/>
        <w:lvlJc w:val="left"/>
        <w:pPr>
          <w:ind w:left="1584" w:hanging="1584"/>
        </w:pPr>
        <w:rPr>
          <w:rFonts w:hint="default"/>
        </w:rPr>
      </w:lvl>
    </w:lvlOverride>
  </w:num>
  <w:num w:numId="16" w16cid:durableId="1016422946">
    <w:abstractNumId w:val="8"/>
  </w:num>
  <w:num w:numId="17" w16cid:durableId="1063481271">
    <w:abstractNumId w:val="19"/>
  </w:num>
  <w:num w:numId="18" w16cid:durableId="478034821">
    <w:abstractNumId w:val="17"/>
  </w:num>
  <w:num w:numId="19" w16cid:durableId="1767193372">
    <w:abstractNumId w:val="15"/>
  </w:num>
  <w:num w:numId="20" w16cid:durableId="1243951584">
    <w:abstractNumId w:val="14"/>
  </w:num>
  <w:num w:numId="21" w16cid:durableId="979192215">
    <w:abstractNumId w:val="10"/>
    <w:lvlOverride w:ilvl="0">
      <w:lvl w:ilvl="0">
        <w:start w:val="1"/>
        <w:numFmt w:val="decimal"/>
        <w:pStyle w:val="Overskrift1"/>
        <w:lvlText w:val="%1"/>
        <w:lvlJc w:val="left"/>
        <w:pPr>
          <w:ind w:left="454" w:hanging="454"/>
        </w:pPr>
        <w:rPr>
          <w:rFonts w:hint="default"/>
        </w:rPr>
      </w:lvl>
    </w:lvlOverride>
    <w:lvlOverride w:ilvl="1">
      <w:lvl w:ilvl="1">
        <w:start w:val="1"/>
        <w:numFmt w:val="decimal"/>
        <w:pStyle w:val="Overskrift2"/>
        <w:lvlText w:val="%1.%2"/>
        <w:lvlJc w:val="left"/>
        <w:pPr>
          <w:ind w:left="425" w:hanging="425"/>
        </w:pPr>
        <w:rPr>
          <w:rFonts w:hint="default"/>
        </w:rPr>
      </w:lvl>
    </w:lvlOverride>
    <w:lvlOverride w:ilvl="2">
      <w:lvl w:ilvl="2">
        <w:start w:val="1"/>
        <w:numFmt w:val="decimal"/>
        <w:pStyle w:val="Overskrift3"/>
        <w:lvlText w:val="%1.%2.%3"/>
        <w:lvlJc w:val="left"/>
        <w:pPr>
          <w:ind w:left="454" w:hanging="454"/>
        </w:pPr>
        <w:rPr>
          <w:rFonts w:hint="default"/>
        </w:rPr>
      </w:lvl>
    </w:lvlOverride>
    <w:lvlOverride w:ilvl="3">
      <w:lvl w:ilvl="3">
        <w:start w:val="1"/>
        <w:numFmt w:val="decimal"/>
        <w:pStyle w:val="Overskrift4"/>
        <w:suff w:val="space"/>
        <w:lvlText w:val="%1.%2.%3.%4"/>
        <w:lvlJc w:val="left"/>
        <w:pPr>
          <w:ind w:left="0" w:firstLine="0"/>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pStyle w:val="Overskrift6"/>
        <w:lvlText w:val="%1.%2.%3.%4.%5.%6"/>
        <w:lvlJc w:val="left"/>
        <w:pPr>
          <w:ind w:left="1152" w:hanging="1152"/>
        </w:pPr>
        <w:rPr>
          <w:rFonts w:hint="default"/>
        </w:rPr>
      </w:lvl>
    </w:lvlOverride>
    <w:lvlOverride w:ilvl="6">
      <w:lvl w:ilvl="6">
        <w:start w:val="1"/>
        <w:numFmt w:val="decimal"/>
        <w:pStyle w:val="Overskrift7"/>
        <w:lvlText w:val="%1.%2.%3.%4.%5.%6.%7"/>
        <w:lvlJc w:val="left"/>
        <w:pPr>
          <w:ind w:left="1296" w:hanging="1296"/>
        </w:pPr>
        <w:rPr>
          <w:rFonts w:hint="default"/>
        </w:rPr>
      </w:lvl>
    </w:lvlOverride>
    <w:lvlOverride w:ilvl="7">
      <w:lvl w:ilvl="7">
        <w:start w:val="1"/>
        <w:numFmt w:val="decimal"/>
        <w:pStyle w:val="Overskrift8"/>
        <w:lvlText w:val="%1.%2.%3.%4.%5.%6.%7.%8"/>
        <w:lvlJc w:val="left"/>
        <w:pPr>
          <w:ind w:left="1440" w:hanging="1440"/>
        </w:pPr>
        <w:rPr>
          <w:rFonts w:hint="default"/>
        </w:rPr>
      </w:lvl>
    </w:lvlOverride>
    <w:lvlOverride w:ilvl="8">
      <w:lvl w:ilvl="8">
        <w:start w:val="1"/>
        <w:numFmt w:val="decimal"/>
        <w:pStyle w:val="Overskrift9"/>
        <w:lvlText w:val="%1.%2.%3.%4.%5.%6.%7.%8.%9"/>
        <w:lvlJc w:val="left"/>
        <w:pPr>
          <w:ind w:left="1584" w:hanging="1584"/>
        </w:pPr>
        <w:rPr>
          <w:rFonts w:hint="default"/>
        </w:rPr>
      </w:lvl>
    </w:lvlOverride>
  </w:num>
  <w:num w:numId="22" w16cid:durableId="1510212469">
    <w:abstractNumId w:val="10"/>
    <w:lvlOverride w:ilvl="0">
      <w:startOverride w:val="1"/>
      <w:lvl w:ilvl="0">
        <w:start w:val="1"/>
        <w:numFmt w:val="decimal"/>
        <w:pStyle w:val="Overskrift1"/>
        <w:lvlText w:val="%1"/>
        <w:lvlJc w:val="left"/>
        <w:pPr>
          <w:ind w:left="454" w:hanging="454"/>
        </w:pPr>
        <w:rPr>
          <w:rFonts w:hint="default"/>
        </w:rPr>
      </w:lvl>
    </w:lvlOverride>
    <w:lvlOverride w:ilvl="1">
      <w:startOverride w:val="1"/>
      <w:lvl w:ilvl="1">
        <w:start w:val="1"/>
        <w:numFmt w:val="decimal"/>
        <w:pStyle w:val="Overskrift2"/>
        <w:lvlText w:val="%1.%2"/>
        <w:lvlJc w:val="left"/>
        <w:pPr>
          <w:ind w:left="425" w:hanging="425"/>
        </w:pPr>
        <w:rPr>
          <w:rFonts w:hint="default"/>
        </w:rPr>
      </w:lvl>
    </w:lvlOverride>
    <w:lvlOverride w:ilvl="2">
      <w:startOverride w:val="1"/>
      <w:lvl w:ilvl="2">
        <w:start w:val="1"/>
        <w:numFmt w:val="decimal"/>
        <w:pStyle w:val="Overskrift3"/>
        <w:lvlText w:val="%1.%2.%3"/>
        <w:lvlJc w:val="left"/>
        <w:pPr>
          <w:ind w:left="454" w:hanging="454"/>
        </w:pPr>
        <w:rPr>
          <w:rFonts w:hint="default"/>
        </w:rPr>
      </w:lvl>
    </w:lvlOverride>
    <w:lvlOverride w:ilvl="3">
      <w:startOverride w:val="1"/>
      <w:lvl w:ilvl="3">
        <w:start w:val="1"/>
        <w:numFmt w:val="decimal"/>
        <w:pStyle w:val="Overskrift4"/>
        <w:suff w:val="space"/>
        <w:lvlText w:val="%1.%2.%3.%4"/>
        <w:lvlJc w:val="left"/>
        <w:pPr>
          <w:ind w:left="0" w:firstLine="0"/>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pStyle w:val="Overskrift6"/>
        <w:lvlText w:val="%1.%2.%3.%4.%5.%6"/>
        <w:lvlJc w:val="left"/>
        <w:pPr>
          <w:ind w:left="1152" w:hanging="1152"/>
        </w:pPr>
        <w:rPr>
          <w:rFonts w:hint="default"/>
        </w:rPr>
      </w:lvl>
    </w:lvlOverride>
    <w:lvlOverride w:ilvl="6">
      <w:startOverride w:val="1"/>
      <w:lvl w:ilvl="6">
        <w:start w:val="1"/>
        <w:numFmt w:val="decimal"/>
        <w:pStyle w:val="Overskrift7"/>
        <w:lvlText w:val="%1.%2.%3.%4.%5.%6.%7"/>
        <w:lvlJc w:val="left"/>
        <w:pPr>
          <w:ind w:left="1296" w:hanging="1296"/>
        </w:pPr>
        <w:rPr>
          <w:rFonts w:hint="default"/>
        </w:rPr>
      </w:lvl>
    </w:lvlOverride>
    <w:lvlOverride w:ilvl="7">
      <w:startOverride w:val="1"/>
      <w:lvl w:ilvl="7">
        <w:start w:val="1"/>
        <w:numFmt w:val="decimal"/>
        <w:pStyle w:val="Overskrift8"/>
        <w:lvlText w:val="%1.%2.%3.%4.%5.%6.%7.%8"/>
        <w:lvlJc w:val="left"/>
        <w:pPr>
          <w:ind w:left="1440" w:hanging="1440"/>
        </w:pPr>
        <w:rPr>
          <w:rFonts w:hint="default"/>
        </w:rPr>
      </w:lvl>
    </w:lvlOverride>
    <w:lvlOverride w:ilvl="8">
      <w:startOverride w:val="1"/>
      <w:lvl w:ilvl="8">
        <w:start w:val="1"/>
        <w:numFmt w:val="decimal"/>
        <w:pStyle w:val="Overskrift9"/>
        <w:lvlText w:val="%1.%2.%3.%4.%5.%6.%7.%8.%9"/>
        <w:lvlJc w:val="left"/>
        <w:pPr>
          <w:ind w:left="1584" w:hanging="1584"/>
        </w:pPr>
        <w:rPr>
          <w:rFonts w:hint="default"/>
        </w:rPr>
      </w:lvl>
    </w:lvlOverride>
  </w:num>
  <w:num w:numId="23" w16cid:durableId="1100292541">
    <w:abstractNumId w:val="18"/>
  </w:num>
  <w:num w:numId="24" w16cid:durableId="1608854244">
    <w:abstractNumId w:val="10"/>
    <w:lvlOverride w:ilvl="0">
      <w:lvl w:ilvl="0">
        <w:start w:val="1"/>
        <w:numFmt w:val="decimal"/>
        <w:pStyle w:val="Overskrift1"/>
        <w:lvlText w:val="%1"/>
        <w:lvlJc w:val="left"/>
        <w:pPr>
          <w:ind w:left="454" w:hanging="454"/>
        </w:pPr>
        <w:rPr>
          <w:rFonts w:hint="default"/>
        </w:rPr>
      </w:lvl>
    </w:lvlOverride>
    <w:lvlOverride w:ilvl="1">
      <w:lvl w:ilvl="1">
        <w:start w:val="1"/>
        <w:numFmt w:val="decimal"/>
        <w:pStyle w:val="Overskrift2"/>
        <w:lvlText w:val="%1.%2"/>
        <w:lvlJc w:val="left"/>
        <w:pPr>
          <w:ind w:left="425" w:hanging="425"/>
        </w:pPr>
        <w:rPr>
          <w:rFonts w:hint="default"/>
        </w:rPr>
      </w:lvl>
    </w:lvlOverride>
    <w:lvlOverride w:ilvl="2">
      <w:lvl w:ilvl="2">
        <w:start w:val="1"/>
        <w:numFmt w:val="decimal"/>
        <w:pStyle w:val="Overskrift3"/>
        <w:lvlText w:val="%1.%2.%3"/>
        <w:lvlJc w:val="left"/>
        <w:pPr>
          <w:ind w:left="454" w:hanging="454"/>
        </w:pPr>
        <w:rPr>
          <w:rFonts w:hint="default"/>
        </w:rPr>
      </w:lvl>
    </w:lvlOverride>
    <w:lvlOverride w:ilvl="3">
      <w:lvl w:ilvl="3">
        <w:start w:val="1"/>
        <w:numFmt w:val="decimal"/>
        <w:pStyle w:val="Overskrift4"/>
        <w:suff w:val="space"/>
        <w:lvlText w:val="%1.%2.%3.%4"/>
        <w:lvlJc w:val="left"/>
        <w:pPr>
          <w:ind w:left="0" w:firstLine="0"/>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pStyle w:val="Overskrift6"/>
        <w:lvlText w:val="%1.%2.%3.%4.%5.%6"/>
        <w:lvlJc w:val="left"/>
        <w:pPr>
          <w:ind w:left="1152" w:hanging="1152"/>
        </w:pPr>
        <w:rPr>
          <w:rFonts w:hint="default"/>
        </w:rPr>
      </w:lvl>
    </w:lvlOverride>
    <w:lvlOverride w:ilvl="6">
      <w:lvl w:ilvl="6">
        <w:start w:val="1"/>
        <w:numFmt w:val="decimal"/>
        <w:pStyle w:val="Overskrift7"/>
        <w:lvlText w:val="%1.%2.%3.%4.%5.%6.%7"/>
        <w:lvlJc w:val="left"/>
        <w:pPr>
          <w:ind w:left="1296" w:hanging="1296"/>
        </w:pPr>
        <w:rPr>
          <w:rFonts w:hint="default"/>
        </w:rPr>
      </w:lvl>
    </w:lvlOverride>
    <w:lvlOverride w:ilvl="7">
      <w:lvl w:ilvl="7">
        <w:start w:val="1"/>
        <w:numFmt w:val="decimal"/>
        <w:pStyle w:val="Overskrift8"/>
        <w:lvlText w:val="%1.%2.%3.%4.%5.%6.%7.%8"/>
        <w:lvlJc w:val="left"/>
        <w:pPr>
          <w:ind w:left="1440" w:hanging="1440"/>
        </w:pPr>
        <w:rPr>
          <w:rFonts w:hint="default"/>
        </w:rPr>
      </w:lvl>
    </w:lvlOverride>
    <w:lvlOverride w:ilvl="8">
      <w:lvl w:ilvl="8">
        <w:start w:val="1"/>
        <w:numFmt w:val="decimal"/>
        <w:pStyle w:val="Overskrift9"/>
        <w:lvlText w:val="%1.%2.%3.%4.%5.%6.%7.%8.%9"/>
        <w:lvlJc w:val="left"/>
        <w:pPr>
          <w:ind w:left="1584" w:hanging="1584"/>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proofState w:spelling="clean" w:grammar="clean"/>
  <w:defaultTabStop w:val="708"/>
  <w:hyphenationZone w:val="425"/>
  <w:defaultTableStyle w:val="Diku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9wp0wxtwz9aue509w52eagvset90vxefrw&quot;&gt;hanne.storset@hkdir.no&lt;record-ids&gt;&lt;item&gt;1477&lt;/item&gt;&lt;item&gt;1713&lt;/item&gt;&lt;item&gt;1855&lt;/item&gt;&lt;item&gt;1856&lt;/item&gt;&lt;item&gt;1857&lt;/item&gt;&lt;item&gt;1858&lt;/item&gt;&lt;item&gt;1859&lt;/item&gt;&lt;item&gt;1860&lt;/item&gt;&lt;item&gt;1861&lt;/item&gt;&lt;item&gt;1862&lt;/item&gt;&lt;item&gt;1863&lt;/item&gt;&lt;item&gt;1864&lt;/item&gt;&lt;item&gt;1866&lt;/item&gt;&lt;item&gt;1867&lt;/item&gt;&lt;item&gt;1869&lt;/item&gt;&lt;item&gt;1870&lt;/item&gt;&lt;item&gt;1874&lt;/item&gt;&lt;item&gt;1875&lt;/item&gt;&lt;item&gt;1876&lt;/item&gt;&lt;item&gt;1877&lt;/item&gt;&lt;/record-ids&gt;&lt;/item&gt;&lt;/Libraries&gt;"/>
  </w:docVars>
  <w:rsids>
    <w:rsidRoot w:val="004F0BD3"/>
    <w:rsid w:val="0000016D"/>
    <w:rsid w:val="0000017B"/>
    <w:rsid w:val="00000221"/>
    <w:rsid w:val="000002B8"/>
    <w:rsid w:val="000003EB"/>
    <w:rsid w:val="00000483"/>
    <w:rsid w:val="00000497"/>
    <w:rsid w:val="0000055C"/>
    <w:rsid w:val="000005D4"/>
    <w:rsid w:val="00000655"/>
    <w:rsid w:val="0000072A"/>
    <w:rsid w:val="0000074D"/>
    <w:rsid w:val="0000078D"/>
    <w:rsid w:val="0000079E"/>
    <w:rsid w:val="00000833"/>
    <w:rsid w:val="0000096F"/>
    <w:rsid w:val="0000097D"/>
    <w:rsid w:val="00000B41"/>
    <w:rsid w:val="00000B62"/>
    <w:rsid w:val="00000B9D"/>
    <w:rsid w:val="00000BAE"/>
    <w:rsid w:val="00000BD5"/>
    <w:rsid w:val="00000C32"/>
    <w:rsid w:val="00000D88"/>
    <w:rsid w:val="00000E28"/>
    <w:rsid w:val="00000E33"/>
    <w:rsid w:val="00000E4F"/>
    <w:rsid w:val="00000E87"/>
    <w:rsid w:val="00000F85"/>
    <w:rsid w:val="00000FA3"/>
    <w:rsid w:val="00000FA4"/>
    <w:rsid w:val="00001001"/>
    <w:rsid w:val="00001010"/>
    <w:rsid w:val="0000107E"/>
    <w:rsid w:val="000010B4"/>
    <w:rsid w:val="000010E5"/>
    <w:rsid w:val="000012F7"/>
    <w:rsid w:val="00001318"/>
    <w:rsid w:val="00001433"/>
    <w:rsid w:val="00001456"/>
    <w:rsid w:val="00001537"/>
    <w:rsid w:val="0000159D"/>
    <w:rsid w:val="00001637"/>
    <w:rsid w:val="00001674"/>
    <w:rsid w:val="00001682"/>
    <w:rsid w:val="00001709"/>
    <w:rsid w:val="00001782"/>
    <w:rsid w:val="000017D0"/>
    <w:rsid w:val="0000186E"/>
    <w:rsid w:val="000019BF"/>
    <w:rsid w:val="00001A3A"/>
    <w:rsid w:val="00001AF5"/>
    <w:rsid w:val="00001B3B"/>
    <w:rsid w:val="00001B3D"/>
    <w:rsid w:val="00001C11"/>
    <w:rsid w:val="00001CA9"/>
    <w:rsid w:val="00001D0E"/>
    <w:rsid w:val="00001D2C"/>
    <w:rsid w:val="00001DA7"/>
    <w:rsid w:val="00001DEC"/>
    <w:rsid w:val="00001F2B"/>
    <w:rsid w:val="00001FE6"/>
    <w:rsid w:val="0000205B"/>
    <w:rsid w:val="000022EE"/>
    <w:rsid w:val="000023C7"/>
    <w:rsid w:val="000023CD"/>
    <w:rsid w:val="000023DB"/>
    <w:rsid w:val="000023F5"/>
    <w:rsid w:val="00002535"/>
    <w:rsid w:val="000025A3"/>
    <w:rsid w:val="000025A4"/>
    <w:rsid w:val="00002745"/>
    <w:rsid w:val="000027E8"/>
    <w:rsid w:val="000028B4"/>
    <w:rsid w:val="00002903"/>
    <w:rsid w:val="00002A33"/>
    <w:rsid w:val="00002AB0"/>
    <w:rsid w:val="00002B24"/>
    <w:rsid w:val="00002CE0"/>
    <w:rsid w:val="00002F7E"/>
    <w:rsid w:val="00002FC5"/>
    <w:rsid w:val="00002FC9"/>
    <w:rsid w:val="0000303F"/>
    <w:rsid w:val="0000304C"/>
    <w:rsid w:val="0000306E"/>
    <w:rsid w:val="00003092"/>
    <w:rsid w:val="000030AB"/>
    <w:rsid w:val="0000313E"/>
    <w:rsid w:val="0000315E"/>
    <w:rsid w:val="000031E0"/>
    <w:rsid w:val="0000323A"/>
    <w:rsid w:val="0000323C"/>
    <w:rsid w:val="00003241"/>
    <w:rsid w:val="0000324A"/>
    <w:rsid w:val="000034CC"/>
    <w:rsid w:val="00003730"/>
    <w:rsid w:val="000037D0"/>
    <w:rsid w:val="00003851"/>
    <w:rsid w:val="000038EE"/>
    <w:rsid w:val="00003A06"/>
    <w:rsid w:val="00003A29"/>
    <w:rsid w:val="00003A7E"/>
    <w:rsid w:val="00003A97"/>
    <w:rsid w:val="00003AD1"/>
    <w:rsid w:val="00003B8E"/>
    <w:rsid w:val="00003CA3"/>
    <w:rsid w:val="00003DD1"/>
    <w:rsid w:val="00003E36"/>
    <w:rsid w:val="00003E60"/>
    <w:rsid w:val="00003E63"/>
    <w:rsid w:val="00004066"/>
    <w:rsid w:val="0000409B"/>
    <w:rsid w:val="0000410D"/>
    <w:rsid w:val="00004130"/>
    <w:rsid w:val="00004177"/>
    <w:rsid w:val="00004211"/>
    <w:rsid w:val="00004216"/>
    <w:rsid w:val="000042D9"/>
    <w:rsid w:val="0000430F"/>
    <w:rsid w:val="000043B4"/>
    <w:rsid w:val="000043CC"/>
    <w:rsid w:val="0000443A"/>
    <w:rsid w:val="000044F2"/>
    <w:rsid w:val="00004687"/>
    <w:rsid w:val="0000469D"/>
    <w:rsid w:val="00004710"/>
    <w:rsid w:val="0000475C"/>
    <w:rsid w:val="0000475E"/>
    <w:rsid w:val="000047A6"/>
    <w:rsid w:val="00004800"/>
    <w:rsid w:val="000048FC"/>
    <w:rsid w:val="00004A14"/>
    <w:rsid w:val="00004A43"/>
    <w:rsid w:val="00004A51"/>
    <w:rsid w:val="00004A7C"/>
    <w:rsid w:val="00004AE7"/>
    <w:rsid w:val="00004AF7"/>
    <w:rsid w:val="00004B6A"/>
    <w:rsid w:val="00004B85"/>
    <w:rsid w:val="00004C7E"/>
    <w:rsid w:val="00004CAE"/>
    <w:rsid w:val="00004CB2"/>
    <w:rsid w:val="00004CC5"/>
    <w:rsid w:val="00004D95"/>
    <w:rsid w:val="00004F26"/>
    <w:rsid w:val="00004FA1"/>
    <w:rsid w:val="00004FCF"/>
    <w:rsid w:val="00005020"/>
    <w:rsid w:val="00005047"/>
    <w:rsid w:val="00005144"/>
    <w:rsid w:val="0000516F"/>
    <w:rsid w:val="00005207"/>
    <w:rsid w:val="00005250"/>
    <w:rsid w:val="00005391"/>
    <w:rsid w:val="00005398"/>
    <w:rsid w:val="00005435"/>
    <w:rsid w:val="000054B2"/>
    <w:rsid w:val="0000553C"/>
    <w:rsid w:val="00005552"/>
    <w:rsid w:val="0000569B"/>
    <w:rsid w:val="000056E8"/>
    <w:rsid w:val="0000570E"/>
    <w:rsid w:val="00005844"/>
    <w:rsid w:val="000058B5"/>
    <w:rsid w:val="000058BC"/>
    <w:rsid w:val="000058BD"/>
    <w:rsid w:val="000058DF"/>
    <w:rsid w:val="00005945"/>
    <w:rsid w:val="0000597E"/>
    <w:rsid w:val="00005A6F"/>
    <w:rsid w:val="00005CED"/>
    <w:rsid w:val="00005CF0"/>
    <w:rsid w:val="00005D42"/>
    <w:rsid w:val="00005D6D"/>
    <w:rsid w:val="00005E10"/>
    <w:rsid w:val="00006065"/>
    <w:rsid w:val="00006118"/>
    <w:rsid w:val="00006182"/>
    <w:rsid w:val="0000619D"/>
    <w:rsid w:val="000061C4"/>
    <w:rsid w:val="000061DC"/>
    <w:rsid w:val="00006316"/>
    <w:rsid w:val="0000636B"/>
    <w:rsid w:val="000063C3"/>
    <w:rsid w:val="0000640B"/>
    <w:rsid w:val="00006412"/>
    <w:rsid w:val="000064A5"/>
    <w:rsid w:val="000065A4"/>
    <w:rsid w:val="000065D6"/>
    <w:rsid w:val="0000660B"/>
    <w:rsid w:val="00006703"/>
    <w:rsid w:val="00006712"/>
    <w:rsid w:val="00006719"/>
    <w:rsid w:val="00006778"/>
    <w:rsid w:val="00006789"/>
    <w:rsid w:val="000067BF"/>
    <w:rsid w:val="0000688F"/>
    <w:rsid w:val="00006A2F"/>
    <w:rsid w:val="00006AFA"/>
    <w:rsid w:val="00006B2C"/>
    <w:rsid w:val="00006B66"/>
    <w:rsid w:val="00006BAA"/>
    <w:rsid w:val="00006BE9"/>
    <w:rsid w:val="00006C0F"/>
    <w:rsid w:val="00006C10"/>
    <w:rsid w:val="00006C6E"/>
    <w:rsid w:val="00006CBC"/>
    <w:rsid w:val="00006E6B"/>
    <w:rsid w:val="00007011"/>
    <w:rsid w:val="00007055"/>
    <w:rsid w:val="00007081"/>
    <w:rsid w:val="00007082"/>
    <w:rsid w:val="0000708C"/>
    <w:rsid w:val="00007096"/>
    <w:rsid w:val="000070C8"/>
    <w:rsid w:val="000073B6"/>
    <w:rsid w:val="000073C4"/>
    <w:rsid w:val="00007552"/>
    <w:rsid w:val="00007553"/>
    <w:rsid w:val="00007784"/>
    <w:rsid w:val="00007795"/>
    <w:rsid w:val="000077ED"/>
    <w:rsid w:val="0000793D"/>
    <w:rsid w:val="000079D5"/>
    <w:rsid w:val="00007A32"/>
    <w:rsid w:val="00007AE7"/>
    <w:rsid w:val="00007B86"/>
    <w:rsid w:val="00007BE6"/>
    <w:rsid w:val="00007C95"/>
    <w:rsid w:val="00007CB4"/>
    <w:rsid w:val="00007CDD"/>
    <w:rsid w:val="00007D7B"/>
    <w:rsid w:val="00007E44"/>
    <w:rsid w:val="00007E7B"/>
    <w:rsid w:val="00007EC3"/>
    <w:rsid w:val="00007EDB"/>
    <w:rsid w:val="00007FEB"/>
    <w:rsid w:val="0001007C"/>
    <w:rsid w:val="00010098"/>
    <w:rsid w:val="000100CE"/>
    <w:rsid w:val="0001021C"/>
    <w:rsid w:val="0001023E"/>
    <w:rsid w:val="00010277"/>
    <w:rsid w:val="000103D9"/>
    <w:rsid w:val="00010405"/>
    <w:rsid w:val="00010506"/>
    <w:rsid w:val="0001050D"/>
    <w:rsid w:val="00010583"/>
    <w:rsid w:val="00010795"/>
    <w:rsid w:val="000107C1"/>
    <w:rsid w:val="0001097B"/>
    <w:rsid w:val="00010A0E"/>
    <w:rsid w:val="00010B82"/>
    <w:rsid w:val="00010C58"/>
    <w:rsid w:val="00010CA4"/>
    <w:rsid w:val="00010CBB"/>
    <w:rsid w:val="00010DAE"/>
    <w:rsid w:val="00010E08"/>
    <w:rsid w:val="00010E67"/>
    <w:rsid w:val="00010E87"/>
    <w:rsid w:val="00010E91"/>
    <w:rsid w:val="00010EDD"/>
    <w:rsid w:val="00010F71"/>
    <w:rsid w:val="00010FBD"/>
    <w:rsid w:val="00011053"/>
    <w:rsid w:val="0001108B"/>
    <w:rsid w:val="00011133"/>
    <w:rsid w:val="0001120D"/>
    <w:rsid w:val="000112A6"/>
    <w:rsid w:val="000112C9"/>
    <w:rsid w:val="00011353"/>
    <w:rsid w:val="00011497"/>
    <w:rsid w:val="000114C9"/>
    <w:rsid w:val="0001153A"/>
    <w:rsid w:val="00011592"/>
    <w:rsid w:val="0001170B"/>
    <w:rsid w:val="00011775"/>
    <w:rsid w:val="00011817"/>
    <w:rsid w:val="00011832"/>
    <w:rsid w:val="00011867"/>
    <w:rsid w:val="0001195F"/>
    <w:rsid w:val="00011A56"/>
    <w:rsid w:val="00011ADA"/>
    <w:rsid w:val="00011AF8"/>
    <w:rsid w:val="00011C15"/>
    <w:rsid w:val="00011DB2"/>
    <w:rsid w:val="00011E35"/>
    <w:rsid w:val="00011E7B"/>
    <w:rsid w:val="00011ED6"/>
    <w:rsid w:val="00012179"/>
    <w:rsid w:val="0001227F"/>
    <w:rsid w:val="000122FF"/>
    <w:rsid w:val="00012337"/>
    <w:rsid w:val="0001236B"/>
    <w:rsid w:val="00012421"/>
    <w:rsid w:val="00012518"/>
    <w:rsid w:val="00012579"/>
    <w:rsid w:val="000125D8"/>
    <w:rsid w:val="000125FD"/>
    <w:rsid w:val="0001263D"/>
    <w:rsid w:val="000126A8"/>
    <w:rsid w:val="000126EE"/>
    <w:rsid w:val="000127AB"/>
    <w:rsid w:val="00012997"/>
    <w:rsid w:val="00012A2E"/>
    <w:rsid w:val="00012B16"/>
    <w:rsid w:val="00012B4D"/>
    <w:rsid w:val="00012DD8"/>
    <w:rsid w:val="00012EB7"/>
    <w:rsid w:val="00012F2E"/>
    <w:rsid w:val="00013006"/>
    <w:rsid w:val="0001331B"/>
    <w:rsid w:val="0001335D"/>
    <w:rsid w:val="00013410"/>
    <w:rsid w:val="000134C0"/>
    <w:rsid w:val="000134C7"/>
    <w:rsid w:val="0001354A"/>
    <w:rsid w:val="0001355A"/>
    <w:rsid w:val="00013599"/>
    <w:rsid w:val="000135B8"/>
    <w:rsid w:val="00013674"/>
    <w:rsid w:val="000136ED"/>
    <w:rsid w:val="00013796"/>
    <w:rsid w:val="00013835"/>
    <w:rsid w:val="00013877"/>
    <w:rsid w:val="000138E7"/>
    <w:rsid w:val="0001394F"/>
    <w:rsid w:val="00013955"/>
    <w:rsid w:val="000139F2"/>
    <w:rsid w:val="00013ABE"/>
    <w:rsid w:val="00013AD8"/>
    <w:rsid w:val="00013AE5"/>
    <w:rsid w:val="00013B29"/>
    <w:rsid w:val="00013BA6"/>
    <w:rsid w:val="00013BE0"/>
    <w:rsid w:val="00013C07"/>
    <w:rsid w:val="00013C6D"/>
    <w:rsid w:val="00013C98"/>
    <w:rsid w:val="00013CF2"/>
    <w:rsid w:val="00013DEB"/>
    <w:rsid w:val="00013EA8"/>
    <w:rsid w:val="00013EEB"/>
    <w:rsid w:val="00013F63"/>
    <w:rsid w:val="000140C6"/>
    <w:rsid w:val="000140D3"/>
    <w:rsid w:val="0001418A"/>
    <w:rsid w:val="00014195"/>
    <w:rsid w:val="000142C6"/>
    <w:rsid w:val="0001435A"/>
    <w:rsid w:val="00014371"/>
    <w:rsid w:val="000143E6"/>
    <w:rsid w:val="00014442"/>
    <w:rsid w:val="00014480"/>
    <w:rsid w:val="00014496"/>
    <w:rsid w:val="000144BF"/>
    <w:rsid w:val="000144EB"/>
    <w:rsid w:val="00014608"/>
    <w:rsid w:val="00014653"/>
    <w:rsid w:val="00014769"/>
    <w:rsid w:val="000147A4"/>
    <w:rsid w:val="0001481B"/>
    <w:rsid w:val="00014839"/>
    <w:rsid w:val="0001492E"/>
    <w:rsid w:val="00014B40"/>
    <w:rsid w:val="00014B46"/>
    <w:rsid w:val="00014BE6"/>
    <w:rsid w:val="00014BE8"/>
    <w:rsid w:val="00014BEC"/>
    <w:rsid w:val="00014C3D"/>
    <w:rsid w:val="00014C54"/>
    <w:rsid w:val="00014CDA"/>
    <w:rsid w:val="00014D4B"/>
    <w:rsid w:val="00014D9E"/>
    <w:rsid w:val="00014E11"/>
    <w:rsid w:val="00014F5F"/>
    <w:rsid w:val="00014FC3"/>
    <w:rsid w:val="00014FE8"/>
    <w:rsid w:val="00014FFC"/>
    <w:rsid w:val="00015027"/>
    <w:rsid w:val="0001503E"/>
    <w:rsid w:val="000150F5"/>
    <w:rsid w:val="00015125"/>
    <w:rsid w:val="00015167"/>
    <w:rsid w:val="00015203"/>
    <w:rsid w:val="0001520E"/>
    <w:rsid w:val="00015231"/>
    <w:rsid w:val="00015248"/>
    <w:rsid w:val="0001536D"/>
    <w:rsid w:val="00015379"/>
    <w:rsid w:val="0001537B"/>
    <w:rsid w:val="000153A4"/>
    <w:rsid w:val="000153A8"/>
    <w:rsid w:val="000153DE"/>
    <w:rsid w:val="0001543E"/>
    <w:rsid w:val="00015441"/>
    <w:rsid w:val="000154EF"/>
    <w:rsid w:val="000154FF"/>
    <w:rsid w:val="000155B5"/>
    <w:rsid w:val="000155E1"/>
    <w:rsid w:val="00015756"/>
    <w:rsid w:val="000157F9"/>
    <w:rsid w:val="0001586A"/>
    <w:rsid w:val="000159A3"/>
    <w:rsid w:val="00015B7B"/>
    <w:rsid w:val="00015C12"/>
    <w:rsid w:val="00015C37"/>
    <w:rsid w:val="00015C4E"/>
    <w:rsid w:val="00015C8B"/>
    <w:rsid w:val="00015CCE"/>
    <w:rsid w:val="00015CE1"/>
    <w:rsid w:val="00015E9D"/>
    <w:rsid w:val="00015EC0"/>
    <w:rsid w:val="00015EE5"/>
    <w:rsid w:val="00015F5F"/>
    <w:rsid w:val="00015F91"/>
    <w:rsid w:val="00015FF8"/>
    <w:rsid w:val="000161C0"/>
    <w:rsid w:val="000161C4"/>
    <w:rsid w:val="000161E1"/>
    <w:rsid w:val="0001624E"/>
    <w:rsid w:val="000162E0"/>
    <w:rsid w:val="0001639D"/>
    <w:rsid w:val="000163BF"/>
    <w:rsid w:val="0001640B"/>
    <w:rsid w:val="000164A2"/>
    <w:rsid w:val="000164CA"/>
    <w:rsid w:val="000164F2"/>
    <w:rsid w:val="00016644"/>
    <w:rsid w:val="0001664D"/>
    <w:rsid w:val="0001666C"/>
    <w:rsid w:val="0001669C"/>
    <w:rsid w:val="000166DD"/>
    <w:rsid w:val="00016765"/>
    <w:rsid w:val="00016826"/>
    <w:rsid w:val="0001689D"/>
    <w:rsid w:val="000168BD"/>
    <w:rsid w:val="000169D9"/>
    <w:rsid w:val="00016BBB"/>
    <w:rsid w:val="00016BF6"/>
    <w:rsid w:val="00016C93"/>
    <w:rsid w:val="00016CBB"/>
    <w:rsid w:val="00016D49"/>
    <w:rsid w:val="00016E32"/>
    <w:rsid w:val="00016E66"/>
    <w:rsid w:val="00016E84"/>
    <w:rsid w:val="00016EDC"/>
    <w:rsid w:val="00016FB4"/>
    <w:rsid w:val="00017006"/>
    <w:rsid w:val="0001706B"/>
    <w:rsid w:val="0001707E"/>
    <w:rsid w:val="000170A1"/>
    <w:rsid w:val="000170C7"/>
    <w:rsid w:val="00017137"/>
    <w:rsid w:val="000174C1"/>
    <w:rsid w:val="000174C3"/>
    <w:rsid w:val="00017558"/>
    <w:rsid w:val="0001758F"/>
    <w:rsid w:val="00017657"/>
    <w:rsid w:val="000176E3"/>
    <w:rsid w:val="00017867"/>
    <w:rsid w:val="00017915"/>
    <w:rsid w:val="00017931"/>
    <w:rsid w:val="0001798D"/>
    <w:rsid w:val="000179B0"/>
    <w:rsid w:val="00017A5A"/>
    <w:rsid w:val="00017A60"/>
    <w:rsid w:val="00017B57"/>
    <w:rsid w:val="00017B9F"/>
    <w:rsid w:val="00017BA0"/>
    <w:rsid w:val="00017BCB"/>
    <w:rsid w:val="00017C21"/>
    <w:rsid w:val="00017C7C"/>
    <w:rsid w:val="00017D0B"/>
    <w:rsid w:val="00017DCF"/>
    <w:rsid w:val="00017DD4"/>
    <w:rsid w:val="00017EB4"/>
    <w:rsid w:val="00017F73"/>
    <w:rsid w:val="00017FB2"/>
    <w:rsid w:val="000200D7"/>
    <w:rsid w:val="00020128"/>
    <w:rsid w:val="00020181"/>
    <w:rsid w:val="0002020D"/>
    <w:rsid w:val="00020221"/>
    <w:rsid w:val="00020289"/>
    <w:rsid w:val="0002034B"/>
    <w:rsid w:val="00020398"/>
    <w:rsid w:val="000203BA"/>
    <w:rsid w:val="00020435"/>
    <w:rsid w:val="00020578"/>
    <w:rsid w:val="000206BC"/>
    <w:rsid w:val="00020726"/>
    <w:rsid w:val="000207D5"/>
    <w:rsid w:val="000207F3"/>
    <w:rsid w:val="000208C5"/>
    <w:rsid w:val="000208DA"/>
    <w:rsid w:val="00020916"/>
    <w:rsid w:val="0002092F"/>
    <w:rsid w:val="00020981"/>
    <w:rsid w:val="000209C2"/>
    <w:rsid w:val="00020A1C"/>
    <w:rsid w:val="00020A9D"/>
    <w:rsid w:val="00020B94"/>
    <w:rsid w:val="00020C61"/>
    <w:rsid w:val="00020D13"/>
    <w:rsid w:val="00020E27"/>
    <w:rsid w:val="00020E2B"/>
    <w:rsid w:val="00020F4C"/>
    <w:rsid w:val="0002100C"/>
    <w:rsid w:val="000211C2"/>
    <w:rsid w:val="00021258"/>
    <w:rsid w:val="00021276"/>
    <w:rsid w:val="000212F4"/>
    <w:rsid w:val="000212F6"/>
    <w:rsid w:val="00021493"/>
    <w:rsid w:val="00021531"/>
    <w:rsid w:val="00021555"/>
    <w:rsid w:val="0002167C"/>
    <w:rsid w:val="0002171B"/>
    <w:rsid w:val="0002179A"/>
    <w:rsid w:val="0002179B"/>
    <w:rsid w:val="0002182A"/>
    <w:rsid w:val="00021898"/>
    <w:rsid w:val="000218D2"/>
    <w:rsid w:val="000218D4"/>
    <w:rsid w:val="00021906"/>
    <w:rsid w:val="0002192E"/>
    <w:rsid w:val="00021950"/>
    <w:rsid w:val="00021A13"/>
    <w:rsid w:val="00021A2D"/>
    <w:rsid w:val="00021AC7"/>
    <w:rsid w:val="00021BC4"/>
    <w:rsid w:val="00021C4D"/>
    <w:rsid w:val="00021D28"/>
    <w:rsid w:val="00021DF2"/>
    <w:rsid w:val="00021E19"/>
    <w:rsid w:val="00021FA3"/>
    <w:rsid w:val="0002200F"/>
    <w:rsid w:val="0002217F"/>
    <w:rsid w:val="0002223F"/>
    <w:rsid w:val="000222D2"/>
    <w:rsid w:val="00022349"/>
    <w:rsid w:val="0002237C"/>
    <w:rsid w:val="00022401"/>
    <w:rsid w:val="0002240D"/>
    <w:rsid w:val="00022452"/>
    <w:rsid w:val="00022474"/>
    <w:rsid w:val="00022497"/>
    <w:rsid w:val="000224B7"/>
    <w:rsid w:val="0002250B"/>
    <w:rsid w:val="0002250E"/>
    <w:rsid w:val="00022517"/>
    <w:rsid w:val="00022521"/>
    <w:rsid w:val="0002252A"/>
    <w:rsid w:val="00022537"/>
    <w:rsid w:val="000225A6"/>
    <w:rsid w:val="000225EF"/>
    <w:rsid w:val="00022663"/>
    <w:rsid w:val="000227AE"/>
    <w:rsid w:val="000227F6"/>
    <w:rsid w:val="00022899"/>
    <w:rsid w:val="00022952"/>
    <w:rsid w:val="00022981"/>
    <w:rsid w:val="000229D8"/>
    <w:rsid w:val="000229E6"/>
    <w:rsid w:val="000229F2"/>
    <w:rsid w:val="00022A73"/>
    <w:rsid w:val="00022A76"/>
    <w:rsid w:val="00022B5D"/>
    <w:rsid w:val="00022C40"/>
    <w:rsid w:val="00022D34"/>
    <w:rsid w:val="00022D98"/>
    <w:rsid w:val="00022DE1"/>
    <w:rsid w:val="00022E5B"/>
    <w:rsid w:val="00022F36"/>
    <w:rsid w:val="00022F89"/>
    <w:rsid w:val="00023075"/>
    <w:rsid w:val="000230A3"/>
    <w:rsid w:val="000230A8"/>
    <w:rsid w:val="000230DF"/>
    <w:rsid w:val="00023178"/>
    <w:rsid w:val="00023179"/>
    <w:rsid w:val="00023191"/>
    <w:rsid w:val="000231F4"/>
    <w:rsid w:val="0002320E"/>
    <w:rsid w:val="000232C0"/>
    <w:rsid w:val="000234D4"/>
    <w:rsid w:val="00023537"/>
    <w:rsid w:val="00023541"/>
    <w:rsid w:val="000235D2"/>
    <w:rsid w:val="000235FC"/>
    <w:rsid w:val="00023619"/>
    <w:rsid w:val="000236C7"/>
    <w:rsid w:val="000236DA"/>
    <w:rsid w:val="000236E9"/>
    <w:rsid w:val="00023714"/>
    <w:rsid w:val="000237AC"/>
    <w:rsid w:val="00023A17"/>
    <w:rsid w:val="00023A7F"/>
    <w:rsid w:val="00023B0D"/>
    <w:rsid w:val="00023BB3"/>
    <w:rsid w:val="00023BBA"/>
    <w:rsid w:val="00023BD0"/>
    <w:rsid w:val="00023C20"/>
    <w:rsid w:val="00023CC0"/>
    <w:rsid w:val="00023D42"/>
    <w:rsid w:val="00023DA1"/>
    <w:rsid w:val="00023E12"/>
    <w:rsid w:val="00023E37"/>
    <w:rsid w:val="00023F6F"/>
    <w:rsid w:val="00024059"/>
    <w:rsid w:val="0002414D"/>
    <w:rsid w:val="00024188"/>
    <w:rsid w:val="000241F8"/>
    <w:rsid w:val="000242AC"/>
    <w:rsid w:val="000242B7"/>
    <w:rsid w:val="000242D7"/>
    <w:rsid w:val="000242E8"/>
    <w:rsid w:val="000243AD"/>
    <w:rsid w:val="000243DE"/>
    <w:rsid w:val="00024442"/>
    <w:rsid w:val="000244A3"/>
    <w:rsid w:val="00024617"/>
    <w:rsid w:val="0002463F"/>
    <w:rsid w:val="00024701"/>
    <w:rsid w:val="00024760"/>
    <w:rsid w:val="00024948"/>
    <w:rsid w:val="000249BF"/>
    <w:rsid w:val="00024A97"/>
    <w:rsid w:val="00024AA6"/>
    <w:rsid w:val="00024B2A"/>
    <w:rsid w:val="00024B8B"/>
    <w:rsid w:val="00024BAE"/>
    <w:rsid w:val="00024BB1"/>
    <w:rsid w:val="00024C11"/>
    <w:rsid w:val="00024CA6"/>
    <w:rsid w:val="00024CF6"/>
    <w:rsid w:val="00024CFC"/>
    <w:rsid w:val="00024DB5"/>
    <w:rsid w:val="00024EB7"/>
    <w:rsid w:val="00024F55"/>
    <w:rsid w:val="00024F5A"/>
    <w:rsid w:val="00025000"/>
    <w:rsid w:val="00025199"/>
    <w:rsid w:val="000251C0"/>
    <w:rsid w:val="00025231"/>
    <w:rsid w:val="000252B5"/>
    <w:rsid w:val="000253B7"/>
    <w:rsid w:val="000253BF"/>
    <w:rsid w:val="00025416"/>
    <w:rsid w:val="00025483"/>
    <w:rsid w:val="000254CB"/>
    <w:rsid w:val="000254DD"/>
    <w:rsid w:val="0002553C"/>
    <w:rsid w:val="000255B8"/>
    <w:rsid w:val="000255D0"/>
    <w:rsid w:val="00025623"/>
    <w:rsid w:val="0002564E"/>
    <w:rsid w:val="000257F0"/>
    <w:rsid w:val="0002590B"/>
    <w:rsid w:val="00025A30"/>
    <w:rsid w:val="00025A33"/>
    <w:rsid w:val="00025A61"/>
    <w:rsid w:val="00025A82"/>
    <w:rsid w:val="00025AA8"/>
    <w:rsid w:val="00025B36"/>
    <w:rsid w:val="00025BDA"/>
    <w:rsid w:val="00025CB8"/>
    <w:rsid w:val="00025CD3"/>
    <w:rsid w:val="00025EAE"/>
    <w:rsid w:val="00025FCA"/>
    <w:rsid w:val="000260F5"/>
    <w:rsid w:val="000260F6"/>
    <w:rsid w:val="00026163"/>
    <w:rsid w:val="0002619A"/>
    <w:rsid w:val="000262EA"/>
    <w:rsid w:val="0002633A"/>
    <w:rsid w:val="00026340"/>
    <w:rsid w:val="00026567"/>
    <w:rsid w:val="00026625"/>
    <w:rsid w:val="000266A1"/>
    <w:rsid w:val="000266F5"/>
    <w:rsid w:val="000267CC"/>
    <w:rsid w:val="0002680B"/>
    <w:rsid w:val="00026963"/>
    <w:rsid w:val="00026974"/>
    <w:rsid w:val="000269E4"/>
    <w:rsid w:val="00026A0B"/>
    <w:rsid w:val="00026B76"/>
    <w:rsid w:val="00026BA8"/>
    <w:rsid w:val="00026CA1"/>
    <w:rsid w:val="00026CA4"/>
    <w:rsid w:val="00026D58"/>
    <w:rsid w:val="00026DEE"/>
    <w:rsid w:val="00026E3D"/>
    <w:rsid w:val="00026ED0"/>
    <w:rsid w:val="00026F0C"/>
    <w:rsid w:val="0002702D"/>
    <w:rsid w:val="0002705F"/>
    <w:rsid w:val="0002711D"/>
    <w:rsid w:val="0002711F"/>
    <w:rsid w:val="00027174"/>
    <w:rsid w:val="000272E8"/>
    <w:rsid w:val="00027375"/>
    <w:rsid w:val="0002742F"/>
    <w:rsid w:val="00027519"/>
    <w:rsid w:val="000275C9"/>
    <w:rsid w:val="00027641"/>
    <w:rsid w:val="00027642"/>
    <w:rsid w:val="00027672"/>
    <w:rsid w:val="000276D8"/>
    <w:rsid w:val="000276F4"/>
    <w:rsid w:val="000277C6"/>
    <w:rsid w:val="00027800"/>
    <w:rsid w:val="00027802"/>
    <w:rsid w:val="00027825"/>
    <w:rsid w:val="0002782A"/>
    <w:rsid w:val="0002785F"/>
    <w:rsid w:val="00027868"/>
    <w:rsid w:val="00027928"/>
    <w:rsid w:val="0002799C"/>
    <w:rsid w:val="000279AE"/>
    <w:rsid w:val="000279E4"/>
    <w:rsid w:val="00027A0C"/>
    <w:rsid w:val="00027A69"/>
    <w:rsid w:val="00027BFA"/>
    <w:rsid w:val="00027C32"/>
    <w:rsid w:val="00027C55"/>
    <w:rsid w:val="00027CEE"/>
    <w:rsid w:val="00027D5B"/>
    <w:rsid w:val="00027DEC"/>
    <w:rsid w:val="00027DFD"/>
    <w:rsid w:val="00027E63"/>
    <w:rsid w:val="00027EB5"/>
    <w:rsid w:val="0003005F"/>
    <w:rsid w:val="00030071"/>
    <w:rsid w:val="00030287"/>
    <w:rsid w:val="000302A2"/>
    <w:rsid w:val="00030308"/>
    <w:rsid w:val="00030326"/>
    <w:rsid w:val="00030391"/>
    <w:rsid w:val="000303DC"/>
    <w:rsid w:val="000303F8"/>
    <w:rsid w:val="00030446"/>
    <w:rsid w:val="000304E1"/>
    <w:rsid w:val="0003056F"/>
    <w:rsid w:val="0003058B"/>
    <w:rsid w:val="00030729"/>
    <w:rsid w:val="0003072D"/>
    <w:rsid w:val="000307FF"/>
    <w:rsid w:val="000308E2"/>
    <w:rsid w:val="00030A01"/>
    <w:rsid w:val="00030A22"/>
    <w:rsid w:val="00030A76"/>
    <w:rsid w:val="00030AC7"/>
    <w:rsid w:val="00030AF5"/>
    <w:rsid w:val="00030BA6"/>
    <w:rsid w:val="00030C27"/>
    <w:rsid w:val="00030C44"/>
    <w:rsid w:val="00030C88"/>
    <w:rsid w:val="00030DCB"/>
    <w:rsid w:val="00030DD6"/>
    <w:rsid w:val="00030E06"/>
    <w:rsid w:val="00030E84"/>
    <w:rsid w:val="000310ED"/>
    <w:rsid w:val="0003112A"/>
    <w:rsid w:val="00031157"/>
    <w:rsid w:val="0003135B"/>
    <w:rsid w:val="000313AA"/>
    <w:rsid w:val="000313AF"/>
    <w:rsid w:val="0003140B"/>
    <w:rsid w:val="0003147F"/>
    <w:rsid w:val="00031544"/>
    <w:rsid w:val="00031563"/>
    <w:rsid w:val="000315A1"/>
    <w:rsid w:val="000316B6"/>
    <w:rsid w:val="00031964"/>
    <w:rsid w:val="00031A4D"/>
    <w:rsid w:val="00031A58"/>
    <w:rsid w:val="00031A94"/>
    <w:rsid w:val="00031AB4"/>
    <w:rsid w:val="00031ABF"/>
    <w:rsid w:val="00031C8F"/>
    <w:rsid w:val="00031D80"/>
    <w:rsid w:val="00031DE9"/>
    <w:rsid w:val="00031E02"/>
    <w:rsid w:val="00031E2B"/>
    <w:rsid w:val="00031E90"/>
    <w:rsid w:val="00031EB0"/>
    <w:rsid w:val="00032012"/>
    <w:rsid w:val="00032150"/>
    <w:rsid w:val="00032225"/>
    <w:rsid w:val="00032235"/>
    <w:rsid w:val="000322B8"/>
    <w:rsid w:val="00032350"/>
    <w:rsid w:val="0003236C"/>
    <w:rsid w:val="000323A2"/>
    <w:rsid w:val="00032422"/>
    <w:rsid w:val="00032456"/>
    <w:rsid w:val="0003257B"/>
    <w:rsid w:val="000325A9"/>
    <w:rsid w:val="000325AD"/>
    <w:rsid w:val="00032623"/>
    <w:rsid w:val="0003278E"/>
    <w:rsid w:val="000327C5"/>
    <w:rsid w:val="00032870"/>
    <w:rsid w:val="0003298F"/>
    <w:rsid w:val="000329B6"/>
    <w:rsid w:val="00032A5A"/>
    <w:rsid w:val="00032AE9"/>
    <w:rsid w:val="00032B34"/>
    <w:rsid w:val="00032B85"/>
    <w:rsid w:val="00032B8C"/>
    <w:rsid w:val="00032BC0"/>
    <w:rsid w:val="00032C33"/>
    <w:rsid w:val="00032C55"/>
    <w:rsid w:val="00032C8C"/>
    <w:rsid w:val="00032D9B"/>
    <w:rsid w:val="00032DD2"/>
    <w:rsid w:val="00032E24"/>
    <w:rsid w:val="00032F15"/>
    <w:rsid w:val="00032F44"/>
    <w:rsid w:val="00032F53"/>
    <w:rsid w:val="00032F63"/>
    <w:rsid w:val="0003304D"/>
    <w:rsid w:val="000330EA"/>
    <w:rsid w:val="00033156"/>
    <w:rsid w:val="000331B3"/>
    <w:rsid w:val="0003327A"/>
    <w:rsid w:val="000332C3"/>
    <w:rsid w:val="00033401"/>
    <w:rsid w:val="0003355E"/>
    <w:rsid w:val="00033562"/>
    <w:rsid w:val="0003358F"/>
    <w:rsid w:val="000335E9"/>
    <w:rsid w:val="0003360E"/>
    <w:rsid w:val="0003369A"/>
    <w:rsid w:val="000336CA"/>
    <w:rsid w:val="00033746"/>
    <w:rsid w:val="0003376B"/>
    <w:rsid w:val="000337BE"/>
    <w:rsid w:val="00033809"/>
    <w:rsid w:val="00033822"/>
    <w:rsid w:val="000338D1"/>
    <w:rsid w:val="0003397C"/>
    <w:rsid w:val="0003398A"/>
    <w:rsid w:val="00033993"/>
    <w:rsid w:val="000339BA"/>
    <w:rsid w:val="000339E0"/>
    <w:rsid w:val="00033A7A"/>
    <w:rsid w:val="00033AC8"/>
    <w:rsid w:val="00033B05"/>
    <w:rsid w:val="00033BC4"/>
    <w:rsid w:val="00033BE1"/>
    <w:rsid w:val="00033C30"/>
    <w:rsid w:val="00033CB6"/>
    <w:rsid w:val="00033CD7"/>
    <w:rsid w:val="00033CEF"/>
    <w:rsid w:val="00033D20"/>
    <w:rsid w:val="00033D86"/>
    <w:rsid w:val="00033E75"/>
    <w:rsid w:val="00033F1E"/>
    <w:rsid w:val="00033F59"/>
    <w:rsid w:val="00033FD4"/>
    <w:rsid w:val="00034029"/>
    <w:rsid w:val="0003408A"/>
    <w:rsid w:val="000340DC"/>
    <w:rsid w:val="0003412D"/>
    <w:rsid w:val="00034158"/>
    <w:rsid w:val="0003428F"/>
    <w:rsid w:val="0003433D"/>
    <w:rsid w:val="00034359"/>
    <w:rsid w:val="000344BE"/>
    <w:rsid w:val="000344E9"/>
    <w:rsid w:val="00034540"/>
    <w:rsid w:val="000346AE"/>
    <w:rsid w:val="00034713"/>
    <w:rsid w:val="00034734"/>
    <w:rsid w:val="000347AC"/>
    <w:rsid w:val="000347D2"/>
    <w:rsid w:val="000347DA"/>
    <w:rsid w:val="000348C3"/>
    <w:rsid w:val="00034907"/>
    <w:rsid w:val="00034946"/>
    <w:rsid w:val="00034964"/>
    <w:rsid w:val="000349B7"/>
    <w:rsid w:val="000349D7"/>
    <w:rsid w:val="00034ABA"/>
    <w:rsid w:val="00034AE0"/>
    <w:rsid w:val="00034D88"/>
    <w:rsid w:val="00034DD1"/>
    <w:rsid w:val="00034E3C"/>
    <w:rsid w:val="00034E6D"/>
    <w:rsid w:val="00034E82"/>
    <w:rsid w:val="00034F3D"/>
    <w:rsid w:val="00034FB6"/>
    <w:rsid w:val="00035121"/>
    <w:rsid w:val="00035160"/>
    <w:rsid w:val="0003521B"/>
    <w:rsid w:val="0003525D"/>
    <w:rsid w:val="00035298"/>
    <w:rsid w:val="00035319"/>
    <w:rsid w:val="00035322"/>
    <w:rsid w:val="000353B3"/>
    <w:rsid w:val="00035405"/>
    <w:rsid w:val="000354AD"/>
    <w:rsid w:val="0003551B"/>
    <w:rsid w:val="00035533"/>
    <w:rsid w:val="00035535"/>
    <w:rsid w:val="0003559E"/>
    <w:rsid w:val="00035619"/>
    <w:rsid w:val="00035643"/>
    <w:rsid w:val="000356A3"/>
    <w:rsid w:val="00035748"/>
    <w:rsid w:val="000357EE"/>
    <w:rsid w:val="00035826"/>
    <w:rsid w:val="000358C2"/>
    <w:rsid w:val="0003593F"/>
    <w:rsid w:val="0003594E"/>
    <w:rsid w:val="000359B7"/>
    <w:rsid w:val="000359F1"/>
    <w:rsid w:val="00035A82"/>
    <w:rsid w:val="00035B18"/>
    <w:rsid w:val="00035C3E"/>
    <w:rsid w:val="00035C43"/>
    <w:rsid w:val="00035E52"/>
    <w:rsid w:val="00035EA6"/>
    <w:rsid w:val="00035EEE"/>
    <w:rsid w:val="00035EF2"/>
    <w:rsid w:val="00036046"/>
    <w:rsid w:val="00036055"/>
    <w:rsid w:val="0003608A"/>
    <w:rsid w:val="0003609E"/>
    <w:rsid w:val="0003609F"/>
    <w:rsid w:val="000360A5"/>
    <w:rsid w:val="00036183"/>
    <w:rsid w:val="0003619C"/>
    <w:rsid w:val="000361B8"/>
    <w:rsid w:val="000361E9"/>
    <w:rsid w:val="000362A5"/>
    <w:rsid w:val="00036314"/>
    <w:rsid w:val="0003631C"/>
    <w:rsid w:val="0003668C"/>
    <w:rsid w:val="00036705"/>
    <w:rsid w:val="0003677A"/>
    <w:rsid w:val="000367F9"/>
    <w:rsid w:val="0003680F"/>
    <w:rsid w:val="00036823"/>
    <w:rsid w:val="00036861"/>
    <w:rsid w:val="00036A4B"/>
    <w:rsid w:val="00036A8A"/>
    <w:rsid w:val="00036C59"/>
    <w:rsid w:val="00036C70"/>
    <w:rsid w:val="00036C7D"/>
    <w:rsid w:val="00036D4C"/>
    <w:rsid w:val="00036D66"/>
    <w:rsid w:val="00036D69"/>
    <w:rsid w:val="00036D6F"/>
    <w:rsid w:val="00036F34"/>
    <w:rsid w:val="00036FBB"/>
    <w:rsid w:val="00037156"/>
    <w:rsid w:val="00037176"/>
    <w:rsid w:val="0003726D"/>
    <w:rsid w:val="00037275"/>
    <w:rsid w:val="00037363"/>
    <w:rsid w:val="00037412"/>
    <w:rsid w:val="00037413"/>
    <w:rsid w:val="00037483"/>
    <w:rsid w:val="000374E0"/>
    <w:rsid w:val="000374E1"/>
    <w:rsid w:val="000374ED"/>
    <w:rsid w:val="00037522"/>
    <w:rsid w:val="000375AE"/>
    <w:rsid w:val="00037604"/>
    <w:rsid w:val="0003762C"/>
    <w:rsid w:val="0003779A"/>
    <w:rsid w:val="000377AA"/>
    <w:rsid w:val="00037924"/>
    <w:rsid w:val="0003795A"/>
    <w:rsid w:val="000379A9"/>
    <w:rsid w:val="00037A94"/>
    <w:rsid w:val="00037CB1"/>
    <w:rsid w:val="00037CD4"/>
    <w:rsid w:val="00037D19"/>
    <w:rsid w:val="00037D59"/>
    <w:rsid w:val="00037D79"/>
    <w:rsid w:val="00037DDA"/>
    <w:rsid w:val="00037F20"/>
    <w:rsid w:val="00037F65"/>
    <w:rsid w:val="00037FAF"/>
    <w:rsid w:val="00040028"/>
    <w:rsid w:val="00040064"/>
    <w:rsid w:val="000400C0"/>
    <w:rsid w:val="000400E0"/>
    <w:rsid w:val="000400F6"/>
    <w:rsid w:val="00040224"/>
    <w:rsid w:val="00040391"/>
    <w:rsid w:val="000403C8"/>
    <w:rsid w:val="0004045D"/>
    <w:rsid w:val="000404B2"/>
    <w:rsid w:val="000404D6"/>
    <w:rsid w:val="00040521"/>
    <w:rsid w:val="00040591"/>
    <w:rsid w:val="00040730"/>
    <w:rsid w:val="00040752"/>
    <w:rsid w:val="00040829"/>
    <w:rsid w:val="000408AC"/>
    <w:rsid w:val="000408EC"/>
    <w:rsid w:val="0004091D"/>
    <w:rsid w:val="000409AA"/>
    <w:rsid w:val="000409FD"/>
    <w:rsid w:val="00040A12"/>
    <w:rsid w:val="00040B8F"/>
    <w:rsid w:val="00040B9F"/>
    <w:rsid w:val="00040D99"/>
    <w:rsid w:val="00040DFE"/>
    <w:rsid w:val="00040E61"/>
    <w:rsid w:val="00040F5D"/>
    <w:rsid w:val="00040FAF"/>
    <w:rsid w:val="00040FBD"/>
    <w:rsid w:val="0004104A"/>
    <w:rsid w:val="0004105A"/>
    <w:rsid w:val="0004112F"/>
    <w:rsid w:val="00041145"/>
    <w:rsid w:val="00041154"/>
    <w:rsid w:val="00041170"/>
    <w:rsid w:val="00041212"/>
    <w:rsid w:val="00041239"/>
    <w:rsid w:val="00041269"/>
    <w:rsid w:val="00041346"/>
    <w:rsid w:val="00041479"/>
    <w:rsid w:val="00041494"/>
    <w:rsid w:val="000415A9"/>
    <w:rsid w:val="000415AC"/>
    <w:rsid w:val="000415FC"/>
    <w:rsid w:val="000416A9"/>
    <w:rsid w:val="0004197A"/>
    <w:rsid w:val="00041A50"/>
    <w:rsid w:val="00041AC2"/>
    <w:rsid w:val="00041ACC"/>
    <w:rsid w:val="00041D60"/>
    <w:rsid w:val="00041DCD"/>
    <w:rsid w:val="00041E00"/>
    <w:rsid w:val="00041EB6"/>
    <w:rsid w:val="00041F53"/>
    <w:rsid w:val="00041F79"/>
    <w:rsid w:val="000420A4"/>
    <w:rsid w:val="00042133"/>
    <w:rsid w:val="000421AE"/>
    <w:rsid w:val="000421B7"/>
    <w:rsid w:val="00042209"/>
    <w:rsid w:val="00042249"/>
    <w:rsid w:val="000422BA"/>
    <w:rsid w:val="0004231A"/>
    <w:rsid w:val="00042370"/>
    <w:rsid w:val="00042372"/>
    <w:rsid w:val="00042389"/>
    <w:rsid w:val="000423A5"/>
    <w:rsid w:val="000423E2"/>
    <w:rsid w:val="00042417"/>
    <w:rsid w:val="00042551"/>
    <w:rsid w:val="00042576"/>
    <w:rsid w:val="000425B0"/>
    <w:rsid w:val="00042600"/>
    <w:rsid w:val="000426B3"/>
    <w:rsid w:val="00042759"/>
    <w:rsid w:val="00042764"/>
    <w:rsid w:val="00042772"/>
    <w:rsid w:val="00042776"/>
    <w:rsid w:val="000427C3"/>
    <w:rsid w:val="00042822"/>
    <w:rsid w:val="00042861"/>
    <w:rsid w:val="00042902"/>
    <w:rsid w:val="0004290C"/>
    <w:rsid w:val="000429FF"/>
    <w:rsid w:val="00042B42"/>
    <w:rsid w:val="00042B52"/>
    <w:rsid w:val="00042B9C"/>
    <w:rsid w:val="00042CA7"/>
    <w:rsid w:val="00042CA8"/>
    <w:rsid w:val="00042CB7"/>
    <w:rsid w:val="00042D89"/>
    <w:rsid w:val="00042D96"/>
    <w:rsid w:val="00042EF0"/>
    <w:rsid w:val="00042F16"/>
    <w:rsid w:val="00042F19"/>
    <w:rsid w:val="00042F83"/>
    <w:rsid w:val="00042FFE"/>
    <w:rsid w:val="00043121"/>
    <w:rsid w:val="00043227"/>
    <w:rsid w:val="000432BF"/>
    <w:rsid w:val="000432F4"/>
    <w:rsid w:val="00043339"/>
    <w:rsid w:val="0004334C"/>
    <w:rsid w:val="0004340E"/>
    <w:rsid w:val="00043459"/>
    <w:rsid w:val="000436E9"/>
    <w:rsid w:val="000436FE"/>
    <w:rsid w:val="0004384C"/>
    <w:rsid w:val="000438C6"/>
    <w:rsid w:val="00043921"/>
    <w:rsid w:val="0004393C"/>
    <w:rsid w:val="00043A69"/>
    <w:rsid w:val="00043B68"/>
    <w:rsid w:val="00043C74"/>
    <w:rsid w:val="00043CC1"/>
    <w:rsid w:val="00043DB7"/>
    <w:rsid w:val="00043DBD"/>
    <w:rsid w:val="00043DFC"/>
    <w:rsid w:val="00043F0C"/>
    <w:rsid w:val="00044068"/>
    <w:rsid w:val="00044129"/>
    <w:rsid w:val="000441AE"/>
    <w:rsid w:val="000442F4"/>
    <w:rsid w:val="00044303"/>
    <w:rsid w:val="00044356"/>
    <w:rsid w:val="00044375"/>
    <w:rsid w:val="000443D8"/>
    <w:rsid w:val="00044440"/>
    <w:rsid w:val="000444E7"/>
    <w:rsid w:val="00044561"/>
    <w:rsid w:val="000445B0"/>
    <w:rsid w:val="00044837"/>
    <w:rsid w:val="00044873"/>
    <w:rsid w:val="000448D0"/>
    <w:rsid w:val="0004497E"/>
    <w:rsid w:val="000449A7"/>
    <w:rsid w:val="000449AE"/>
    <w:rsid w:val="00044A1D"/>
    <w:rsid w:val="00044A20"/>
    <w:rsid w:val="00044A47"/>
    <w:rsid w:val="00044A63"/>
    <w:rsid w:val="00044A6C"/>
    <w:rsid w:val="00044AAA"/>
    <w:rsid w:val="00044B0F"/>
    <w:rsid w:val="00044D63"/>
    <w:rsid w:val="00044E09"/>
    <w:rsid w:val="00044E43"/>
    <w:rsid w:val="00044EE5"/>
    <w:rsid w:val="00045011"/>
    <w:rsid w:val="0004506D"/>
    <w:rsid w:val="000450DA"/>
    <w:rsid w:val="0004511E"/>
    <w:rsid w:val="0004514F"/>
    <w:rsid w:val="000451AD"/>
    <w:rsid w:val="000451E9"/>
    <w:rsid w:val="000451F6"/>
    <w:rsid w:val="00045231"/>
    <w:rsid w:val="00045381"/>
    <w:rsid w:val="00045432"/>
    <w:rsid w:val="0004544D"/>
    <w:rsid w:val="00045468"/>
    <w:rsid w:val="000454F9"/>
    <w:rsid w:val="00045581"/>
    <w:rsid w:val="00045592"/>
    <w:rsid w:val="0004567B"/>
    <w:rsid w:val="00045731"/>
    <w:rsid w:val="0004574E"/>
    <w:rsid w:val="0004579D"/>
    <w:rsid w:val="000457B1"/>
    <w:rsid w:val="0004586E"/>
    <w:rsid w:val="0004588F"/>
    <w:rsid w:val="000458D3"/>
    <w:rsid w:val="000458DA"/>
    <w:rsid w:val="000458FA"/>
    <w:rsid w:val="0004599F"/>
    <w:rsid w:val="000459C4"/>
    <w:rsid w:val="000459DC"/>
    <w:rsid w:val="000459E0"/>
    <w:rsid w:val="00045A57"/>
    <w:rsid w:val="00045A6E"/>
    <w:rsid w:val="00045AF6"/>
    <w:rsid w:val="00045B10"/>
    <w:rsid w:val="00045B4A"/>
    <w:rsid w:val="00045BC9"/>
    <w:rsid w:val="00045BD5"/>
    <w:rsid w:val="00045C38"/>
    <w:rsid w:val="00045C8C"/>
    <w:rsid w:val="00045CCF"/>
    <w:rsid w:val="00045D4F"/>
    <w:rsid w:val="00045E56"/>
    <w:rsid w:val="00045E60"/>
    <w:rsid w:val="00045EE7"/>
    <w:rsid w:val="00045F2B"/>
    <w:rsid w:val="00045F6F"/>
    <w:rsid w:val="000461B5"/>
    <w:rsid w:val="000462E7"/>
    <w:rsid w:val="000462F7"/>
    <w:rsid w:val="0004640A"/>
    <w:rsid w:val="00046432"/>
    <w:rsid w:val="000465E5"/>
    <w:rsid w:val="000465F6"/>
    <w:rsid w:val="000467AC"/>
    <w:rsid w:val="000467E9"/>
    <w:rsid w:val="0004687A"/>
    <w:rsid w:val="00046881"/>
    <w:rsid w:val="000468A9"/>
    <w:rsid w:val="00046911"/>
    <w:rsid w:val="00046A0F"/>
    <w:rsid w:val="00046B22"/>
    <w:rsid w:val="00046B38"/>
    <w:rsid w:val="00046B7E"/>
    <w:rsid w:val="00046BC7"/>
    <w:rsid w:val="00046BCA"/>
    <w:rsid w:val="00046C2F"/>
    <w:rsid w:val="00046C68"/>
    <w:rsid w:val="00046CF9"/>
    <w:rsid w:val="00046D6B"/>
    <w:rsid w:val="00046DD6"/>
    <w:rsid w:val="00046DE5"/>
    <w:rsid w:val="00046E32"/>
    <w:rsid w:val="00046E43"/>
    <w:rsid w:val="00046F36"/>
    <w:rsid w:val="00046FE7"/>
    <w:rsid w:val="00046FEE"/>
    <w:rsid w:val="00047007"/>
    <w:rsid w:val="00047205"/>
    <w:rsid w:val="0004738E"/>
    <w:rsid w:val="0004741E"/>
    <w:rsid w:val="0004751C"/>
    <w:rsid w:val="00047548"/>
    <w:rsid w:val="0004783E"/>
    <w:rsid w:val="00047841"/>
    <w:rsid w:val="000478D2"/>
    <w:rsid w:val="000478D5"/>
    <w:rsid w:val="000478F9"/>
    <w:rsid w:val="0004799E"/>
    <w:rsid w:val="000479A9"/>
    <w:rsid w:val="000479BC"/>
    <w:rsid w:val="000479CB"/>
    <w:rsid w:val="00047C4F"/>
    <w:rsid w:val="00047C9E"/>
    <w:rsid w:val="00047D01"/>
    <w:rsid w:val="00047D39"/>
    <w:rsid w:val="00047DEA"/>
    <w:rsid w:val="00047E3C"/>
    <w:rsid w:val="00047F33"/>
    <w:rsid w:val="00047FA9"/>
    <w:rsid w:val="000500A7"/>
    <w:rsid w:val="00050121"/>
    <w:rsid w:val="00050143"/>
    <w:rsid w:val="000502D2"/>
    <w:rsid w:val="00050304"/>
    <w:rsid w:val="00050393"/>
    <w:rsid w:val="00050419"/>
    <w:rsid w:val="00050512"/>
    <w:rsid w:val="0005065C"/>
    <w:rsid w:val="00050673"/>
    <w:rsid w:val="00050815"/>
    <w:rsid w:val="0005082A"/>
    <w:rsid w:val="000508EB"/>
    <w:rsid w:val="00050937"/>
    <w:rsid w:val="00050A66"/>
    <w:rsid w:val="00050AB4"/>
    <w:rsid w:val="00050AFB"/>
    <w:rsid w:val="00050BEA"/>
    <w:rsid w:val="00050CBE"/>
    <w:rsid w:val="00050CE1"/>
    <w:rsid w:val="00050D29"/>
    <w:rsid w:val="00050DB2"/>
    <w:rsid w:val="00050E5D"/>
    <w:rsid w:val="00050F0C"/>
    <w:rsid w:val="00050F50"/>
    <w:rsid w:val="00050F6D"/>
    <w:rsid w:val="00050F95"/>
    <w:rsid w:val="00051171"/>
    <w:rsid w:val="00051379"/>
    <w:rsid w:val="000513A8"/>
    <w:rsid w:val="000513B8"/>
    <w:rsid w:val="000513C4"/>
    <w:rsid w:val="000514B2"/>
    <w:rsid w:val="000514D3"/>
    <w:rsid w:val="000515AF"/>
    <w:rsid w:val="00051691"/>
    <w:rsid w:val="00051AA4"/>
    <w:rsid w:val="00051BB4"/>
    <w:rsid w:val="00051BBD"/>
    <w:rsid w:val="00051BFD"/>
    <w:rsid w:val="00051C2F"/>
    <w:rsid w:val="00051C41"/>
    <w:rsid w:val="00051C7D"/>
    <w:rsid w:val="00051D05"/>
    <w:rsid w:val="00051D10"/>
    <w:rsid w:val="00051D6E"/>
    <w:rsid w:val="00051D6F"/>
    <w:rsid w:val="00051E08"/>
    <w:rsid w:val="00051E54"/>
    <w:rsid w:val="00051EB2"/>
    <w:rsid w:val="00051F18"/>
    <w:rsid w:val="00051F82"/>
    <w:rsid w:val="00051FA4"/>
    <w:rsid w:val="00051FA7"/>
    <w:rsid w:val="00052021"/>
    <w:rsid w:val="00052040"/>
    <w:rsid w:val="00052120"/>
    <w:rsid w:val="00052126"/>
    <w:rsid w:val="00052170"/>
    <w:rsid w:val="000521C0"/>
    <w:rsid w:val="000521E0"/>
    <w:rsid w:val="000521E1"/>
    <w:rsid w:val="000522B2"/>
    <w:rsid w:val="000522D0"/>
    <w:rsid w:val="000522EE"/>
    <w:rsid w:val="00052373"/>
    <w:rsid w:val="00052425"/>
    <w:rsid w:val="0005244A"/>
    <w:rsid w:val="00052519"/>
    <w:rsid w:val="00052536"/>
    <w:rsid w:val="000525B9"/>
    <w:rsid w:val="000525BF"/>
    <w:rsid w:val="00052609"/>
    <w:rsid w:val="000526A5"/>
    <w:rsid w:val="0005276A"/>
    <w:rsid w:val="00052796"/>
    <w:rsid w:val="000527BA"/>
    <w:rsid w:val="000527D6"/>
    <w:rsid w:val="000528D6"/>
    <w:rsid w:val="000528E8"/>
    <w:rsid w:val="000529DF"/>
    <w:rsid w:val="00052A71"/>
    <w:rsid w:val="00052A8E"/>
    <w:rsid w:val="00052A92"/>
    <w:rsid w:val="00052AC6"/>
    <w:rsid w:val="00052ACD"/>
    <w:rsid w:val="00052C30"/>
    <w:rsid w:val="00052CED"/>
    <w:rsid w:val="00052D5D"/>
    <w:rsid w:val="00052DFD"/>
    <w:rsid w:val="00052E08"/>
    <w:rsid w:val="00052F2F"/>
    <w:rsid w:val="00052F71"/>
    <w:rsid w:val="00053019"/>
    <w:rsid w:val="000530A2"/>
    <w:rsid w:val="000530AB"/>
    <w:rsid w:val="0005315A"/>
    <w:rsid w:val="00053289"/>
    <w:rsid w:val="000532BE"/>
    <w:rsid w:val="000532D0"/>
    <w:rsid w:val="000532D9"/>
    <w:rsid w:val="00053478"/>
    <w:rsid w:val="000534E1"/>
    <w:rsid w:val="000534F0"/>
    <w:rsid w:val="000534F8"/>
    <w:rsid w:val="000535BA"/>
    <w:rsid w:val="000535FC"/>
    <w:rsid w:val="000536DF"/>
    <w:rsid w:val="00053727"/>
    <w:rsid w:val="00053735"/>
    <w:rsid w:val="000537B1"/>
    <w:rsid w:val="00053879"/>
    <w:rsid w:val="0005387E"/>
    <w:rsid w:val="000538E9"/>
    <w:rsid w:val="00053914"/>
    <w:rsid w:val="00053A09"/>
    <w:rsid w:val="00053A6B"/>
    <w:rsid w:val="00053AAF"/>
    <w:rsid w:val="00053B19"/>
    <w:rsid w:val="00053B5C"/>
    <w:rsid w:val="00053E4E"/>
    <w:rsid w:val="00053F33"/>
    <w:rsid w:val="00053F73"/>
    <w:rsid w:val="00053F8D"/>
    <w:rsid w:val="00054067"/>
    <w:rsid w:val="000540E2"/>
    <w:rsid w:val="00054103"/>
    <w:rsid w:val="0005415D"/>
    <w:rsid w:val="0005416A"/>
    <w:rsid w:val="0005419B"/>
    <w:rsid w:val="000541DD"/>
    <w:rsid w:val="0005428F"/>
    <w:rsid w:val="00054479"/>
    <w:rsid w:val="000544CA"/>
    <w:rsid w:val="0005453B"/>
    <w:rsid w:val="000545F5"/>
    <w:rsid w:val="000546F3"/>
    <w:rsid w:val="000547BD"/>
    <w:rsid w:val="00054879"/>
    <w:rsid w:val="0005496D"/>
    <w:rsid w:val="00054A8E"/>
    <w:rsid w:val="00054AA2"/>
    <w:rsid w:val="00054AE0"/>
    <w:rsid w:val="00054AE9"/>
    <w:rsid w:val="00054AF0"/>
    <w:rsid w:val="00054B25"/>
    <w:rsid w:val="00054B4A"/>
    <w:rsid w:val="00054C8D"/>
    <w:rsid w:val="00054D11"/>
    <w:rsid w:val="00054D9B"/>
    <w:rsid w:val="00054E12"/>
    <w:rsid w:val="00054E51"/>
    <w:rsid w:val="00054F60"/>
    <w:rsid w:val="00054FCB"/>
    <w:rsid w:val="000551A8"/>
    <w:rsid w:val="000551B7"/>
    <w:rsid w:val="000551C9"/>
    <w:rsid w:val="0005525E"/>
    <w:rsid w:val="000552A8"/>
    <w:rsid w:val="0005536A"/>
    <w:rsid w:val="00055469"/>
    <w:rsid w:val="00055515"/>
    <w:rsid w:val="000555F9"/>
    <w:rsid w:val="00055637"/>
    <w:rsid w:val="00055719"/>
    <w:rsid w:val="00055774"/>
    <w:rsid w:val="000557A3"/>
    <w:rsid w:val="000557DC"/>
    <w:rsid w:val="0005582D"/>
    <w:rsid w:val="00055855"/>
    <w:rsid w:val="000558D6"/>
    <w:rsid w:val="00055A5B"/>
    <w:rsid w:val="00055AA9"/>
    <w:rsid w:val="00055AB1"/>
    <w:rsid w:val="00055B35"/>
    <w:rsid w:val="00055CCA"/>
    <w:rsid w:val="00055CD4"/>
    <w:rsid w:val="00055D15"/>
    <w:rsid w:val="00055DFB"/>
    <w:rsid w:val="00055E12"/>
    <w:rsid w:val="00055E8C"/>
    <w:rsid w:val="00055F24"/>
    <w:rsid w:val="0005604A"/>
    <w:rsid w:val="00056059"/>
    <w:rsid w:val="000560B3"/>
    <w:rsid w:val="000560F9"/>
    <w:rsid w:val="0005610D"/>
    <w:rsid w:val="00056135"/>
    <w:rsid w:val="00056158"/>
    <w:rsid w:val="000561F7"/>
    <w:rsid w:val="0005624E"/>
    <w:rsid w:val="0005625A"/>
    <w:rsid w:val="0005628C"/>
    <w:rsid w:val="00056292"/>
    <w:rsid w:val="000562AC"/>
    <w:rsid w:val="0005640D"/>
    <w:rsid w:val="00056487"/>
    <w:rsid w:val="00056500"/>
    <w:rsid w:val="0005676E"/>
    <w:rsid w:val="0005679E"/>
    <w:rsid w:val="000567B6"/>
    <w:rsid w:val="0005689F"/>
    <w:rsid w:val="00056907"/>
    <w:rsid w:val="00056956"/>
    <w:rsid w:val="00056A82"/>
    <w:rsid w:val="00056AA4"/>
    <w:rsid w:val="00056B28"/>
    <w:rsid w:val="00056C48"/>
    <w:rsid w:val="00056C86"/>
    <w:rsid w:val="00056CDE"/>
    <w:rsid w:val="00056D09"/>
    <w:rsid w:val="00056DC9"/>
    <w:rsid w:val="00056F34"/>
    <w:rsid w:val="00056F41"/>
    <w:rsid w:val="00056F7B"/>
    <w:rsid w:val="00056FF7"/>
    <w:rsid w:val="00056FFE"/>
    <w:rsid w:val="00057069"/>
    <w:rsid w:val="000570A6"/>
    <w:rsid w:val="000570C8"/>
    <w:rsid w:val="0005710E"/>
    <w:rsid w:val="00057137"/>
    <w:rsid w:val="000571A3"/>
    <w:rsid w:val="000571BD"/>
    <w:rsid w:val="00057281"/>
    <w:rsid w:val="00057294"/>
    <w:rsid w:val="000573D5"/>
    <w:rsid w:val="00057574"/>
    <w:rsid w:val="000575C9"/>
    <w:rsid w:val="000575F9"/>
    <w:rsid w:val="0005763A"/>
    <w:rsid w:val="00057645"/>
    <w:rsid w:val="000576C3"/>
    <w:rsid w:val="00057714"/>
    <w:rsid w:val="00057743"/>
    <w:rsid w:val="00057792"/>
    <w:rsid w:val="000577F2"/>
    <w:rsid w:val="00057817"/>
    <w:rsid w:val="00057893"/>
    <w:rsid w:val="00057960"/>
    <w:rsid w:val="00057AA3"/>
    <w:rsid w:val="00057AD5"/>
    <w:rsid w:val="00057BA6"/>
    <w:rsid w:val="00057BC1"/>
    <w:rsid w:val="00057CB7"/>
    <w:rsid w:val="00057D12"/>
    <w:rsid w:val="00057D24"/>
    <w:rsid w:val="00057E45"/>
    <w:rsid w:val="00057EEB"/>
    <w:rsid w:val="000600CC"/>
    <w:rsid w:val="00060139"/>
    <w:rsid w:val="00060173"/>
    <w:rsid w:val="0006017F"/>
    <w:rsid w:val="00060183"/>
    <w:rsid w:val="000601C3"/>
    <w:rsid w:val="0006037D"/>
    <w:rsid w:val="00060429"/>
    <w:rsid w:val="00060470"/>
    <w:rsid w:val="00060524"/>
    <w:rsid w:val="00060545"/>
    <w:rsid w:val="0006056E"/>
    <w:rsid w:val="00060608"/>
    <w:rsid w:val="00060680"/>
    <w:rsid w:val="000606AE"/>
    <w:rsid w:val="000606B9"/>
    <w:rsid w:val="000606E3"/>
    <w:rsid w:val="000607D7"/>
    <w:rsid w:val="000607FC"/>
    <w:rsid w:val="00060846"/>
    <w:rsid w:val="0006088F"/>
    <w:rsid w:val="00060899"/>
    <w:rsid w:val="000608DE"/>
    <w:rsid w:val="00060901"/>
    <w:rsid w:val="00060971"/>
    <w:rsid w:val="000609F7"/>
    <w:rsid w:val="00060BE6"/>
    <w:rsid w:val="00060D4B"/>
    <w:rsid w:val="00060D8D"/>
    <w:rsid w:val="00060F8A"/>
    <w:rsid w:val="00060FBA"/>
    <w:rsid w:val="00060FDB"/>
    <w:rsid w:val="0006101B"/>
    <w:rsid w:val="00061043"/>
    <w:rsid w:val="000610F7"/>
    <w:rsid w:val="00061180"/>
    <w:rsid w:val="00061199"/>
    <w:rsid w:val="00061215"/>
    <w:rsid w:val="00061218"/>
    <w:rsid w:val="00061267"/>
    <w:rsid w:val="0006133D"/>
    <w:rsid w:val="0006138E"/>
    <w:rsid w:val="000613BF"/>
    <w:rsid w:val="00061423"/>
    <w:rsid w:val="0006144F"/>
    <w:rsid w:val="000614BC"/>
    <w:rsid w:val="000614F4"/>
    <w:rsid w:val="000617B1"/>
    <w:rsid w:val="00061855"/>
    <w:rsid w:val="0006187E"/>
    <w:rsid w:val="000618BA"/>
    <w:rsid w:val="000618E1"/>
    <w:rsid w:val="0006194B"/>
    <w:rsid w:val="00061ADA"/>
    <w:rsid w:val="00061B29"/>
    <w:rsid w:val="00061C2B"/>
    <w:rsid w:val="00061C42"/>
    <w:rsid w:val="00061DDF"/>
    <w:rsid w:val="00061F29"/>
    <w:rsid w:val="00061FBC"/>
    <w:rsid w:val="0006200C"/>
    <w:rsid w:val="00062047"/>
    <w:rsid w:val="000620B0"/>
    <w:rsid w:val="000620E8"/>
    <w:rsid w:val="0006217C"/>
    <w:rsid w:val="00062206"/>
    <w:rsid w:val="000622AB"/>
    <w:rsid w:val="000623CF"/>
    <w:rsid w:val="00062444"/>
    <w:rsid w:val="000624E2"/>
    <w:rsid w:val="00062513"/>
    <w:rsid w:val="00062687"/>
    <w:rsid w:val="000626ED"/>
    <w:rsid w:val="00062787"/>
    <w:rsid w:val="000627C0"/>
    <w:rsid w:val="0006285D"/>
    <w:rsid w:val="0006288A"/>
    <w:rsid w:val="000628AF"/>
    <w:rsid w:val="000628D1"/>
    <w:rsid w:val="00062973"/>
    <w:rsid w:val="000629A0"/>
    <w:rsid w:val="000629B3"/>
    <w:rsid w:val="000629E6"/>
    <w:rsid w:val="00062A2B"/>
    <w:rsid w:val="00062A49"/>
    <w:rsid w:val="00062A53"/>
    <w:rsid w:val="00062AE7"/>
    <w:rsid w:val="00062B5C"/>
    <w:rsid w:val="00062CE0"/>
    <w:rsid w:val="00062CF9"/>
    <w:rsid w:val="00062D84"/>
    <w:rsid w:val="00062DC2"/>
    <w:rsid w:val="00062DC9"/>
    <w:rsid w:val="00062E88"/>
    <w:rsid w:val="00062FA0"/>
    <w:rsid w:val="00062FB2"/>
    <w:rsid w:val="000631E2"/>
    <w:rsid w:val="0006330F"/>
    <w:rsid w:val="00063390"/>
    <w:rsid w:val="00063397"/>
    <w:rsid w:val="00063554"/>
    <w:rsid w:val="00063595"/>
    <w:rsid w:val="0006360A"/>
    <w:rsid w:val="0006362A"/>
    <w:rsid w:val="000636B5"/>
    <w:rsid w:val="00063707"/>
    <w:rsid w:val="00063708"/>
    <w:rsid w:val="00063715"/>
    <w:rsid w:val="0006376F"/>
    <w:rsid w:val="00063770"/>
    <w:rsid w:val="000637CA"/>
    <w:rsid w:val="0006385D"/>
    <w:rsid w:val="00063865"/>
    <w:rsid w:val="0006393E"/>
    <w:rsid w:val="0006394F"/>
    <w:rsid w:val="00063AA0"/>
    <w:rsid w:val="00063B06"/>
    <w:rsid w:val="00063B61"/>
    <w:rsid w:val="00063BCF"/>
    <w:rsid w:val="00063C09"/>
    <w:rsid w:val="00063C93"/>
    <w:rsid w:val="00063D15"/>
    <w:rsid w:val="00063D6F"/>
    <w:rsid w:val="00063E0C"/>
    <w:rsid w:val="00063EBB"/>
    <w:rsid w:val="00063ED1"/>
    <w:rsid w:val="00063F43"/>
    <w:rsid w:val="00063FC8"/>
    <w:rsid w:val="00063FF3"/>
    <w:rsid w:val="00063FFB"/>
    <w:rsid w:val="00064198"/>
    <w:rsid w:val="000641B5"/>
    <w:rsid w:val="000641CC"/>
    <w:rsid w:val="0006432C"/>
    <w:rsid w:val="00064464"/>
    <w:rsid w:val="00064536"/>
    <w:rsid w:val="000645BE"/>
    <w:rsid w:val="0006461A"/>
    <w:rsid w:val="000646D4"/>
    <w:rsid w:val="000646F9"/>
    <w:rsid w:val="00064744"/>
    <w:rsid w:val="000647B7"/>
    <w:rsid w:val="0006480E"/>
    <w:rsid w:val="00064843"/>
    <w:rsid w:val="0006486E"/>
    <w:rsid w:val="0006487C"/>
    <w:rsid w:val="000648BE"/>
    <w:rsid w:val="00064993"/>
    <w:rsid w:val="00064A26"/>
    <w:rsid w:val="00064B7E"/>
    <w:rsid w:val="00064BBC"/>
    <w:rsid w:val="00064C02"/>
    <w:rsid w:val="00064D6A"/>
    <w:rsid w:val="00064E33"/>
    <w:rsid w:val="00064FA9"/>
    <w:rsid w:val="000650A3"/>
    <w:rsid w:val="000650FD"/>
    <w:rsid w:val="0006527F"/>
    <w:rsid w:val="00065304"/>
    <w:rsid w:val="0006542C"/>
    <w:rsid w:val="00065471"/>
    <w:rsid w:val="0006550A"/>
    <w:rsid w:val="00065524"/>
    <w:rsid w:val="0006557F"/>
    <w:rsid w:val="000655DD"/>
    <w:rsid w:val="00065684"/>
    <w:rsid w:val="0006579E"/>
    <w:rsid w:val="00065807"/>
    <w:rsid w:val="00065833"/>
    <w:rsid w:val="000658B6"/>
    <w:rsid w:val="00065904"/>
    <w:rsid w:val="0006592E"/>
    <w:rsid w:val="000659C1"/>
    <w:rsid w:val="000659FF"/>
    <w:rsid w:val="00065A0B"/>
    <w:rsid w:val="00065A4C"/>
    <w:rsid w:val="00065BC4"/>
    <w:rsid w:val="00065C46"/>
    <w:rsid w:val="00065CD3"/>
    <w:rsid w:val="00065D14"/>
    <w:rsid w:val="00065D1C"/>
    <w:rsid w:val="00065E08"/>
    <w:rsid w:val="00065E38"/>
    <w:rsid w:val="00065E3E"/>
    <w:rsid w:val="00065E7F"/>
    <w:rsid w:val="00065F0F"/>
    <w:rsid w:val="00065F55"/>
    <w:rsid w:val="00065FE9"/>
    <w:rsid w:val="00066011"/>
    <w:rsid w:val="00066051"/>
    <w:rsid w:val="00066083"/>
    <w:rsid w:val="0006617C"/>
    <w:rsid w:val="000661FA"/>
    <w:rsid w:val="000662A2"/>
    <w:rsid w:val="0006634A"/>
    <w:rsid w:val="0006641E"/>
    <w:rsid w:val="0006642A"/>
    <w:rsid w:val="000664FE"/>
    <w:rsid w:val="00066523"/>
    <w:rsid w:val="000665AC"/>
    <w:rsid w:val="000665DC"/>
    <w:rsid w:val="000666C1"/>
    <w:rsid w:val="0006687C"/>
    <w:rsid w:val="00066952"/>
    <w:rsid w:val="00066968"/>
    <w:rsid w:val="0006696B"/>
    <w:rsid w:val="000669A2"/>
    <w:rsid w:val="00066B0F"/>
    <w:rsid w:val="00066B34"/>
    <w:rsid w:val="00066B9F"/>
    <w:rsid w:val="00066BB5"/>
    <w:rsid w:val="00066C12"/>
    <w:rsid w:val="00066C17"/>
    <w:rsid w:val="00066C3B"/>
    <w:rsid w:val="00066C3D"/>
    <w:rsid w:val="00066E62"/>
    <w:rsid w:val="00066E69"/>
    <w:rsid w:val="00066F2D"/>
    <w:rsid w:val="00066F76"/>
    <w:rsid w:val="00066F83"/>
    <w:rsid w:val="00066FB9"/>
    <w:rsid w:val="00067062"/>
    <w:rsid w:val="0006722E"/>
    <w:rsid w:val="00067232"/>
    <w:rsid w:val="00067275"/>
    <w:rsid w:val="000672CF"/>
    <w:rsid w:val="000672E8"/>
    <w:rsid w:val="00067382"/>
    <w:rsid w:val="00067409"/>
    <w:rsid w:val="00067546"/>
    <w:rsid w:val="000676DF"/>
    <w:rsid w:val="00067769"/>
    <w:rsid w:val="000677B7"/>
    <w:rsid w:val="000677EB"/>
    <w:rsid w:val="00067881"/>
    <w:rsid w:val="000678C1"/>
    <w:rsid w:val="00067A14"/>
    <w:rsid w:val="00067A59"/>
    <w:rsid w:val="00067A8B"/>
    <w:rsid w:val="00067AD4"/>
    <w:rsid w:val="00067B8B"/>
    <w:rsid w:val="00067C75"/>
    <w:rsid w:val="00067D0A"/>
    <w:rsid w:val="00067D6B"/>
    <w:rsid w:val="00067E7D"/>
    <w:rsid w:val="00067F32"/>
    <w:rsid w:val="00070131"/>
    <w:rsid w:val="0007027B"/>
    <w:rsid w:val="000702CF"/>
    <w:rsid w:val="00070300"/>
    <w:rsid w:val="000705EC"/>
    <w:rsid w:val="00070637"/>
    <w:rsid w:val="00070740"/>
    <w:rsid w:val="00070820"/>
    <w:rsid w:val="00070821"/>
    <w:rsid w:val="000708C3"/>
    <w:rsid w:val="00070926"/>
    <w:rsid w:val="000709FE"/>
    <w:rsid w:val="00070A29"/>
    <w:rsid w:val="00070AB6"/>
    <w:rsid w:val="00070AE5"/>
    <w:rsid w:val="00070C99"/>
    <w:rsid w:val="00070CC2"/>
    <w:rsid w:val="00070CE5"/>
    <w:rsid w:val="00070D04"/>
    <w:rsid w:val="00070D5A"/>
    <w:rsid w:val="00070DEB"/>
    <w:rsid w:val="00070DF6"/>
    <w:rsid w:val="00070E02"/>
    <w:rsid w:val="00071023"/>
    <w:rsid w:val="00071137"/>
    <w:rsid w:val="000711CC"/>
    <w:rsid w:val="0007124C"/>
    <w:rsid w:val="00071293"/>
    <w:rsid w:val="0007130D"/>
    <w:rsid w:val="00071395"/>
    <w:rsid w:val="000713DB"/>
    <w:rsid w:val="00071485"/>
    <w:rsid w:val="00071498"/>
    <w:rsid w:val="000714B5"/>
    <w:rsid w:val="0007159A"/>
    <w:rsid w:val="0007159E"/>
    <w:rsid w:val="000715AE"/>
    <w:rsid w:val="00071677"/>
    <w:rsid w:val="000717C1"/>
    <w:rsid w:val="000717ED"/>
    <w:rsid w:val="00071815"/>
    <w:rsid w:val="00071827"/>
    <w:rsid w:val="000718AF"/>
    <w:rsid w:val="00071915"/>
    <w:rsid w:val="00071942"/>
    <w:rsid w:val="000719DB"/>
    <w:rsid w:val="00071B89"/>
    <w:rsid w:val="00071C42"/>
    <w:rsid w:val="00071CA8"/>
    <w:rsid w:val="00071CBB"/>
    <w:rsid w:val="00071D36"/>
    <w:rsid w:val="00071DC4"/>
    <w:rsid w:val="00071DF3"/>
    <w:rsid w:val="00071DF9"/>
    <w:rsid w:val="00071E0C"/>
    <w:rsid w:val="00071E2D"/>
    <w:rsid w:val="00071E71"/>
    <w:rsid w:val="00071F15"/>
    <w:rsid w:val="00071F66"/>
    <w:rsid w:val="00071FE9"/>
    <w:rsid w:val="00072178"/>
    <w:rsid w:val="00072231"/>
    <w:rsid w:val="00072263"/>
    <w:rsid w:val="00072296"/>
    <w:rsid w:val="000722E6"/>
    <w:rsid w:val="0007231F"/>
    <w:rsid w:val="00072473"/>
    <w:rsid w:val="00072549"/>
    <w:rsid w:val="0007255B"/>
    <w:rsid w:val="00072590"/>
    <w:rsid w:val="00072690"/>
    <w:rsid w:val="000726CC"/>
    <w:rsid w:val="000726E6"/>
    <w:rsid w:val="000727BD"/>
    <w:rsid w:val="00072872"/>
    <w:rsid w:val="000728CB"/>
    <w:rsid w:val="0007299B"/>
    <w:rsid w:val="000729E7"/>
    <w:rsid w:val="000729E9"/>
    <w:rsid w:val="00072A08"/>
    <w:rsid w:val="00072AB6"/>
    <w:rsid w:val="00072C8F"/>
    <w:rsid w:val="00072CA4"/>
    <w:rsid w:val="00072DBD"/>
    <w:rsid w:val="00073096"/>
    <w:rsid w:val="000730D1"/>
    <w:rsid w:val="0007318D"/>
    <w:rsid w:val="000733A6"/>
    <w:rsid w:val="000733D9"/>
    <w:rsid w:val="00073474"/>
    <w:rsid w:val="00073495"/>
    <w:rsid w:val="0007349C"/>
    <w:rsid w:val="000735B8"/>
    <w:rsid w:val="00073650"/>
    <w:rsid w:val="000736D9"/>
    <w:rsid w:val="00073884"/>
    <w:rsid w:val="000738D7"/>
    <w:rsid w:val="0007391B"/>
    <w:rsid w:val="00073985"/>
    <w:rsid w:val="000739E2"/>
    <w:rsid w:val="00073A0A"/>
    <w:rsid w:val="00073A2D"/>
    <w:rsid w:val="00073A39"/>
    <w:rsid w:val="00073A67"/>
    <w:rsid w:val="00073A7A"/>
    <w:rsid w:val="00073AA0"/>
    <w:rsid w:val="00073B49"/>
    <w:rsid w:val="00073B65"/>
    <w:rsid w:val="00073B7A"/>
    <w:rsid w:val="00073BB7"/>
    <w:rsid w:val="00073C15"/>
    <w:rsid w:val="00073CB6"/>
    <w:rsid w:val="00073D18"/>
    <w:rsid w:val="00073EE2"/>
    <w:rsid w:val="00073FB8"/>
    <w:rsid w:val="000740CA"/>
    <w:rsid w:val="00074132"/>
    <w:rsid w:val="00074146"/>
    <w:rsid w:val="00074186"/>
    <w:rsid w:val="000741AC"/>
    <w:rsid w:val="00074327"/>
    <w:rsid w:val="000743D2"/>
    <w:rsid w:val="0007444D"/>
    <w:rsid w:val="000744F6"/>
    <w:rsid w:val="00074516"/>
    <w:rsid w:val="00074658"/>
    <w:rsid w:val="000746A9"/>
    <w:rsid w:val="00074715"/>
    <w:rsid w:val="0007479D"/>
    <w:rsid w:val="000747AC"/>
    <w:rsid w:val="000747D0"/>
    <w:rsid w:val="0007482B"/>
    <w:rsid w:val="0007491B"/>
    <w:rsid w:val="0007491F"/>
    <w:rsid w:val="00074927"/>
    <w:rsid w:val="00074960"/>
    <w:rsid w:val="0007499C"/>
    <w:rsid w:val="00074A11"/>
    <w:rsid w:val="00074A30"/>
    <w:rsid w:val="00074C28"/>
    <w:rsid w:val="00074C3C"/>
    <w:rsid w:val="00074C46"/>
    <w:rsid w:val="00074C9F"/>
    <w:rsid w:val="00074DA1"/>
    <w:rsid w:val="00074EA4"/>
    <w:rsid w:val="00075014"/>
    <w:rsid w:val="00075030"/>
    <w:rsid w:val="00075104"/>
    <w:rsid w:val="000751C6"/>
    <w:rsid w:val="0007527C"/>
    <w:rsid w:val="000752BA"/>
    <w:rsid w:val="000752F6"/>
    <w:rsid w:val="00075356"/>
    <w:rsid w:val="00075489"/>
    <w:rsid w:val="00075506"/>
    <w:rsid w:val="0007575A"/>
    <w:rsid w:val="000757C5"/>
    <w:rsid w:val="000758D3"/>
    <w:rsid w:val="00075B89"/>
    <w:rsid w:val="00075C2A"/>
    <w:rsid w:val="00075C64"/>
    <w:rsid w:val="00075DA9"/>
    <w:rsid w:val="00075DEF"/>
    <w:rsid w:val="00075ECB"/>
    <w:rsid w:val="00075F26"/>
    <w:rsid w:val="00076074"/>
    <w:rsid w:val="000760DC"/>
    <w:rsid w:val="000761A1"/>
    <w:rsid w:val="000761D8"/>
    <w:rsid w:val="000761F0"/>
    <w:rsid w:val="0007623C"/>
    <w:rsid w:val="0007626B"/>
    <w:rsid w:val="0007631E"/>
    <w:rsid w:val="00076390"/>
    <w:rsid w:val="000763A5"/>
    <w:rsid w:val="000763E6"/>
    <w:rsid w:val="00076447"/>
    <w:rsid w:val="00076492"/>
    <w:rsid w:val="000764E7"/>
    <w:rsid w:val="000765C6"/>
    <w:rsid w:val="0007664C"/>
    <w:rsid w:val="00076666"/>
    <w:rsid w:val="0007677B"/>
    <w:rsid w:val="0007680E"/>
    <w:rsid w:val="000768B3"/>
    <w:rsid w:val="000768E8"/>
    <w:rsid w:val="00076A6C"/>
    <w:rsid w:val="00076AC4"/>
    <w:rsid w:val="00076AC9"/>
    <w:rsid w:val="00076AF2"/>
    <w:rsid w:val="00076D23"/>
    <w:rsid w:val="00076DCE"/>
    <w:rsid w:val="00076EEA"/>
    <w:rsid w:val="00076F6C"/>
    <w:rsid w:val="00076FB7"/>
    <w:rsid w:val="00077002"/>
    <w:rsid w:val="0007701D"/>
    <w:rsid w:val="00077150"/>
    <w:rsid w:val="0007719E"/>
    <w:rsid w:val="000772DE"/>
    <w:rsid w:val="00077302"/>
    <w:rsid w:val="0007737F"/>
    <w:rsid w:val="00077391"/>
    <w:rsid w:val="000773D5"/>
    <w:rsid w:val="0007740A"/>
    <w:rsid w:val="0007740B"/>
    <w:rsid w:val="000774BA"/>
    <w:rsid w:val="000774DE"/>
    <w:rsid w:val="000774E5"/>
    <w:rsid w:val="000774FE"/>
    <w:rsid w:val="00077625"/>
    <w:rsid w:val="0007766A"/>
    <w:rsid w:val="000776EA"/>
    <w:rsid w:val="00077809"/>
    <w:rsid w:val="00077AB9"/>
    <w:rsid w:val="00077BA4"/>
    <w:rsid w:val="00077C53"/>
    <w:rsid w:val="00077CD6"/>
    <w:rsid w:val="00077CEF"/>
    <w:rsid w:val="00077E1A"/>
    <w:rsid w:val="00077EC4"/>
    <w:rsid w:val="00077EC5"/>
    <w:rsid w:val="00077ED0"/>
    <w:rsid w:val="00077F0C"/>
    <w:rsid w:val="00077F35"/>
    <w:rsid w:val="00077F74"/>
    <w:rsid w:val="00077FE7"/>
    <w:rsid w:val="00080054"/>
    <w:rsid w:val="000801AE"/>
    <w:rsid w:val="00080233"/>
    <w:rsid w:val="000802A3"/>
    <w:rsid w:val="0008035B"/>
    <w:rsid w:val="0008036D"/>
    <w:rsid w:val="000803AF"/>
    <w:rsid w:val="00080511"/>
    <w:rsid w:val="0008051B"/>
    <w:rsid w:val="00080556"/>
    <w:rsid w:val="00080569"/>
    <w:rsid w:val="0008057F"/>
    <w:rsid w:val="000805CB"/>
    <w:rsid w:val="00080606"/>
    <w:rsid w:val="00080625"/>
    <w:rsid w:val="00080757"/>
    <w:rsid w:val="00080774"/>
    <w:rsid w:val="00080843"/>
    <w:rsid w:val="00080A69"/>
    <w:rsid w:val="00080CAD"/>
    <w:rsid w:val="00080CB5"/>
    <w:rsid w:val="00080E29"/>
    <w:rsid w:val="00080EBB"/>
    <w:rsid w:val="00080F05"/>
    <w:rsid w:val="00080F33"/>
    <w:rsid w:val="00081005"/>
    <w:rsid w:val="0008104D"/>
    <w:rsid w:val="000810B3"/>
    <w:rsid w:val="000810F6"/>
    <w:rsid w:val="00081112"/>
    <w:rsid w:val="00081145"/>
    <w:rsid w:val="0008117D"/>
    <w:rsid w:val="0008119A"/>
    <w:rsid w:val="000811A6"/>
    <w:rsid w:val="00081224"/>
    <w:rsid w:val="00081255"/>
    <w:rsid w:val="0008125C"/>
    <w:rsid w:val="000812AE"/>
    <w:rsid w:val="0008137A"/>
    <w:rsid w:val="000813EC"/>
    <w:rsid w:val="0008140E"/>
    <w:rsid w:val="0008145C"/>
    <w:rsid w:val="0008156D"/>
    <w:rsid w:val="0008158C"/>
    <w:rsid w:val="00081774"/>
    <w:rsid w:val="0008180A"/>
    <w:rsid w:val="00081811"/>
    <w:rsid w:val="000818AB"/>
    <w:rsid w:val="000818AF"/>
    <w:rsid w:val="00081958"/>
    <w:rsid w:val="00081B78"/>
    <w:rsid w:val="00081C06"/>
    <w:rsid w:val="00081CCE"/>
    <w:rsid w:val="00081CDB"/>
    <w:rsid w:val="00081D76"/>
    <w:rsid w:val="00081EC0"/>
    <w:rsid w:val="00081ECB"/>
    <w:rsid w:val="00081EE1"/>
    <w:rsid w:val="00081F4C"/>
    <w:rsid w:val="00081FBC"/>
    <w:rsid w:val="0008201F"/>
    <w:rsid w:val="0008204D"/>
    <w:rsid w:val="00082050"/>
    <w:rsid w:val="00082132"/>
    <w:rsid w:val="000821D6"/>
    <w:rsid w:val="0008224A"/>
    <w:rsid w:val="00082341"/>
    <w:rsid w:val="0008235D"/>
    <w:rsid w:val="0008237E"/>
    <w:rsid w:val="000823F0"/>
    <w:rsid w:val="00082416"/>
    <w:rsid w:val="0008257D"/>
    <w:rsid w:val="00082586"/>
    <w:rsid w:val="000825F6"/>
    <w:rsid w:val="00082654"/>
    <w:rsid w:val="000826A2"/>
    <w:rsid w:val="000826F1"/>
    <w:rsid w:val="000827D5"/>
    <w:rsid w:val="000827F8"/>
    <w:rsid w:val="00082877"/>
    <w:rsid w:val="000828E0"/>
    <w:rsid w:val="00082ACB"/>
    <w:rsid w:val="00082B03"/>
    <w:rsid w:val="00082B83"/>
    <w:rsid w:val="00082C37"/>
    <w:rsid w:val="00082CD1"/>
    <w:rsid w:val="00082E89"/>
    <w:rsid w:val="00082EFD"/>
    <w:rsid w:val="00082FF6"/>
    <w:rsid w:val="0008302E"/>
    <w:rsid w:val="000830C9"/>
    <w:rsid w:val="00083168"/>
    <w:rsid w:val="000831DC"/>
    <w:rsid w:val="000831FB"/>
    <w:rsid w:val="000832A7"/>
    <w:rsid w:val="000832B9"/>
    <w:rsid w:val="00083349"/>
    <w:rsid w:val="0008349D"/>
    <w:rsid w:val="00083522"/>
    <w:rsid w:val="0008356A"/>
    <w:rsid w:val="00083576"/>
    <w:rsid w:val="0008357E"/>
    <w:rsid w:val="0008359D"/>
    <w:rsid w:val="000835A5"/>
    <w:rsid w:val="000835D8"/>
    <w:rsid w:val="00083696"/>
    <w:rsid w:val="000836D5"/>
    <w:rsid w:val="00083872"/>
    <w:rsid w:val="000838AE"/>
    <w:rsid w:val="000838BB"/>
    <w:rsid w:val="000838E3"/>
    <w:rsid w:val="000838E6"/>
    <w:rsid w:val="00083980"/>
    <w:rsid w:val="0008399D"/>
    <w:rsid w:val="000839B2"/>
    <w:rsid w:val="00083A41"/>
    <w:rsid w:val="00083A73"/>
    <w:rsid w:val="00083A79"/>
    <w:rsid w:val="00083BB6"/>
    <w:rsid w:val="00083BE1"/>
    <w:rsid w:val="00083C5D"/>
    <w:rsid w:val="00083C66"/>
    <w:rsid w:val="00083CD8"/>
    <w:rsid w:val="00083CDF"/>
    <w:rsid w:val="00083D61"/>
    <w:rsid w:val="00083DFC"/>
    <w:rsid w:val="00083E99"/>
    <w:rsid w:val="00083ECC"/>
    <w:rsid w:val="00083EE8"/>
    <w:rsid w:val="00083FEF"/>
    <w:rsid w:val="0008400C"/>
    <w:rsid w:val="00084061"/>
    <w:rsid w:val="00084087"/>
    <w:rsid w:val="0008412C"/>
    <w:rsid w:val="00084147"/>
    <w:rsid w:val="00084272"/>
    <w:rsid w:val="00084500"/>
    <w:rsid w:val="0008464C"/>
    <w:rsid w:val="000846F2"/>
    <w:rsid w:val="0008478C"/>
    <w:rsid w:val="0008479B"/>
    <w:rsid w:val="000847C1"/>
    <w:rsid w:val="000847EF"/>
    <w:rsid w:val="00084846"/>
    <w:rsid w:val="000848A3"/>
    <w:rsid w:val="000848AD"/>
    <w:rsid w:val="00084A26"/>
    <w:rsid w:val="00084AAE"/>
    <w:rsid w:val="00084AF5"/>
    <w:rsid w:val="00084B46"/>
    <w:rsid w:val="00084BE7"/>
    <w:rsid w:val="00084C31"/>
    <w:rsid w:val="00084CA1"/>
    <w:rsid w:val="00084D01"/>
    <w:rsid w:val="00084D38"/>
    <w:rsid w:val="00084DE8"/>
    <w:rsid w:val="00084DEE"/>
    <w:rsid w:val="00084F0D"/>
    <w:rsid w:val="00084F45"/>
    <w:rsid w:val="00084F89"/>
    <w:rsid w:val="0008514E"/>
    <w:rsid w:val="00085179"/>
    <w:rsid w:val="00085227"/>
    <w:rsid w:val="00085256"/>
    <w:rsid w:val="0008525B"/>
    <w:rsid w:val="00085372"/>
    <w:rsid w:val="00085414"/>
    <w:rsid w:val="00085428"/>
    <w:rsid w:val="0008547B"/>
    <w:rsid w:val="00085488"/>
    <w:rsid w:val="00085510"/>
    <w:rsid w:val="000855B3"/>
    <w:rsid w:val="000856A5"/>
    <w:rsid w:val="000856CC"/>
    <w:rsid w:val="000856DA"/>
    <w:rsid w:val="00085709"/>
    <w:rsid w:val="00085710"/>
    <w:rsid w:val="000857BE"/>
    <w:rsid w:val="000858BC"/>
    <w:rsid w:val="00085975"/>
    <w:rsid w:val="00085A11"/>
    <w:rsid w:val="00085A1C"/>
    <w:rsid w:val="00085BD3"/>
    <w:rsid w:val="00085C42"/>
    <w:rsid w:val="00085CD3"/>
    <w:rsid w:val="00085D22"/>
    <w:rsid w:val="00085DAB"/>
    <w:rsid w:val="00085ED5"/>
    <w:rsid w:val="00085F54"/>
    <w:rsid w:val="00085FA2"/>
    <w:rsid w:val="00086018"/>
    <w:rsid w:val="0008607B"/>
    <w:rsid w:val="000860D1"/>
    <w:rsid w:val="00086266"/>
    <w:rsid w:val="00086284"/>
    <w:rsid w:val="000863CF"/>
    <w:rsid w:val="000863FC"/>
    <w:rsid w:val="00086441"/>
    <w:rsid w:val="0008655D"/>
    <w:rsid w:val="00086567"/>
    <w:rsid w:val="0008659B"/>
    <w:rsid w:val="000865A7"/>
    <w:rsid w:val="00086615"/>
    <w:rsid w:val="00086646"/>
    <w:rsid w:val="00086736"/>
    <w:rsid w:val="00086741"/>
    <w:rsid w:val="0008674F"/>
    <w:rsid w:val="00086780"/>
    <w:rsid w:val="000867CF"/>
    <w:rsid w:val="000868A4"/>
    <w:rsid w:val="0008692A"/>
    <w:rsid w:val="00086947"/>
    <w:rsid w:val="00086951"/>
    <w:rsid w:val="000869D6"/>
    <w:rsid w:val="00086A7A"/>
    <w:rsid w:val="00086AC8"/>
    <w:rsid w:val="00086BB7"/>
    <w:rsid w:val="00086BF3"/>
    <w:rsid w:val="00086D1F"/>
    <w:rsid w:val="00086D33"/>
    <w:rsid w:val="00086DA1"/>
    <w:rsid w:val="00086DA6"/>
    <w:rsid w:val="00086DD9"/>
    <w:rsid w:val="00086E33"/>
    <w:rsid w:val="00086ECE"/>
    <w:rsid w:val="00087055"/>
    <w:rsid w:val="00087248"/>
    <w:rsid w:val="00087367"/>
    <w:rsid w:val="000873C4"/>
    <w:rsid w:val="000873EA"/>
    <w:rsid w:val="0008748B"/>
    <w:rsid w:val="0008755C"/>
    <w:rsid w:val="00087589"/>
    <w:rsid w:val="00087637"/>
    <w:rsid w:val="00087641"/>
    <w:rsid w:val="000876B0"/>
    <w:rsid w:val="000876D3"/>
    <w:rsid w:val="00087A68"/>
    <w:rsid w:val="00087A74"/>
    <w:rsid w:val="00087AB7"/>
    <w:rsid w:val="00087B31"/>
    <w:rsid w:val="00087BC5"/>
    <w:rsid w:val="00087C0B"/>
    <w:rsid w:val="00087C37"/>
    <w:rsid w:val="00087C8F"/>
    <w:rsid w:val="00087CE6"/>
    <w:rsid w:val="00087D45"/>
    <w:rsid w:val="00087D91"/>
    <w:rsid w:val="00087DF4"/>
    <w:rsid w:val="00087E31"/>
    <w:rsid w:val="00087E88"/>
    <w:rsid w:val="00087EB2"/>
    <w:rsid w:val="00090099"/>
    <w:rsid w:val="00090130"/>
    <w:rsid w:val="0009014C"/>
    <w:rsid w:val="0009037F"/>
    <w:rsid w:val="000903AB"/>
    <w:rsid w:val="000903C0"/>
    <w:rsid w:val="000903C2"/>
    <w:rsid w:val="00090491"/>
    <w:rsid w:val="00090539"/>
    <w:rsid w:val="00090576"/>
    <w:rsid w:val="000905A6"/>
    <w:rsid w:val="000906F6"/>
    <w:rsid w:val="0009072B"/>
    <w:rsid w:val="00090855"/>
    <w:rsid w:val="00090947"/>
    <w:rsid w:val="00090A19"/>
    <w:rsid w:val="00090A40"/>
    <w:rsid w:val="00090AAF"/>
    <w:rsid w:val="00090B41"/>
    <w:rsid w:val="00090BD8"/>
    <w:rsid w:val="00090BDA"/>
    <w:rsid w:val="00090D2F"/>
    <w:rsid w:val="00090D44"/>
    <w:rsid w:val="00090D62"/>
    <w:rsid w:val="00090DC7"/>
    <w:rsid w:val="00090E60"/>
    <w:rsid w:val="00090EBA"/>
    <w:rsid w:val="00090F59"/>
    <w:rsid w:val="0009100B"/>
    <w:rsid w:val="00091017"/>
    <w:rsid w:val="00091036"/>
    <w:rsid w:val="00091051"/>
    <w:rsid w:val="00091092"/>
    <w:rsid w:val="000910A1"/>
    <w:rsid w:val="000910EE"/>
    <w:rsid w:val="0009111E"/>
    <w:rsid w:val="000915D2"/>
    <w:rsid w:val="000916D5"/>
    <w:rsid w:val="00091797"/>
    <w:rsid w:val="000917D0"/>
    <w:rsid w:val="0009187C"/>
    <w:rsid w:val="000918A2"/>
    <w:rsid w:val="0009193C"/>
    <w:rsid w:val="00091A28"/>
    <w:rsid w:val="00091A49"/>
    <w:rsid w:val="00091AAE"/>
    <w:rsid w:val="00091B1C"/>
    <w:rsid w:val="00091BD6"/>
    <w:rsid w:val="00091DD1"/>
    <w:rsid w:val="00091DFF"/>
    <w:rsid w:val="00091E09"/>
    <w:rsid w:val="00091F0A"/>
    <w:rsid w:val="00091F5E"/>
    <w:rsid w:val="00091F9B"/>
    <w:rsid w:val="000920C8"/>
    <w:rsid w:val="00092194"/>
    <w:rsid w:val="0009229F"/>
    <w:rsid w:val="000922BF"/>
    <w:rsid w:val="0009232A"/>
    <w:rsid w:val="0009234A"/>
    <w:rsid w:val="0009257C"/>
    <w:rsid w:val="000925D2"/>
    <w:rsid w:val="000925DF"/>
    <w:rsid w:val="000925E3"/>
    <w:rsid w:val="000928D5"/>
    <w:rsid w:val="0009293F"/>
    <w:rsid w:val="000929C6"/>
    <w:rsid w:val="00092AE2"/>
    <w:rsid w:val="00092BDA"/>
    <w:rsid w:val="00092BE8"/>
    <w:rsid w:val="00092C40"/>
    <w:rsid w:val="00092C5A"/>
    <w:rsid w:val="00092CBD"/>
    <w:rsid w:val="00092D11"/>
    <w:rsid w:val="00092D13"/>
    <w:rsid w:val="00092D38"/>
    <w:rsid w:val="00092E20"/>
    <w:rsid w:val="00092E6D"/>
    <w:rsid w:val="00092F08"/>
    <w:rsid w:val="0009308C"/>
    <w:rsid w:val="000930B3"/>
    <w:rsid w:val="00093182"/>
    <w:rsid w:val="00093219"/>
    <w:rsid w:val="000932A4"/>
    <w:rsid w:val="000932BA"/>
    <w:rsid w:val="00093300"/>
    <w:rsid w:val="00093306"/>
    <w:rsid w:val="000933A5"/>
    <w:rsid w:val="0009342F"/>
    <w:rsid w:val="0009343F"/>
    <w:rsid w:val="000934C0"/>
    <w:rsid w:val="0009352C"/>
    <w:rsid w:val="00093556"/>
    <w:rsid w:val="000935AD"/>
    <w:rsid w:val="000936D0"/>
    <w:rsid w:val="00093725"/>
    <w:rsid w:val="0009373C"/>
    <w:rsid w:val="0009375F"/>
    <w:rsid w:val="00093ADA"/>
    <w:rsid w:val="00093D0B"/>
    <w:rsid w:val="00093DB5"/>
    <w:rsid w:val="00093E04"/>
    <w:rsid w:val="00093E32"/>
    <w:rsid w:val="00093F4B"/>
    <w:rsid w:val="00094018"/>
    <w:rsid w:val="000940B2"/>
    <w:rsid w:val="000941C3"/>
    <w:rsid w:val="000941F0"/>
    <w:rsid w:val="00094254"/>
    <w:rsid w:val="00094356"/>
    <w:rsid w:val="00094552"/>
    <w:rsid w:val="000945A4"/>
    <w:rsid w:val="0009462B"/>
    <w:rsid w:val="0009469C"/>
    <w:rsid w:val="000946CF"/>
    <w:rsid w:val="00094823"/>
    <w:rsid w:val="00094826"/>
    <w:rsid w:val="0009485D"/>
    <w:rsid w:val="00094881"/>
    <w:rsid w:val="00094957"/>
    <w:rsid w:val="00094964"/>
    <w:rsid w:val="00094977"/>
    <w:rsid w:val="00094A2A"/>
    <w:rsid w:val="00094AA8"/>
    <w:rsid w:val="00094B35"/>
    <w:rsid w:val="00094CA3"/>
    <w:rsid w:val="00094E50"/>
    <w:rsid w:val="00094EE6"/>
    <w:rsid w:val="00094F5E"/>
    <w:rsid w:val="00094F7F"/>
    <w:rsid w:val="00094F84"/>
    <w:rsid w:val="000951EA"/>
    <w:rsid w:val="0009525D"/>
    <w:rsid w:val="000952E0"/>
    <w:rsid w:val="0009530B"/>
    <w:rsid w:val="000953A4"/>
    <w:rsid w:val="000953C0"/>
    <w:rsid w:val="000953E2"/>
    <w:rsid w:val="000953E4"/>
    <w:rsid w:val="00095492"/>
    <w:rsid w:val="00095523"/>
    <w:rsid w:val="00095543"/>
    <w:rsid w:val="0009559F"/>
    <w:rsid w:val="00095655"/>
    <w:rsid w:val="00095678"/>
    <w:rsid w:val="00095680"/>
    <w:rsid w:val="00095786"/>
    <w:rsid w:val="00095884"/>
    <w:rsid w:val="0009588B"/>
    <w:rsid w:val="000958CD"/>
    <w:rsid w:val="000958EB"/>
    <w:rsid w:val="00095A1B"/>
    <w:rsid w:val="00095A40"/>
    <w:rsid w:val="00095B61"/>
    <w:rsid w:val="00095B79"/>
    <w:rsid w:val="00095BFD"/>
    <w:rsid w:val="00095C63"/>
    <w:rsid w:val="00095C90"/>
    <w:rsid w:val="00095D7A"/>
    <w:rsid w:val="00096048"/>
    <w:rsid w:val="00096067"/>
    <w:rsid w:val="000960F6"/>
    <w:rsid w:val="00096129"/>
    <w:rsid w:val="000961CE"/>
    <w:rsid w:val="000961E6"/>
    <w:rsid w:val="00096206"/>
    <w:rsid w:val="0009620F"/>
    <w:rsid w:val="0009631F"/>
    <w:rsid w:val="000963C9"/>
    <w:rsid w:val="00096428"/>
    <w:rsid w:val="0009642A"/>
    <w:rsid w:val="000965A9"/>
    <w:rsid w:val="000965EC"/>
    <w:rsid w:val="000965F0"/>
    <w:rsid w:val="00096626"/>
    <w:rsid w:val="000966EA"/>
    <w:rsid w:val="000967A8"/>
    <w:rsid w:val="0009681F"/>
    <w:rsid w:val="000969B9"/>
    <w:rsid w:val="000969EE"/>
    <w:rsid w:val="00096A3D"/>
    <w:rsid w:val="00096A64"/>
    <w:rsid w:val="00096B0F"/>
    <w:rsid w:val="00096BE3"/>
    <w:rsid w:val="00096C02"/>
    <w:rsid w:val="00096C4C"/>
    <w:rsid w:val="00096E6C"/>
    <w:rsid w:val="00096EB7"/>
    <w:rsid w:val="00096EDE"/>
    <w:rsid w:val="00096FBC"/>
    <w:rsid w:val="0009705F"/>
    <w:rsid w:val="00097076"/>
    <w:rsid w:val="00097090"/>
    <w:rsid w:val="0009709E"/>
    <w:rsid w:val="0009720E"/>
    <w:rsid w:val="00097225"/>
    <w:rsid w:val="00097281"/>
    <w:rsid w:val="00097347"/>
    <w:rsid w:val="0009736E"/>
    <w:rsid w:val="0009737C"/>
    <w:rsid w:val="000973B5"/>
    <w:rsid w:val="000973B7"/>
    <w:rsid w:val="000973C6"/>
    <w:rsid w:val="00097410"/>
    <w:rsid w:val="00097426"/>
    <w:rsid w:val="00097593"/>
    <w:rsid w:val="00097607"/>
    <w:rsid w:val="00097666"/>
    <w:rsid w:val="000977AB"/>
    <w:rsid w:val="000977BC"/>
    <w:rsid w:val="000978B6"/>
    <w:rsid w:val="00097927"/>
    <w:rsid w:val="00097931"/>
    <w:rsid w:val="000979CB"/>
    <w:rsid w:val="00097CC3"/>
    <w:rsid w:val="00097CF3"/>
    <w:rsid w:val="00097D24"/>
    <w:rsid w:val="00097D91"/>
    <w:rsid w:val="00097E07"/>
    <w:rsid w:val="00097E6B"/>
    <w:rsid w:val="00097E7D"/>
    <w:rsid w:val="00097EBA"/>
    <w:rsid w:val="00097FE6"/>
    <w:rsid w:val="00097FEB"/>
    <w:rsid w:val="000A0077"/>
    <w:rsid w:val="000A0079"/>
    <w:rsid w:val="000A00F7"/>
    <w:rsid w:val="000A0204"/>
    <w:rsid w:val="000A0301"/>
    <w:rsid w:val="000A03DB"/>
    <w:rsid w:val="000A047E"/>
    <w:rsid w:val="000A0675"/>
    <w:rsid w:val="000A06D3"/>
    <w:rsid w:val="000A06DE"/>
    <w:rsid w:val="000A06E7"/>
    <w:rsid w:val="000A079F"/>
    <w:rsid w:val="000A07A6"/>
    <w:rsid w:val="000A07DF"/>
    <w:rsid w:val="000A07E3"/>
    <w:rsid w:val="000A07E6"/>
    <w:rsid w:val="000A07FA"/>
    <w:rsid w:val="000A0841"/>
    <w:rsid w:val="000A089B"/>
    <w:rsid w:val="000A098F"/>
    <w:rsid w:val="000A0A9B"/>
    <w:rsid w:val="000A0AA6"/>
    <w:rsid w:val="000A0AB8"/>
    <w:rsid w:val="000A0B72"/>
    <w:rsid w:val="000A0BE1"/>
    <w:rsid w:val="000A0D76"/>
    <w:rsid w:val="000A0D95"/>
    <w:rsid w:val="000A0EEE"/>
    <w:rsid w:val="000A0F02"/>
    <w:rsid w:val="000A1037"/>
    <w:rsid w:val="000A1065"/>
    <w:rsid w:val="000A10D3"/>
    <w:rsid w:val="000A10F6"/>
    <w:rsid w:val="000A10F9"/>
    <w:rsid w:val="000A1158"/>
    <w:rsid w:val="000A1164"/>
    <w:rsid w:val="000A127A"/>
    <w:rsid w:val="000A1290"/>
    <w:rsid w:val="000A12D1"/>
    <w:rsid w:val="000A138C"/>
    <w:rsid w:val="000A13F5"/>
    <w:rsid w:val="000A159B"/>
    <w:rsid w:val="000A1627"/>
    <w:rsid w:val="000A1633"/>
    <w:rsid w:val="000A16EF"/>
    <w:rsid w:val="000A1767"/>
    <w:rsid w:val="000A176F"/>
    <w:rsid w:val="000A17DC"/>
    <w:rsid w:val="000A191B"/>
    <w:rsid w:val="000A191E"/>
    <w:rsid w:val="000A1966"/>
    <w:rsid w:val="000A198F"/>
    <w:rsid w:val="000A19C2"/>
    <w:rsid w:val="000A1A1C"/>
    <w:rsid w:val="000A1A4B"/>
    <w:rsid w:val="000A1BB9"/>
    <w:rsid w:val="000A1C1F"/>
    <w:rsid w:val="000A1CFF"/>
    <w:rsid w:val="000A1E08"/>
    <w:rsid w:val="000A1F4B"/>
    <w:rsid w:val="000A1F6B"/>
    <w:rsid w:val="000A1FAB"/>
    <w:rsid w:val="000A206F"/>
    <w:rsid w:val="000A20E9"/>
    <w:rsid w:val="000A2184"/>
    <w:rsid w:val="000A21BF"/>
    <w:rsid w:val="000A2225"/>
    <w:rsid w:val="000A2245"/>
    <w:rsid w:val="000A22AB"/>
    <w:rsid w:val="000A22C3"/>
    <w:rsid w:val="000A22DC"/>
    <w:rsid w:val="000A22E4"/>
    <w:rsid w:val="000A251F"/>
    <w:rsid w:val="000A261D"/>
    <w:rsid w:val="000A2683"/>
    <w:rsid w:val="000A26A4"/>
    <w:rsid w:val="000A26F2"/>
    <w:rsid w:val="000A27FC"/>
    <w:rsid w:val="000A2852"/>
    <w:rsid w:val="000A2A04"/>
    <w:rsid w:val="000A2A27"/>
    <w:rsid w:val="000A2A60"/>
    <w:rsid w:val="000A2AAB"/>
    <w:rsid w:val="000A2AD8"/>
    <w:rsid w:val="000A2B2F"/>
    <w:rsid w:val="000A2BDD"/>
    <w:rsid w:val="000A2C30"/>
    <w:rsid w:val="000A2D68"/>
    <w:rsid w:val="000A2D7E"/>
    <w:rsid w:val="000A2DE1"/>
    <w:rsid w:val="000A2DF1"/>
    <w:rsid w:val="000A2FCB"/>
    <w:rsid w:val="000A3072"/>
    <w:rsid w:val="000A3141"/>
    <w:rsid w:val="000A321F"/>
    <w:rsid w:val="000A325D"/>
    <w:rsid w:val="000A32A3"/>
    <w:rsid w:val="000A32BA"/>
    <w:rsid w:val="000A32C0"/>
    <w:rsid w:val="000A337B"/>
    <w:rsid w:val="000A3439"/>
    <w:rsid w:val="000A3527"/>
    <w:rsid w:val="000A360A"/>
    <w:rsid w:val="000A3804"/>
    <w:rsid w:val="000A3898"/>
    <w:rsid w:val="000A38F1"/>
    <w:rsid w:val="000A391D"/>
    <w:rsid w:val="000A3966"/>
    <w:rsid w:val="000A3ABE"/>
    <w:rsid w:val="000A3B11"/>
    <w:rsid w:val="000A3B76"/>
    <w:rsid w:val="000A3C6A"/>
    <w:rsid w:val="000A3C7C"/>
    <w:rsid w:val="000A3D20"/>
    <w:rsid w:val="000A3DE1"/>
    <w:rsid w:val="000A3E17"/>
    <w:rsid w:val="000A3ECC"/>
    <w:rsid w:val="000A3EFD"/>
    <w:rsid w:val="000A3F7A"/>
    <w:rsid w:val="000A4259"/>
    <w:rsid w:val="000A42D7"/>
    <w:rsid w:val="000A43EC"/>
    <w:rsid w:val="000A44BA"/>
    <w:rsid w:val="000A44DE"/>
    <w:rsid w:val="000A4545"/>
    <w:rsid w:val="000A4601"/>
    <w:rsid w:val="000A47C4"/>
    <w:rsid w:val="000A48BA"/>
    <w:rsid w:val="000A4910"/>
    <w:rsid w:val="000A495A"/>
    <w:rsid w:val="000A49C9"/>
    <w:rsid w:val="000A49F0"/>
    <w:rsid w:val="000A4A5A"/>
    <w:rsid w:val="000A4A7E"/>
    <w:rsid w:val="000A4BA9"/>
    <w:rsid w:val="000A4BEF"/>
    <w:rsid w:val="000A4C13"/>
    <w:rsid w:val="000A4CA0"/>
    <w:rsid w:val="000A4D81"/>
    <w:rsid w:val="000A4D99"/>
    <w:rsid w:val="000A4E6C"/>
    <w:rsid w:val="000A4E9B"/>
    <w:rsid w:val="000A4EA2"/>
    <w:rsid w:val="000A4F29"/>
    <w:rsid w:val="000A4F65"/>
    <w:rsid w:val="000A4F79"/>
    <w:rsid w:val="000A4F86"/>
    <w:rsid w:val="000A4FB8"/>
    <w:rsid w:val="000A5126"/>
    <w:rsid w:val="000A512F"/>
    <w:rsid w:val="000A5134"/>
    <w:rsid w:val="000A51F2"/>
    <w:rsid w:val="000A52BE"/>
    <w:rsid w:val="000A544B"/>
    <w:rsid w:val="000A5490"/>
    <w:rsid w:val="000A5498"/>
    <w:rsid w:val="000A54A8"/>
    <w:rsid w:val="000A54D5"/>
    <w:rsid w:val="000A555B"/>
    <w:rsid w:val="000A5597"/>
    <w:rsid w:val="000A5628"/>
    <w:rsid w:val="000A56A6"/>
    <w:rsid w:val="000A5712"/>
    <w:rsid w:val="000A5718"/>
    <w:rsid w:val="000A57DB"/>
    <w:rsid w:val="000A5834"/>
    <w:rsid w:val="000A5876"/>
    <w:rsid w:val="000A5930"/>
    <w:rsid w:val="000A5937"/>
    <w:rsid w:val="000A59C5"/>
    <w:rsid w:val="000A59D3"/>
    <w:rsid w:val="000A59F0"/>
    <w:rsid w:val="000A59F3"/>
    <w:rsid w:val="000A5A2A"/>
    <w:rsid w:val="000A5A87"/>
    <w:rsid w:val="000A5AC4"/>
    <w:rsid w:val="000A5AF7"/>
    <w:rsid w:val="000A5C1C"/>
    <w:rsid w:val="000A5DDE"/>
    <w:rsid w:val="000A5F34"/>
    <w:rsid w:val="000A5F5C"/>
    <w:rsid w:val="000A60AE"/>
    <w:rsid w:val="000A60FB"/>
    <w:rsid w:val="000A613A"/>
    <w:rsid w:val="000A639E"/>
    <w:rsid w:val="000A6445"/>
    <w:rsid w:val="000A6500"/>
    <w:rsid w:val="000A6551"/>
    <w:rsid w:val="000A6588"/>
    <w:rsid w:val="000A660C"/>
    <w:rsid w:val="000A6724"/>
    <w:rsid w:val="000A67EA"/>
    <w:rsid w:val="000A682B"/>
    <w:rsid w:val="000A683E"/>
    <w:rsid w:val="000A6886"/>
    <w:rsid w:val="000A69EE"/>
    <w:rsid w:val="000A6A90"/>
    <w:rsid w:val="000A6B63"/>
    <w:rsid w:val="000A6B84"/>
    <w:rsid w:val="000A6BDD"/>
    <w:rsid w:val="000A6CC7"/>
    <w:rsid w:val="000A6D68"/>
    <w:rsid w:val="000A6D9A"/>
    <w:rsid w:val="000A6DC1"/>
    <w:rsid w:val="000A6E7D"/>
    <w:rsid w:val="000A6F23"/>
    <w:rsid w:val="000A70DC"/>
    <w:rsid w:val="000A7211"/>
    <w:rsid w:val="000A723B"/>
    <w:rsid w:val="000A7271"/>
    <w:rsid w:val="000A7276"/>
    <w:rsid w:val="000A733F"/>
    <w:rsid w:val="000A735D"/>
    <w:rsid w:val="000A73F3"/>
    <w:rsid w:val="000A7468"/>
    <w:rsid w:val="000A7487"/>
    <w:rsid w:val="000A74DF"/>
    <w:rsid w:val="000A750F"/>
    <w:rsid w:val="000A7687"/>
    <w:rsid w:val="000A7725"/>
    <w:rsid w:val="000A798D"/>
    <w:rsid w:val="000A79EC"/>
    <w:rsid w:val="000A7A08"/>
    <w:rsid w:val="000A7A19"/>
    <w:rsid w:val="000A7ACA"/>
    <w:rsid w:val="000A7AD0"/>
    <w:rsid w:val="000A7C91"/>
    <w:rsid w:val="000A7C94"/>
    <w:rsid w:val="000A7CD8"/>
    <w:rsid w:val="000A7DAE"/>
    <w:rsid w:val="000A7DE5"/>
    <w:rsid w:val="000A7E25"/>
    <w:rsid w:val="000A7E68"/>
    <w:rsid w:val="000A7EF3"/>
    <w:rsid w:val="000B008C"/>
    <w:rsid w:val="000B010A"/>
    <w:rsid w:val="000B0171"/>
    <w:rsid w:val="000B01EF"/>
    <w:rsid w:val="000B0285"/>
    <w:rsid w:val="000B02A0"/>
    <w:rsid w:val="000B02F0"/>
    <w:rsid w:val="000B02F7"/>
    <w:rsid w:val="000B0368"/>
    <w:rsid w:val="000B03A0"/>
    <w:rsid w:val="000B03BF"/>
    <w:rsid w:val="000B0401"/>
    <w:rsid w:val="000B0500"/>
    <w:rsid w:val="000B053B"/>
    <w:rsid w:val="000B0552"/>
    <w:rsid w:val="000B0583"/>
    <w:rsid w:val="000B06A9"/>
    <w:rsid w:val="000B072F"/>
    <w:rsid w:val="000B07A0"/>
    <w:rsid w:val="000B07B1"/>
    <w:rsid w:val="000B07DE"/>
    <w:rsid w:val="000B0806"/>
    <w:rsid w:val="000B080B"/>
    <w:rsid w:val="000B0870"/>
    <w:rsid w:val="000B08A3"/>
    <w:rsid w:val="000B0988"/>
    <w:rsid w:val="000B0A1E"/>
    <w:rsid w:val="000B0AE5"/>
    <w:rsid w:val="000B0B30"/>
    <w:rsid w:val="000B0B37"/>
    <w:rsid w:val="000B0B7C"/>
    <w:rsid w:val="000B0BA8"/>
    <w:rsid w:val="000B0C58"/>
    <w:rsid w:val="000B0C9C"/>
    <w:rsid w:val="000B0CA1"/>
    <w:rsid w:val="000B0D30"/>
    <w:rsid w:val="000B0D42"/>
    <w:rsid w:val="000B0D70"/>
    <w:rsid w:val="000B0DBE"/>
    <w:rsid w:val="000B0DE1"/>
    <w:rsid w:val="000B0E23"/>
    <w:rsid w:val="000B0E64"/>
    <w:rsid w:val="000B0E75"/>
    <w:rsid w:val="000B0EDE"/>
    <w:rsid w:val="000B0EE0"/>
    <w:rsid w:val="000B0EF2"/>
    <w:rsid w:val="000B0FB7"/>
    <w:rsid w:val="000B10B2"/>
    <w:rsid w:val="000B1103"/>
    <w:rsid w:val="000B122D"/>
    <w:rsid w:val="000B129D"/>
    <w:rsid w:val="000B12C0"/>
    <w:rsid w:val="000B132D"/>
    <w:rsid w:val="000B143B"/>
    <w:rsid w:val="000B167B"/>
    <w:rsid w:val="000B171B"/>
    <w:rsid w:val="000B1779"/>
    <w:rsid w:val="000B17E6"/>
    <w:rsid w:val="000B1802"/>
    <w:rsid w:val="000B18D1"/>
    <w:rsid w:val="000B18FD"/>
    <w:rsid w:val="000B1970"/>
    <w:rsid w:val="000B19A2"/>
    <w:rsid w:val="000B19AB"/>
    <w:rsid w:val="000B1B34"/>
    <w:rsid w:val="000B1B3B"/>
    <w:rsid w:val="000B1B58"/>
    <w:rsid w:val="000B1CCF"/>
    <w:rsid w:val="000B1D18"/>
    <w:rsid w:val="000B1DC1"/>
    <w:rsid w:val="000B1E7C"/>
    <w:rsid w:val="000B1E7E"/>
    <w:rsid w:val="000B1FA6"/>
    <w:rsid w:val="000B2054"/>
    <w:rsid w:val="000B2093"/>
    <w:rsid w:val="000B20EF"/>
    <w:rsid w:val="000B210E"/>
    <w:rsid w:val="000B21BE"/>
    <w:rsid w:val="000B22BC"/>
    <w:rsid w:val="000B233D"/>
    <w:rsid w:val="000B24D1"/>
    <w:rsid w:val="000B2581"/>
    <w:rsid w:val="000B25AE"/>
    <w:rsid w:val="000B25BC"/>
    <w:rsid w:val="000B262A"/>
    <w:rsid w:val="000B264A"/>
    <w:rsid w:val="000B26D4"/>
    <w:rsid w:val="000B2741"/>
    <w:rsid w:val="000B27F5"/>
    <w:rsid w:val="000B2982"/>
    <w:rsid w:val="000B2A1D"/>
    <w:rsid w:val="000B2A67"/>
    <w:rsid w:val="000B2B64"/>
    <w:rsid w:val="000B2B9C"/>
    <w:rsid w:val="000B2BAB"/>
    <w:rsid w:val="000B2BDB"/>
    <w:rsid w:val="000B2BFA"/>
    <w:rsid w:val="000B2D9F"/>
    <w:rsid w:val="000B2E04"/>
    <w:rsid w:val="000B2E9D"/>
    <w:rsid w:val="000B2F4D"/>
    <w:rsid w:val="000B2FAF"/>
    <w:rsid w:val="000B2FCD"/>
    <w:rsid w:val="000B305F"/>
    <w:rsid w:val="000B30B2"/>
    <w:rsid w:val="000B31BA"/>
    <w:rsid w:val="000B32E2"/>
    <w:rsid w:val="000B32E8"/>
    <w:rsid w:val="000B32ED"/>
    <w:rsid w:val="000B3308"/>
    <w:rsid w:val="000B3342"/>
    <w:rsid w:val="000B3351"/>
    <w:rsid w:val="000B335E"/>
    <w:rsid w:val="000B3380"/>
    <w:rsid w:val="000B3482"/>
    <w:rsid w:val="000B349B"/>
    <w:rsid w:val="000B35D4"/>
    <w:rsid w:val="000B36BB"/>
    <w:rsid w:val="000B372C"/>
    <w:rsid w:val="000B37E4"/>
    <w:rsid w:val="000B384C"/>
    <w:rsid w:val="000B3955"/>
    <w:rsid w:val="000B39EA"/>
    <w:rsid w:val="000B39EE"/>
    <w:rsid w:val="000B3A58"/>
    <w:rsid w:val="000B3AF7"/>
    <w:rsid w:val="000B3C9E"/>
    <w:rsid w:val="000B3E05"/>
    <w:rsid w:val="000B3E54"/>
    <w:rsid w:val="000B3FF0"/>
    <w:rsid w:val="000B3FFA"/>
    <w:rsid w:val="000B404A"/>
    <w:rsid w:val="000B419E"/>
    <w:rsid w:val="000B41E3"/>
    <w:rsid w:val="000B42E9"/>
    <w:rsid w:val="000B4303"/>
    <w:rsid w:val="000B43C5"/>
    <w:rsid w:val="000B4405"/>
    <w:rsid w:val="000B4457"/>
    <w:rsid w:val="000B4628"/>
    <w:rsid w:val="000B467C"/>
    <w:rsid w:val="000B476E"/>
    <w:rsid w:val="000B4786"/>
    <w:rsid w:val="000B4796"/>
    <w:rsid w:val="000B47D4"/>
    <w:rsid w:val="000B4AC3"/>
    <w:rsid w:val="000B4AE0"/>
    <w:rsid w:val="000B4C0F"/>
    <w:rsid w:val="000B4D8E"/>
    <w:rsid w:val="000B4E73"/>
    <w:rsid w:val="000B4F28"/>
    <w:rsid w:val="000B4F3D"/>
    <w:rsid w:val="000B4F45"/>
    <w:rsid w:val="000B5092"/>
    <w:rsid w:val="000B510A"/>
    <w:rsid w:val="000B51AA"/>
    <w:rsid w:val="000B51CE"/>
    <w:rsid w:val="000B5215"/>
    <w:rsid w:val="000B5225"/>
    <w:rsid w:val="000B5280"/>
    <w:rsid w:val="000B52A5"/>
    <w:rsid w:val="000B52DF"/>
    <w:rsid w:val="000B52F4"/>
    <w:rsid w:val="000B53C8"/>
    <w:rsid w:val="000B53EB"/>
    <w:rsid w:val="000B5435"/>
    <w:rsid w:val="000B54D5"/>
    <w:rsid w:val="000B5536"/>
    <w:rsid w:val="000B560D"/>
    <w:rsid w:val="000B56E7"/>
    <w:rsid w:val="000B5708"/>
    <w:rsid w:val="000B5780"/>
    <w:rsid w:val="000B5787"/>
    <w:rsid w:val="000B57A2"/>
    <w:rsid w:val="000B57BD"/>
    <w:rsid w:val="000B57FC"/>
    <w:rsid w:val="000B5875"/>
    <w:rsid w:val="000B593A"/>
    <w:rsid w:val="000B5B29"/>
    <w:rsid w:val="000B5B46"/>
    <w:rsid w:val="000B5BB2"/>
    <w:rsid w:val="000B5CF7"/>
    <w:rsid w:val="000B5D62"/>
    <w:rsid w:val="000B5D68"/>
    <w:rsid w:val="000B5D7E"/>
    <w:rsid w:val="000B5D9D"/>
    <w:rsid w:val="000B5DED"/>
    <w:rsid w:val="000B5E73"/>
    <w:rsid w:val="000B5EA8"/>
    <w:rsid w:val="000B5EB5"/>
    <w:rsid w:val="000B5EEB"/>
    <w:rsid w:val="000B5EF8"/>
    <w:rsid w:val="000B5F24"/>
    <w:rsid w:val="000B5F41"/>
    <w:rsid w:val="000B5FAD"/>
    <w:rsid w:val="000B6041"/>
    <w:rsid w:val="000B60C3"/>
    <w:rsid w:val="000B6396"/>
    <w:rsid w:val="000B6442"/>
    <w:rsid w:val="000B64AD"/>
    <w:rsid w:val="000B6528"/>
    <w:rsid w:val="000B65D4"/>
    <w:rsid w:val="000B6739"/>
    <w:rsid w:val="000B676C"/>
    <w:rsid w:val="000B686C"/>
    <w:rsid w:val="000B699C"/>
    <w:rsid w:val="000B69D7"/>
    <w:rsid w:val="000B6AE0"/>
    <w:rsid w:val="000B6AE8"/>
    <w:rsid w:val="000B6B15"/>
    <w:rsid w:val="000B6D0A"/>
    <w:rsid w:val="000B6D21"/>
    <w:rsid w:val="000B6D24"/>
    <w:rsid w:val="000B6D76"/>
    <w:rsid w:val="000B6DA8"/>
    <w:rsid w:val="000B6DA9"/>
    <w:rsid w:val="000B6DD5"/>
    <w:rsid w:val="000B6E8E"/>
    <w:rsid w:val="000B6EB0"/>
    <w:rsid w:val="000B7098"/>
    <w:rsid w:val="000B70BE"/>
    <w:rsid w:val="000B71B9"/>
    <w:rsid w:val="000B71FB"/>
    <w:rsid w:val="000B72D5"/>
    <w:rsid w:val="000B72D7"/>
    <w:rsid w:val="000B7348"/>
    <w:rsid w:val="000B73D4"/>
    <w:rsid w:val="000B73F6"/>
    <w:rsid w:val="000B744F"/>
    <w:rsid w:val="000B755C"/>
    <w:rsid w:val="000B755E"/>
    <w:rsid w:val="000B75DD"/>
    <w:rsid w:val="000B7636"/>
    <w:rsid w:val="000B764F"/>
    <w:rsid w:val="000B7729"/>
    <w:rsid w:val="000B77C0"/>
    <w:rsid w:val="000B7897"/>
    <w:rsid w:val="000B78B3"/>
    <w:rsid w:val="000B78DC"/>
    <w:rsid w:val="000B78F2"/>
    <w:rsid w:val="000B7B2B"/>
    <w:rsid w:val="000B7BBA"/>
    <w:rsid w:val="000B7BD4"/>
    <w:rsid w:val="000B7D8E"/>
    <w:rsid w:val="000B7E83"/>
    <w:rsid w:val="000B7EA4"/>
    <w:rsid w:val="000B7ECC"/>
    <w:rsid w:val="000B7F06"/>
    <w:rsid w:val="000B7F5E"/>
    <w:rsid w:val="000B7FAB"/>
    <w:rsid w:val="000B7FAC"/>
    <w:rsid w:val="000B7FC1"/>
    <w:rsid w:val="000B7FE3"/>
    <w:rsid w:val="000C0121"/>
    <w:rsid w:val="000C02E0"/>
    <w:rsid w:val="000C0491"/>
    <w:rsid w:val="000C049A"/>
    <w:rsid w:val="000C0534"/>
    <w:rsid w:val="000C0591"/>
    <w:rsid w:val="000C05F6"/>
    <w:rsid w:val="000C0640"/>
    <w:rsid w:val="000C070D"/>
    <w:rsid w:val="000C07F1"/>
    <w:rsid w:val="000C07FE"/>
    <w:rsid w:val="000C0878"/>
    <w:rsid w:val="000C0A53"/>
    <w:rsid w:val="000C0B29"/>
    <w:rsid w:val="000C0B32"/>
    <w:rsid w:val="000C0B5F"/>
    <w:rsid w:val="000C0BBC"/>
    <w:rsid w:val="000C0BDA"/>
    <w:rsid w:val="000C0D0F"/>
    <w:rsid w:val="000C0E7E"/>
    <w:rsid w:val="000C0FA9"/>
    <w:rsid w:val="000C0FFE"/>
    <w:rsid w:val="000C1141"/>
    <w:rsid w:val="000C1179"/>
    <w:rsid w:val="000C117C"/>
    <w:rsid w:val="000C118B"/>
    <w:rsid w:val="000C11CE"/>
    <w:rsid w:val="000C1252"/>
    <w:rsid w:val="000C1295"/>
    <w:rsid w:val="000C13BF"/>
    <w:rsid w:val="000C14D9"/>
    <w:rsid w:val="000C1622"/>
    <w:rsid w:val="000C1731"/>
    <w:rsid w:val="000C17CF"/>
    <w:rsid w:val="000C186A"/>
    <w:rsid w:val="000C1927"/>
    <w:rsid w:val="000C1999"/>
    <w:rsid w:val="000C1A14"/>
    <w:rsid w:val="000C1AEE"/>
    <w:rsid w:val="000C1B1B"/>
    <w:rsid w:val="000C1CF3"/>
    <w:rsid w:val="000C1D31"/>
    <w:rsid w:val="000C1D41"/>
    <w:rsid w:val="000C1D59"/>
    <w:rsid w:val="000C1D61"/>
    <w:rsid w:val="000C1D94"/>
    <w:rsid w:val="000C1F01"/>
    <w:rsid w:val="000C1F22"/>
    <w:rsid w:val="000C1F5A"/>
    <w:rsid w:val="000C1F70"/>
    <w:rsid w:val="000C2003"/>
    <w:rsid w:val="000C200C"/>
    <w:rsid w:val="000C2032"/>
    <w:rsid w:val="000C2108"/>
    <w:rsid w:val="000C2215"/>
    <w:rsid w:val="000C2267"/>
    <w:rsid w:val="000C22F8"/>
    <w:rsid w:val="000C2335"/>
    <w:rsid w:val="000C237E"/>
    <w:rsid w:val="000C23E2"/>
    <w:rsid w:val="000C2415"/>
    <w:rsid w:val="000C242E"/>
    <w:rsid w:val="000C252B"/>
    <w:rsid w:val="000C25DC"/>
    <w:rsid w:val="000C263A"/>
    <w:rsid w:val="000C275D"/>
    <w:rsid w:val="000C2794"/>
    <w:rsid w:val="000C27BE"/>
    <w:rsid w:val="000C283D"/>
    <w:rsid w:val="000C298B"/>
    <w:rsid w:val="000C29C0"/>
    <w:rsid w:val="000C2AAD"/>
    <w:rsid w:val="000C2B41"/>
    <w:rsid w:val="000C2BE7"/>
    <w:rsid w:val="000C2C56"/>
    <w:rsid w:val="000C2EA0"/>
    <w:rsid w:val="000C3072"/>
    <w:rsid w:val="000C31A7"/>
    <w:rsid w:val="000C320E"/>
    <w:rsid w:val="000C32F0"/>
    <w:rsid w:val="000C32FA"/>
    <w:rsid w:val="000C3337"/>
    <w:rsid w:val="000C3351"/>
    <w:rsid w:val="000C336B"/>
    <w:rsid w:val="000C33D9"/>
    <w:rsid w:val="000C33DA"/>
    <w:rsid w:val="000C342E"/>
    <w:rsid w:val="000C345A"/>
    <w:rsid w:val="000C346E"/>
    <w:rsid w:val="000C357E"/>
    <w:rsid w:val="000C358B"/>
    <w:rsid w:val="000C35B9"/>
    <w:rsid w:val="000C35DD"/>
    <w:rsid w:val="000C35F1"/>
    <w:rsid w:val="000C3614"/>
    <w:rsid w:val="000C369A"/>
    <w:rsid w:val="000C37AB"/>
    <w:rsid w:val="000C39AC"/>
    <w:rsid w:val="000C3BD3"/>
    <w:rsid w:val="000C3BF0"/>
    <w:rsid w:val="000C3C9C"/>
    <w:rsid w:val="000C3D67"/>
    <w:rsid w:val="000C3D75"/>
    <w:rsid w:val="000C3DBB"/>
    <w:rsid w:val="000C3E58"/>
    <w:rsid w:val="000C3FDB"/>
    <w:rsid w:val="000C4041"/>
    <w:rsid w:val="000C40D4"/>
    <w:rsid w:val="000C413F"/>
    <w:rsid w:val="000C421A"/>
    <w:rsid w:val="000C4220"/>
    <w:rsid w:val="000C42EE"/>
    <w:rsid w:val="000C438D"/>
    <w:rsid w:val="000C444F"/>
    <w:rsid w:val="000C447A"/>
    <w:rsid w:val="000C44D6"/>
    <w:rsid w:val="000C461D"/>
    <w:rsid w:val="000C4625"/>
    <w:rsid w:val="000C46F2"/>
    <w:rsid w:val="000C4745"/>
    <w:rsid w:val="000C4754"/>
    <w:rsid w:val="000C47A6"/>
    <w:rsid w:val="000C4826"/>
    <w:rsid w:val="000C483E"/>
    <w:rsid w:val="000C48DE"/>
    <w:rsid w:val="000C48E6"/>
    <w:rsid w:val="000C4912"/>
    <w:rsid w:val="000C4915"/>
    <w:rsid w:val="000C4A1E"/>
    <w:rsid w:val="000C4B3A"/>
    <w:rsid w:val="000C4CD2"/>
    <w:rsid w:val="000C4E3E"/>
    <w:rsid w:val="000C4E60"/>
    <w:rsid w:val="000C4F3E"/>
    <w:rsid w:val="000C500F"/>
    <w:rsid w:val="000C511F"/>
    <w:rsid w:val="000C5163"/>
    <w:rsid w:val="000C5189"/>
    <w:rsid w:val="000C5205"/>
    <w:rsid w:val="000C5293"/>
    <w:rsid w:val="000C5323"/>
    <w:rsid w:val="000C5470"/>
    <w:rsid w:val="000C54B2"/>
    <w:rsid w:val="000C54D4"/>
    <w:rsid w:val="000C5519"/>
    <w:rsid w:val="000C561F"/>
    <w:rsid w:val="000C5622"/>
    <w:rsid w:val="000C56C2"/>
    <w:rsid w:val="000C57E3"/>
    <w:rsid w:val="000C5812"/>
    <w:rsid w:val="000C5817"/>
    <w:rsid w:val="000C588F"/>
    <w:rsid w:val="000C5902"/>
    <w:rsid w:val="000C59BA"/>
    <w:rsid w:val="000C5ABF"/>
    <w:rsid w:val="000C5ACD"/>
    <w:rsid w:val="000C5AE5"/>
    <w:rsid w:val="000C5B64"/>
    <w:rsid w:val="000C5B7D"/>
    <w:rsid w:val="000C5BB2"/>
    <w:rsid w:val="000C5BE2"/>
    <w:rsid w:val="000C5C32"/>
    <w:rsid w:val="000C5C36"/>
    <w:rsid w:val="000C5C58"/>
    <w:rsid w:val="000C5C72"/>
    <w:rsid w:val="000C5C9C"/>
    <w:rsid w:val="000C5CB8"/>
    <w:rsid w:val="000C5D08"/>
    <w:rsid w:val="000C5D54"/>
    <w:rsid w:val="000C5D8E"/>
    <w:rsid w:val="000C5DB6"/>
    <w:rsid w:val="000C5E4C"/>
    <w:rsid w:val="000C5EEF"/>
    <w:rsid w:val="000C5F01"/>
    <w:rsid w:val="000C6027"/>
    <w:rsid w:val="000C608C"/>
    <w:rsid w:val="000C60C8"/>
    <w:rsid w:val="000C6161"/>
    <w:rsid w:val="000C61FC"/>
    <w:rsid w:val="000C62C7"/>
    <w:rsid w:val="000C62E1"/>
    <w:rsid w:val="000C6345"/>
    <w:rsid w:val="000C63E1"/>
    <w:rsid w:val="000C64B0"/>
    <w:rsid w:val="000C6686"/>
    <w:rsid w:val="000C675E"/>
    <w:rsid w:val="000C683D"/>
    <w:rsid w:val="000C683E"/>
    <w:rsid w:val="000C68DF"/>
    <w:rsid w:val="000C695C"/>
    <w:rsid w:val="000C696A"/>
    <w:rsid w:val="000C69F1"/>
    <w:rsid w:val="000C6A96"/>
    <w:rsid w:val="000C6B9B"/>
    <w:rsid w:val="000C6BF5"/>
    <w:rsid w:val="000C6C75"/>
    <w:rsid w:val="000C6CAA"/>
    <w:rsid w:val="000C6DB6"/>
    <w:rsid w:val="000C7043"/>
    <w:rsid w:val="000C7147"/>
    <w:rsid w:val="000C7246"/>
    <w:rsid w:val="000C72A1"/>
    <w:rsid w:val="000C72A5"/>
    <w:rsid w:val="000C72B2"/>
    <w:rsid w:val="000C7453"/>
    <w:rsid w:val="000C74A7"/>
    <w:rsid w:val="000C74DC"/>
    <w:rsid w:val="000C7548"/>
    <w:rsid w:val="000C7621"/>
    <w:rsid w:val="000C76F4"/>
    <w:rsid w:val="000C77AE"/>
    <w:rsid w:val="000C7839"/>
    <w:rsid w:val="000C78FD"/>
    <w:rsid w:val="000C79AC"/>
    <w:rsid w:val="000C7AB4"/>
    <w:rsid w:val="000C7B15"/>
    <w:rsid w:val="000C7C49"/>
    <w:rsid w:val="000C7C5C"/>
    <w:rsid w:val="000C7D8C"/>
    <w:rsid w:val="000C7DA4"/>
    <w:rsid w:val="000C7E00"/>
    <w:rsid w:val="000C7E30"/>
    <w:rsid w:val="000C7F29"/>
    <w:rsid w:val="000D0011"/>
    <w:rsid w:val="000D0023"/>
    <w:rsid w:val="000D0124"/>
    <w:rsid w:val="000D0238"/>
    <w:rsid w:val="000D0254"/>
    <w:rsid w:val="000D0269"/>
    <w:rsid w:val="000D035E"/>
    <w:rsid w:val="000D03E1"/>
    <w:rsid w:val="000D043D"/>
    <w:rsid w:val="000D045A"/>
    <w:rsid w:val="000D05CC"/>
    <w:rsid w:val="000D05EB"/>
    <w:rsid w:val="000D064F"/>
    <w:rsid w:val="000D0778"/>
    <w:rsid w:val="000D08B8"/>
    <w:rsid w:val="000D08EA"/>
    <w:rsid w:val="000D092D"/>
    <w:rsid w:val="000D09BF"/>
    <w:rsid w:val="000D0A13"/>
    <w:rsid w:val="000D0A37"/>
    <w:rsid w:val="000D0A77"/>
    <w:rsid w:val="000D0B49"/>
    <w:rsid w:val="000D0BC4"/>
    <w:rsid w:val="000D0BF3"/>
    <w:rsid w:val="000D0CB2"/>
    <w:rsid w:val="000D0D1F"/>
    <w:rsid w:val="000D0D27"/>
    <w:rsid w:val="000D0D2F"/>
    <w:rsid w:val="000D0DF6"/>
    <w:rsid w:val="000D0E45"/>
    <w:rsid w:val="000D0EF9"/>
    <w:rsid w:val="000D0F7A"/>
    <w:rsid w:val="000D0FEA"/>
    <w:rsid w:val="000D1068"/>
    <w:rsid w:val="000D1073"/>
    <w:rsid w:val="000D10FB"/>
    <w:rsid w:val="000D118C"/>
    <w:rsid w:val="000D11E8"/>
    <w:rsid w:val="000D11F0"/>
    <w:rsid w:val="000D12EB"/>
    <w:rsid w:val="000D13B7"/>
    <w:rsid w:val="000D13D7"/>
    <w:rsid w:val="000D14E5"/>
    <w:rsid w:val="000D1525"/>
    <w:rsid w:val="000D15F3"/>
    <w:rsid w:val="000D166E"/>
    <w:rsid w:val="000D1798"/>
    <w:rsid w:val="000D183A"/>
    <w:rsid w:val="000D18B0"/>
    <w:rsid w:val="000D18BA"/>
    <w:rsid w:val="000D1B17"/>
    <w:rsid w:val="000D1B70"/>
    <w:rsid w:val="000D1B83"/>
    <w:rsid w:val="000D1BD5"/>
    <w:rsid w:val="000D1C75"/>
    <w:rsid w:val="000D1CF0"/>
    <w:rsid w:val="000D1D3D"/>
    <w:rsid w:val="000D1D92"/>
    <w:rsid w:val="000D1E40"/>
    <w:rsid w:val="000D1E5C"/>
    <w:rsid w:val="000D1ECF"/>
    <w:rsid w:val="000D1F23"/>
    <w:rsid w:val="000D1F70"/>
    <w:rsid w:val="000D205F"/>
    <w:rsid w:val="000D207E"/>
    <w:rsid w:val="000D2092"/>
    <w:rsid w:val="000D20B5"/>
    <w:rsid w:val="000D20FE"/>
    <w:rsid w:val="000D212D"/>
    <w:rsid w:val="000D21BA"/>
    <w:rsid w:val="000D2320"/>
    <w:rsid w:val="000D232F"/>
    <w:rsid w:val="000D2334"/>
    <w:rsid w:val="000D23B1"/>
    <w:rsid w:val="000D23B8"/>
    <w:rsid w:val="000D23DD"/>
    <w:rsid w:val="000D267F"/>
    <w:rsid w:val="000D28B2"/>
    <w:rsid w:val="000D2967"/>
    <w:rsid w:val="000D296B"/>
    <w:rsid w:val="000D2A8A"/>
    <w:rsid w:val="000D2AAF"/>
    <w:rsid w:val="000D2ADE"/>
    <w:rsid w:val="000D2BAA"/>
    <w:rsid w:val="000D2CA3"/>
    <w:rsid w:val="000D2CAD"/>
    <w:rsid w:val="000D2CF0"/>
    <w:rsid w:val="000D2D3B"/>
    <w:rsid w:val="000D2D40"/>
    <w:rsid w:val="000D2D5C"/>
    <w:rsid w:val="000D2E00"/>
    <w:rsid w:val="000D2E2A"/>
    <w:rsid w:val="000D2E45"/>
    <w:rsid w:val="000D2EF9"/>
    <w:rsid w:val="000D3101"/>
    <w:rsid w:val="000D3130"/>
    <w:rsid w:val="000D316F"/>
    <w:rsid w:val="000D31FA"/>
    <w:rsid w:val="000D337B"/>
    <w:rsid w:val="000D33F1"/>
    <w:rsid w:val="000D3411"/>
    <w:rsid w:val="000D3440"/>
    <w:rsid w:val="000D3461"/>
    <w:rsid w:val="000D34CB"/>
    <w:rsid w:val="000D355E"/>
    <w:rsid w:val="000D361E"/>
    <w:rsid w:val="000D37EE"/>
    <w:rsid w:val="000D3894"/>
    <w:rsid w:val="000D3910"/>
    <w:rsid w:val="000D398B"/>
    <w:rsid w:val="000D3A3F"/>
    <w:rsid w:val="000D3A5F"/>
    <w:rsid w:val="000D3A8E"/>
    <w:rsid w:val="000D3B37"/>
    <w:rsid w:val="000D3B4E"/>
    <w:rsid w:val="000D3F49"/>
    <w:rsid w:val="000D410A"/>
    <w:rsid w:val="000D4155"/>
    <w:rsid w:val="000D4157"/>
    <w:rsid w:val="000D41A3"/>
    <w:rsid w:val="000D4202"/>
    <w:rsid w:val="000D420E"/>
    <w:rsid w:val="000D4336"/>
    <w:rsid w:val="000D4369"/>
    <w:rsid w:val="000D4380"/>
    <w:rsid w:val="000D456B"/>
    <w:rsid w:val="000D4635"/>
    <w:rsid w:val="000D4684"/>
    <w:rsid w:val="000D46DA"/>
    <w:rsid w:val="000D4715"/>
    <w:rsid w:val="000D481D"/>
    <w:rsid w:val="000D483C"/>
    <w:rsid w:val="000D484F"/>
    <w:rsid w:val="000D48E6"/>
    <w:rsid w:val="000D499E"/>
    <w:rsid w:val="000D4A2B"/>
    <w:rsid w:val="000D4A93"/>
    <w:rsid w:val="000D4B34"/>
    <w:rsid w:val="000D4BC9"/>
    <w:rsid w:val="000D4CC8"/>
    <w:rsid w:val="000D4CF3"/>
    <w:rsid w:val="000D4DD0"/>
    <w:rsid w:val="000D4DF8"/>
    <w:rsid w:val="000D4E02"/>
    <w:rsid w:val="000D4E54"/>
    <w:rsid w:val="000D4E5F"/>
    <w:rsid w:val="000D4F45"/>
    <w:rsid w:val="000D4F4D"/>
    <w:rsid w:val="000D4FB0"/>
    <w:rsid w:val="000D502A"/>
    <w:rsid w:val="000D508C"/>
    <w:rsid w:val="000D50A4"/>
    <w:rsid w:val="000D5183"/>
    <w:rsid w:val="000D51C6"/>
    <w:rsid w:val="000D52E9"/>
    <w:rsid w:val="000D52ED"/>
    <w:rsid w:val="000D5381"/>
    <w:rsid w:val="000D53E0"/>
    <w:rsid w:val="000D54DB"/>
    <w:rsid w:val="000D552D"/>
    <w:rsid w:val="000D5569"/>
    <w:rsid w:val="000D559E"/>
    <w:rsid w:val="000D5656"/>
    <w:rsid w:val="000D565A"/>
    <w:rsid w:val="000D566F"/>
    <w:rsid w:val="000D56A4"/>
    <w:rsid w:val="000D5729"/>
    <w:rsid w:val="000D5827"/>
    <w:rsid w:val="000D58E0"/>
    <w:rsid w:val="000D592C"/>
    <w:rsid w:val="000D5A79"/>
    <w:rsid w:val="000D5A93"/>
    <w:rsid w:val="000D5C69"/>
    <w:rsid w:val="000D5DAC"/>
    <w:rsid w:val="000D5DC1"/>
    <w:rsid w:val="000D5E27"/>
    <w:rsid w:val="000D5EE8"/>
    <w:rsid w:val="000D5F63"/>
    <w:rsid w:val="000D6054"/>
    <w:rsid w:val="000D6113"/>
    <w:rsid w:val="000D6130"/>
    <w:rsid w:val="000D618A"/>
    <w:rsid w:val="000D6244"/>
    <w:rsid w:val="000D6399"/>
    <w:rsid w:val="000D6500"/>
    <w:rsid w:val="000D651A"/>
    <w:rsid w:val="000D6543"/>
    <w:rsid w:val="000D65ED"/>
    <w:rsid w:val="000D6699"/>
    <w:rsid w:val="000D66B3"/>
    <w:rsid w:val="000D6768"/>
    <w:rsid w:val="000D67DC"/>
    <w:rsid w:val="000D6875"/>
    <w:rsid w:val="000D688A"/>
    <w:rsid w:val="000D68B2"/>
    <w:rsid w:val="000D6914"/>
    <w:rsid w:val="000D6A4D"/>
    <w:rsid w:val="000D6AEE"/>
    <w:rsid w:val="000D6B38"/>
    <w:rsid w:val="000D6B6B"/>
    <w:rsid w:val="000D6CF9"/>
    <w:rsid w:val="000D6CFE"/>
    <w:rsid w:val="000D6D31"/>
    <w:rsid w:val="000D6D32"/>
    <w:rsid w:val="000D6D6B"/>
    <w:rsid w:val="000D6F87"/>
    <w:rsid w:val="000D6FE3"/>
    <w:rsid w:val="000D71CD"/>
    <w:rsid w:val="000D71DD"/>
    <w:rsid w:val="000D7206"/>
    <w:rsid w:val="000D7286"/>
    <w:rsid w:val="000D72BB"/>
    <w:rsid w:val="000D72FE"/>
    <w:rsid w:val="000D731A"/>
    <w:rsid w:val="000D73C2"/>
    <w:rsid w:val="000D7435"/>
    <w:rsid w:val="000D752A"/>
    <w:rsid w:val="000D75FD"/>
    <w:rsid w:val="000D76B9"/>
    <w:rsid w:val="000D76BB"/>
    <w:rsid w:val="000D76EF"/>
    <w:rsid w:val="000D7717"/>
    <w:rsid w:val="000D7779"/>
    <w:rsid w:val="000D77C9"/>
    <w:rsid w:val="000D7805"/>
    <w:rsid w:val="000D792B"/>
    <w:rsid w:val="000D79C2"/>
    <w:rsid w:val="000D7A22"/>
    <w:rsid w:val="000D7C16"/>
    <w:rsid w:val="000D7CB6"/>
    <w:rsid w:val="000D7D2E"/>
    <w:rsid w:val="000D7DC7"/>
    <w:rsid w:val="000D7E93"/>
    <w:rsid w:val="000D7F29"/>
    <w:rsid w:val="000D7FC3"/>
    <w:rsid w:val="000E006C"/>
    <w:rsid w:val="000E00BD"/>
    <w:rsid w:val="000E00F1"/>
    <w:rsid w:val="000E0104"/>
    <w:rsid w:val="000E017F"/>
    <w:rsid w:val="000E01D9"/>
    <w:rsid w:val="000E01FB"/>
    <w:rsid w:val="000E02B6"/>
    <w:rsid w:val="000E03FC"/>
    <w:rsid w:val="000E0434"/>
    <w:rsid w:val="000E0471"/>
    <w:rsid w:val="000E047B"/>
    <w:rsid w:val="000E0544"/>
    <w:rsid w:val="000E0576"/>
    <w:rsid w:val="000E05F2"/>
    <w:rsid w:val="000E0647"/>
    <w:rsid w:val="000E0650"/>
    <w:rsid w:val="000E098F"/>
    <w:rsid w:val="000E09A0"/>
    <w:rsid w:val="000E0A79"/>
    <w:rsid w:val="000E0BC0"/>
    <w:rsid w:val="000E0BEA"/>
    <w:rsid w:val="000E0BFF"/>
    <w:rsid w:val="000E0D99"/>
    <w:rsid w:val="000E0D9D"/>
    <w:rsid w:val="000E0EAC"/>
    <w:rsid w:val="000E0EF1"/>
    <w:rsid w:val="000E0F41"/>
    <w:rsid w:val="000E10CF"/>
    <w:rsid w:val="000E112B"/>
    <w:rsid w:val="000E1149"/>
    <w:rsid w:val="000E1192"/>
    <w:rsid w:val="000E1214"/>
    <w:rsid w:val="000E13E8"/>
    <w:rsid w:val="000E1442"/>
    <w:rsid w:val="000E1459"/>
    <w:rsid w:val="000E14B4"/>
    <w:rsid w:val="000E1503"/>
    <w:rsid w:val="000E1586"/>
    <w:rsid w:val="000E15CC"/>
    <w:rsid w:val="000E15DE"/>
    <w:rsid w:val="000E15E7"/>
    <w:rsid w:val="000E15E8"/>
    <w:rsid w:val="000E167C"/>
    <w:rsid w:val="000E1712"/>
    <w:rsid w:val="000E1791"/>
    <w:rsid w:val="000E17CF"/>
    <w:rsid w:val="000E19B7"/>
    <w:rsid w:val="000E1BC9"/>
    <w:rsid w:val="000E1C30"/>
    <w:rsid w:val="000E1C49"/>
    <w:rsid w:val="000E1CA6"/>
    <w:rsid w:val="000E1CDD"/>
    <w:rsid w:val="000E1CE1"/>
    <w:rsid w:val="000E1D8C"/>
    <w:rsid w:val="000E1E3B"/>
    <w:rsid w:val="000E1E79"/>
    <w:rsid w:val="000E1ED7"/>
    <w:rsid w:val="000E1EF2"/>
    <w:rsid w:val="000E1F92"/>
    <w:rsid w:val="000E2003"/>
    <w:rsid w:val="000E202D"/>
    <w:rsid w:val="000E2057"/>
    <w:rsid w:val="000E2108"/>
    <w:rsid w:val="000E211C"/>
    <w:rsid w:val="000E2139"/>
    <w:rsid w:val="000E2192"/>
    <w:rsid w:val="000E21FE"/>
    <w:rsid w:val="000E2216"/>
    <w:rsid w:val="000E22B0"/>
    <w:rsid w:val="000E2445"/>
    <w:rsid w:val="000E245B"/>
    <w:rsid w:val="000E2519"/>
    <w:rsid w:val="000E258A"/>
    <w:rsid w:val="000E2632"/>
    <w:rsid w:val="000E27DB"/>
    <w:rsid w:val="000E2898"/>
    <w:rsid w:val="000E2A49"/>
    <w:rsid w:val="000E2A87"/>
    <w:rsid w:val="000E2A8D"/>
    <w:rsid w:val="000E2ADF"/>
    <w:rsid w:val="000E2B47"/>
    <w:rsid w:val="000E2B70"/>
    <w:rsid w:val="000E2CAB"/>
    <w:rsid w:val="000E2D42"/>
    <w:rsid w:val="000E2DDC"/>
    <w:rsid w:val="000E2E37"/>
    <w:rsid w:val="000E2EBA"/>
    <w:rsid w:val="000E2F76"/>
    <w:rsid w:val="000E2F9D"/>
    <w:rsid w:val="000E2FBD"/>
    <w:rsid w:val="000E2FD4"/>
    <w:rsid w:val="000E3224"/>
    <w:rsid w:val="000E32E2"/>
    <w:rsid w:val="000E33F5"/>
    <w:rsid w:val="000E347D"/>
    <w:rsid w:val="000E3568"/>
    <w:rsid w:val="000E3659"/>
    <w:rsid w:val="000E37C4"/>
    <w:rsid w:val="000E3838"/>
    <w:rsid w:val="000E384F"/>
    <w:rsid w:val="000E389D"/>
    <w:rsid w:val="000E3926"/>
    <w:rsid w:val="000E3B2A"/>
    <w:rsid w:val="000E3B83"/>
    <w:rsid w:val="000E3BC2"/>
    <w:rsid w:val="000E3CCA"/>
    <w:rsid w:val="000E3CEA"/>
    <w:rsid w:val="000E3DF6"/>
    <w:rsid w:val="000E3E68"/>
    <w:rsid w:val="000E3E7A"/>
    <w:rsid w:val="000E3EB5"/>
    <w:rsid w:val="000E3EBC"/>
    <w:rsid w:val="000E3F92"/>
    <w:rsid w:val="000E3FA5"/>
    <w:rsid w:val="000E410D"/>
    <w:rsid w:val="000E4148"/>
    <w:rsid w:val="000E4183"/>
    <w:rsid w:val="000E4200"/>
    <w:rsid w:val="000E4238"/>
    <w:rsid w:val="000E423D"/>
    <w:rsid w:val="000E4279"/>
    <w:rsid w:val="000E42B7"/>
    <w:rsid w:val="000E42C2"/>
    <w:rsid w:val="000E42E1"/>
    <w:rsid w:val="000E435D"/>
    <w:rsid w:val="000E43E5"/>
    <w:rsid w:val="000E44D3"/>
    <w:rsid w:val="000E4597"/>
    <w:rsid w:val="000E45D1"/>
    <w:rsid w:val="000E45FA"/>
    <w:rsid w:val="000E4660"/>
    <w:rsid w:val="000E4666"/>
    <w:rsid w:val="000E4719"/>
    <w:rsid w:val="000E47B4"/>
    <w:rsid w:val="000E4839"/>
    <w:rsid w:val="000E48EA"/>
    <w:rsid w:val="000E48F6"/>
    <w:rsid w:val="000E4935"/>
    <w:rsid w:val="000E497C"/>
    <w:rsid w:val="000E4988"/>
    <w:rsid w:val="000E4A01"/>
    <w:rsid w:val="000E4A8E"/>
    <w:rsid w:val="000E4BAC"/>
    <w:rsid w:val="000E4BC3"/>
    <w:rsid w:val="000E4BC5"/>
    <w:rsid w:val="000E4BEE"/>
    <w:rsid w:val="000E4C83"/>
    <w:rsid w:val="000E4D1C"/>
    <w:rsid w:val="000E4DC6"/>
    <w:rsid w:val="000E4E23"/>
    <w:rsid w:val="000E4E80"/>
    <w:rsid w:val="000E4E87"/>
    <w:rsid w:val="000E4F4D"/>
    <w:rsid w:val="000E4F6A"/>
    <w:rsid w:val="000E502B"/>
    <w:rsid w:val="000E50DC"/>
    <w:rsid w:val="000E5136"/>
    <w:rsid w:val="000E51DE"/>
    <w:rsid w:val="000E5226"/>
    <w:rsid w:val="000E5265"/>
    <w:rsid w:val="000E5285"/>
    <w:rsid w:val="000E5340"/>
    <w:rsid w:val="000E5419"/>
    <w:rsid w:val="000E543A"/>
    <w:rsid w:val="000E5520"/>
    <w:rsid w:val="000E5530"/>
    <w:rsid w:val="000E5611"/>
    <w:rsid w:val="000E5699"/>
    <w:rsid w:val="000E5752"/>
    <w:rsid w:val="000E57F3"/>
    <w:rsid w:val="000E58A8"/>
    <w:rsid w:val="000E596B"/>
    <w:rsid w:val="000E59A3"/>
    <w:rsid w:val="000E5AC8"/>
    <w:rsid w:val="000E5ACF"/>
    <w:rsid w:val="000E5B6E"/>
    <w:rsid w:val="000E5BB5"/>
    <w:rsid w:val="000E5C74"/>
    <w:rsid w:val="000E5CD2"/>
    <w:rsid w:val="000E5CE3"/>
    <w:rsid w:val="000E5D0F"/>
    <w:rsid w:val="000E5E19"/>
    <w:rsid w:val="000E5ECF"/>
    <w:rsid w:val="000E5EF5"/>
    <w:rsid w:val="000E5EF8"/>
    <w:rsid w:val="000E5F08"/>
    <w:rsid w:val="000E5F88"/>
    <w:rsid w:val="000E5FBF"/>
    <w:rsid w:val="000E6044"/>
    <w:rsid w:val="000E612C"/>
    <w:rsid w:val="000E614B"/>
    <w:rsid w:val="000E61B4"/>
    <w:rsid w:val="000E637D"/>
    <w:rsid w:val="000E6390"/>
    <w:rsid w:val="000E63A3"/>
    <w:rsid w:val="000E649B"/>
    <w:rsid w:val="000E65DF"/>
    <w:rsid w:val="000E65F1"/>
    <w:rsid w:val="000E66DB"/>
    <w:rsid w:val="000E683E"/>
    <w:rsid w:val="000E6902"/>
    <w:rsid w:val="000E69E2"/>
    <w:rsid w:val="000E6B4A"/>
    <w:rsid w:val="000E6B8D"/>
    <w:rsid w:val="000E6B9A"/>
    <w:rsid w:val="000E6BB7"/>
    <w:rsid w:val="000E6BF3"/>
    <w:rsid w:val="000E6C00"/>
    <w:rsid w:val="000E6EFC"/>
    <w:rsid w:val="000E7114"/>
    <w:rsid w:val="000E7156"/>
    <w:rsid w:val="000E7167"/>
    <w:rsid w:val="000E722E"/>
    <w:rsid w:val="000E72BC"/>
    <w:rsid w:val="000E73CE"/>
    <w:rsid w:val="000E73F8"/>
    <w:rsid w:val="000E73FB"/>
    <w:rsid w:val="000E745C"/>
    <w:rsid w:val="000E7493"/>
    <w:rsid w:val="000E7527"/>
    <w:rsid w:val="000E75C0"/>
    <w:rsid w:val="000E7612"/>
    <w:rsid w:val="000E770C"/>
    <w:rsid w:val="000E77F9"/>
    <w:rsid w:val="000E780C"/>
    <w:rsid w:val="000E787E"/>
    <w:rsid w:val="000E7937"/>
    <w:rsid w:val="000E79C9"/>
    <w:rsid w:val="000E7A14"/>
    <w:rsid w:val="000E7AA6"/>
    <w:rsid w:val="000E7BA6"/>
    <w:rsid w:val="000E7BCB"/>
    <w:rsid w:val="000E7BF5"/>
    <w:rsid w:val="000E7C8B"/>
    <w:rsid w:val="000E7CED"/>
    <w:rsid w:val="000E7CF2"/>
    <w:rsid w:val="000E7DA9"/>
    <w:rsid w:val="000E7FDD"/>
    <w:rsid w:val="000F0002"/>
    <w:rsid w:val="000F0039"/>
    <w:rsid w:val="000F00E1"/>
    <w:rsid w:val="000F01BA"/>
    <w:rsid w:val="000F023E"/>
    <w:rsid w:val="000F0245"/>
    <w:rsid w:val="000F05AE"/>
    <w:rsid w:val="000F05E0"/>
    <w:rsid w:val="000F0675"/>
    <w:rsid w:val="000F067C"/>
    <w:rsid w:val="000F0707"/>
    <w:rsid w:val="000F072C"/>
    <w:rsid w:val="000F07DC"/>
    <w:rsid w:val="000F083B"/>
    <w:rsid w:val="000F08CC"/>
    <w:rsid w:val="000F096B"/>
    <w:rsid w:val="000F09B4"/>
    <w:rsid w:val="000F09D9"/>
    <w:rsid w:val="000F0A3E"/>
    <w:rsid w:val="000F0AEF"/>
    <w:rsid w:val="000F0C49"/>
    <w:rsid w:val="000F0C98"/>
    <w:rsid w:val="000F0CB2"/>
    <w:rsid w:val="000F0CFB"/>
    <w:rsid w:val="000F0D0F"/>
    <w:rsid w:val="000F0DEA"/>
    <w:rsid w:val="000F0E54"/>
    <w:rsid w:val="000F0EB3"/>
    <w:rsid w:val="000F0FCA"/>
    <w:rsid w:val="000F0FD1"/>
    <w:rsid w:val="000F1015"/>
    <w:rsid w:val="000F104D"/>
    <w:rsid w:val="000F111D"/>
    <w:rsid w:val="000F132F"/>
    <w:rsid w:val="000F1377"/>
    <w:rsid w:val="000F138F"/>
    <w:rsid w:val="000F143D"/>
    <w:rsid w:val="000F1442"/>
    <w:rsid w:val="000F1526"/>
    <w:rsid w:val="000F152C"/>
    <w:rsid w:val="000F1554"/>
    <w:rsid w:val="000F1583"/>
    <w:rsid w:val="000F15A4"/>
    <w:rsid w:val="000F15A8"/>
    <w:rsid w:val="000F15B9"/>
    <w:rsid w:val="000F16C3"/>
    <w:rsid w:val="000F16DE"/>
    <w:rsid w:val="000F16EB"/>
    <w:rsid w:val="000F174C"/>
    <w:rsid w:val="000F17F9"/>
    <w:rsid w:val="000F1822"/>
    <w:rsid w:val="000F18CF"/>
    <w:rsid w:val="000F1969"/>
    <w:rsid w:val="000F1A36"/>
    <w:rsid w:val="000F1A3D"/>
    <w:rsid w:val="000F1A4C"/>
    <w:rsid w:val="000F1AB0"/>
    <w:rsid w:val="000F1BAE"/>
    <w:rsid w:val="000F1CA7"/>
    <w:rsid w:val="000F1E27"/>
    <w:rsid w:val="000F1E32"/>
    <w:rsid w:val="000F1FAA"/>
    <w:rsid w:val="000F1FC6"/>
    <w:rsid w:val="000F1FDA"/>
    <w:rsid w:val="000F201D"/>
    <w:rsid w:val="000F2156"/>
    <w:rsid w:val="000F218B"/>
    <w:rsid w:val="000F21CE"/>
    <w:rsid w:val="000F2201"/>
    <w:rsid w:val="000F2254"/>
    <w:rsid w:val="000F2329"/>
    <w:rsid w:val="000F2703"/>
    <w:rsid w:val="000F2794"/>
    <w:rsid w:val="000F27CD"/>
    <w:rsid w:val="000F2881"/>
    <w:rsid w:val="000F28F3"/>
    <w:rsid w:val="000F2915"/>
    <w:rsid w:val="000F29B2"/>
    <w:rsid w:val="000F2A02"/>
    <w:rsid w:val="000F2A25"/>
    <w:rsid w:val="000F2C48"/>
    <w:rsid w:val="000F2CC7"/>
    <w:rsid w:val="000F2D5A"/>
    <w:rsid w:val="000F2DDE"/>
    <w:rsid w:val="000F2DFF"/>
    <w:rsid w:val="000F2E94"/>
    <w:rsid w:val="000F2EC7"/>
    <w:rsid w:val="000F2EE9"/>
    <w:rsid w:val="000F2F67"/>
    <w:rsid w:val="000F2FB1"/>
    <w:rsid w:val="000F2FE2"/>
    <w:rsid w:val="000F314F"/>
    <w:rsid w:val="000F32B5"/>
    <w:rsid w:val="000F33A8"/>
    <w:rsid w:val="000F341B"/>
    <w:rsid w:val="000F358B"/>
    <w:rsid w:val="000F3612"/>
    <w:rsid w:val="000F3624"/>
    <w:rsid w:val="000F3686"/>
    <w:rsid w:val="000F36F1"/>
    <w:rsid w:val="000F36FA"/>
    <w:rsid w:val="000F3789"/>
    <w:rsid w:val="000F37BE"/>
    <w:rsid w:val="000F386F"/>
    <w:rsid w:val="000F38B1"/>
    <w:rsid w:val="000F38BD"/>
    <w:rsid w:val="000F38DF"/>
    <w:rsid w:val="000F3964"/>
    <w:rsid w:val="000F39D7"/>
    <w:rsid w:val="000F3AE3"/>
    <w:rsid w:val="000F3B02"/>
    <w:rsid w:val="000F3C18"/>
    <w:rsid w:val="000F3C7B"/>
    <w:rsid w:val="000F3C7D"/>
    <w:rsid w:val="000F3CCC"/>
    <w:rsid w:val="000F3D00"/>
    <w:rsid w:val="000F3DEB"/>
    <w:rsid w:val="000F3E3E"/>
    <w:rsid w:val="000F3E3F"/>
    <w:rsid w:val="000F3E54"/>
    <w:rsid w:val="000F3E8B"/>
    <w:rsid w:val="000F3EE2"/>
    <w:rsid w:val="000F3F80"/>
    <w:rsid w:val="000F3F9A"/>
    <w:rsid w:val="000F3FCE"/>
    <w:rsid w:val="000F403E"/>
    <w:rsid w:val="000F40E8"/>
    <w:rsid w:val="000F4127"/>
    <w:rsid w:val="000F420C"/>
    <w:rsid w:val="000F4252"/>
    <w:rsid w:val="000F4258"/>
    <w:rsid w:val="000F42E6"/>
    <w:rsid w:val="000F430F"/>
    <w:rsid w:val="000F43D3"/>
    <w:rsid w:val="000F4444"/>
    <w:rsid w:val="000F44A7"/>
    <w:rsid w:val="000F45AD"/>
    <w:rsid w:val="000F45E6"/>
    <w:rsid w:val="000F463B"/>
    <w:rsid w:val="000F46EF"/>
    <w:rsid w:val="000F477A"/>
    <w:rsid w:val="000F480D"/>
    <w:rsid w:val="000F4813"/>
    <w:rsid w:val="000F4841"/>
    <w:rsid w:val="000F484F"/>
    <w:rsid w:val="000F48E6"/>
    <w:rsid w:val="000F4924"/>
    <w:rsid w:val="000F49C6"/>
    <w:rsid w:val="000F49DE"/>
    <w:rsid w:val="000F4A21"/>
    <w:rsid w:val="000F4A90"/>
    <w:rsid w:val="000F4BB1"/>
    <w:rsid w:val="000F4C98"/>
    <w:rsid w:val="000F4D11"/>
    <w:rsid w:val="000F4EF0"/>
    <w:rsid w:val="000F4F1E"/>
    <w:rsid w:val="000F4F7C"/>
    <w:rsid w:val="000F510A"/>
    <w:rsid w:val="000F5110"/>
    <w:rsid w:val="000F522F"/>
    <w:rsid w:val="000F5338"/>
    <w:rsid w:val="000F5361"/>
    <w:rsid w:val="000F5376"/>
    <w:rsid w:val="000F53EB"/>
    <w:rsid w:val="000F55A3"/>
    <w:rsid w:val="000F5600"/>
    <w:rsid w:val="000F5626"/>
    <w:rsid w:val="000F56B2"/>
    <w:rsid w:val="000F5721"/>
    <w:rsid w:val="000F5783"/>
    <w:rsid w:val="000F5789"/>
    <w:rsid w:val="000F5860"/>
    <w:rsid w:val="000F5887"/>
    <w:rsid w:val="000F5B16"/>
    <w:rsid w:val="000F5B3D"/>
    <w:rsid w:val="000F5BB8"/>
    <w:rsid w:val="000F5BE2"/>
    <w:rsid w:val="000F5C35"/>
    <w:rsid w:val="000F5CE0"/>
    <w:rsid w:val="000F5DE1"/>
    <w:rsid w:val="000F5F5D"/>
    <w:rsid w:val="000F5FB6"/>
    <w:rsid w:val="000F5FFF"/>
    <w:rsid w:val="000F6038"/>
    <w:rsid w:val="000F60A3"/>
    <w:rsid w:val="000F6104"/>
    <w:rsid w:val="000F619E"/>
    <w:rsid w:val="000F622D"/>
    <w:rsid w:val="000F6279"/>
    <w:rsid w:val="000F6286"/>
    <w:rsid w:val="000F6291"/>
    <w:rsid w:val="000F6316"/>
    <w:rsid w:val="000F637E"/>
    <w:rsid w:val="000F6397"/>
    <w:rsid w:val="000F64AA"/>
    <w:rsid w:val="000F64CE"/>
    <w:rsid w:val="000F653F"/>
    <w:rsid w:val="000F65BE"/>
    <w:rsid w:val="000F679C"/>
    <w:rsid w:val="000F67A5"/>
    <w:rsid w:val="000F680C"/>
    <w:rsid w:val="000F683E"/>
    <w:rsid w:val="000F689A"/>
    <w:rsid w:val="000F6932"/>
    <w:rsid w:val="000F6951"/>
    <w:rsid w:val="000F697B"/>
    <w:rsid w:val="000F697F"/>
    <w:rsid w:val="000F6B8F"/>
    <w:rsid w:val="000F6B9E"/>
    <w:rsid w:val="000F6C08"/>
    <w:rsid w:val="000F6C28"/>
    <w:rsid w:val="000F6C8E"/>
    <w:rsid w:val="000F6D1B"/>
    <w:rsid w:val="000F6D43"/>
    <w:rsid w:val="000F6DBC"/>
    <w:rsid w:val="000F6DCD"/>
    <w:rsid w:val="000F6E66"/>
    <w:rsid w:val="000F6ED3"/>
    <w:rsid w:val="000F6F76"/>
    <w:rsid w:val="000F6FB8"/>
    <w:rsid w:val="000F7012"/>
    <w:rsid w:val="000F7076"/>
    <w:rsid w:val="000F711C"/>
    <w:rsid w:val="000F7142"/>
    <w:rsid w:val="000F71CB"/>
    <w:rsid w:val="000F72E2"/>
    <w:rsid w:val="000F738A"/>
    <w:rsid w:val="000F73D7"/>
    <w:rsid w:val="000F74BB"/>
    <w:rsid w:val="000F75E5"/>
    <w:rsid w:val="000F7635"/>
    <w:rsid w:val="000F765E"/>
    <w:rsid w:val="000F771C"/>
    <w:rsid w:val="000F7742"/>
    <w:rsid w:val="000F7756"/>
    <w:rsid w:val="000F7812"/>
    <w:rsid w:val="000F78F4"/>
    <w:rsid w:val="000F799D"/>
    <w:rsid w:val="000F7A2D"/>
    <w:rsid w:val="000F7AE8"/>
    <w:rsid w:val="000F7B0F"/>
    <w:rsid w:val="000F7B11"/>
    <w:rsid w:val="000F7B21"/>
    <w:rsid w:val="000F7B67"/>
    <w:rsid w:val="000F7BAD"/>
    <w:rsid w:val="000F7C95"/>
    <w:rsid w:val="000F7CED"/>
    <w:rsid w:val="000F7CEF"/>
    <w:rsid w:val="000F7DED"/>
    <w:rsid w:val="000F7E3C"/>
    <w:rsid w:val="000F7ED3"/>
    <w:rsid w:val="000F7F05"/>
    <w:rsid w:val="000F7F7A"/>
    <w:rsid w:val="00100113"/>
    <w:rsid w:val="00100163"/>
    <w:rsid w:val="0010016A"/>
    <w:rsid w:val="001002B5"/>
    <w:rsid w:val="00100302"/>
    <w:rsid w:val="00100318"/>
    <w:rsid w:val="00100352"/>
    <w:rsid w:val="0010035F"/>
    <w:rsid w:val="001003F5"/>
    <w:rsid w:val="00100415"/>
    <w:rsid w:val="0010046E"/>
    <w:rsid w:val="0010057A"/>
    <w:rsid w:val="001005ED"/>
    <w:rsid w:val="00100699"/>
    <w:rsid w:val="0010069C"/>
    <w:rsid w:val="001006A0"/>
    <w:rsid w:val="001006B7"/>
    <w:rsid w:val="001006FE"/>
    <w:rsid w:val="0010079C"/>
    <w:rsid w:val="001007C5"/>
    <w:rsid w:val="00100825"/>
    <w:rsid w:val="0010089A"/>
    <w:rsid w:val="001008D4"/>
    <w:rsid w:val="001008D9"/>
    <w:rsid w:val="001009DB"/>
    <w:rsid w:val="00100A0E"/>
    <w:rsid w:val="00100DD0"/>
    <w:rsid w:val="00100DDB"/>
    <w:rsid w:val="00100E52"/>
    <w:rsid w:val="00100EBE"/>
    <w:rsid w:val="00100F01"/>
    <w:rsid w:val="00100F15"/>
    <w:rsid w:val="00100FBC"/>
    <w:rsid w:val="00101009"/>
    <w:rsid w:val="001010DD"/>
    <w:rsid w:val="001011AC"/>
    <w:rsid w:val="0010120B"/>
    <w:rsid w:val="0010136E"/>
    <w:rsid w:val="0010142E"/>
    <w:rsid w:val="0010144B"/>
    <w:rsid w:val="001014A6"/>
    <w:rsid w:val="0010153B"/>
    <w:rsid w:val="00101593"/>
    <w:rsid w:val="001017DD"/>
    <w:rsid w:val="00101818"/>
    <w:rsid w:val="00101853"/>
    <w:rsid w:val="00101981"/>
    <w:rsid w:val="00101A89"/>
    <w:rsid w:val="00101AE4"/>
    <w:rsid w:val="00101B79"/>
    <w:rsid w:val="00101BAA"/>
    <w:rsid w:val="00101C84"/>
    <w:rsid w:val="00101CEE"/>
    <w:rsid w:val="00101D51"/>
    <w:rsid w:val="00101D70"/>
    <w:rsid w:val="00101F6B"/>
    <w:rsid w:val="00102000"/>
    <w:rsid w:val="00102082"/>
    <w:rsid w:val="001020EC"/>
    <w:rsid w:val="00102186"/>
    <w:rsid w:val="00102201"/>
    <w:rsid w:val="001022AB"/>
    <w:rsid w:val="001022CA"/>
    <w:rsid w:val="001022D7"/>
    <w:rsid w:val="00102309"/>
    <w:rsid w:val="001024DC"/>
    <w:rsid w:val="00102563"/>
    <w:rsid w:val="001026EB"/>
    <w:rsid w:val="0010274A"/>
    <w:rsid w:val="001027D4"/>
    <w:rsid w:val="00102895"/>
    <w:rsid w:val="001029D5"/>
    <w:rsid w:val="00102A0A"/>
    <w:rsid w:val="00102AB9"/>
    <w:rsid w:val="00102BAB"/>
    <w:rsid w:val="00102C54"/>
    <w:rsid w:val="00102CA6"/>
    <w:rsid w:val="00102DD7"/>
    <w:rsid w:val="00102E81"/>
    <w:rsid w:val="00102EA2"/>
    <w:rsid w:val="00102F11"/>
    <w:rsid w:val="00102F3D"/>
    <w:rsid w:val="00102F81"/>
    <w:rsid w:val="00103112"/>
    <w:rsid w:val="0010312F"/>
    <w:rsid w:val="00103271"/>
    <w:rsid w:val="001032BD"/>
    <w:rsid w:val="001032FD"/>
    <w:rsid w:val="00103399"/>
    <w:rsid w:val="00103517"/>
    <w:rsid w:val="0010352F"/>
    <w:rsid w:val="0010356B"/>
    <w:rsid w:val="001035AE"/>
    <w:rsid w:val="00103618"/>
    <w:rsid w:val="001036B9"/>
    <w:rsid w:val="00103730"/>
    <w:rsid w:val="0010391F"/>
    <w:rsid w:val="00103AC7"/>
    <w:rsid w:val="00103BA7"/>
    <w:rsid w:val="00103D36"/>
    <w:rsid w:val="00103E42"/>
    <w:rsid w:val="00103E93"/>
    <w:rsid w:val="00103EC4"/>
    <w:rsid w:val="00103F67"/>
    <w:rsid w:val="00103FF8"/>
    <w:rsid w:val="00104077"/>
    <w:rsid w:val="00104150"/>
    <w:rsid w:val="0010417F"/>
    <w:rsid w:val="00104188"/>
    <w:rsid w:val="001042C7"/>
    <w:rsid w:val="00104372"/>
    <w:rsid w:val="001043F7"/>
    <w:rsid w:val="0010440F"/>
    <w:rsid w:val="001044D6"/>
    <w:rsid w:val="0010454C"/>
    <w:rsid w:val="001045B3"/>
    <w:rsid w:val="00104692"/>
    <w:rsid w:val="0010469E"/>
    <w:rsid w:val="001046D9"/>
    <w:rsid w:val="001046FF"/>
    <w:rsid w:val="00104972"/>
    <w:rsid w:val="001049FE"/>
    <w:rsid w:val="00104B62"/>
    <w:rsid w:val="00104CA8"/>
    <w:rsid w:val="00104CBC"/>
    <w:rsid w:val="00104CE5"/>
    <w:rsid w:val="00104D83"/>
    <w:rsid w:val="00104F4B"/>
    <w:rsid w:val="00104FF2"/>
    <w:rsid w:val="00105214"/>
    <w:rsid w:val="00105287"/>
    <w:rsid w:val="00105294"/>
    <w:rsid w:val="001053E7"/>
    <w:rsid w:val="001053EC"/>
    <w:rsid w:val="00105460"/>
    <w:rsid w:val="0010551B"/>
    <w:rsid w:val="0010554F"/>
    <w:rsid w:val="0010563C"/>
    <w:rsid w:val="00105654"/>
    <w:rsid w:val="00105693"/>
    <w:rsid w:val="00105781"/>
    <w:rsid w:val="00105799"/>
    <w:rsid w:val="0010579C"/>
    <w:rsid w:val="00105867"/>
    <w:rsid w:val="001058CB"/>
    <w:rsid w:val="001058D5"/>
    <w:rsid w:val="001058DE"/>
    <w:rsid w:val="0010590F"/>
    <w:rsid w:val="00105A41"/>
    <w:rsid w:val="00105C1B"/>
    <w:rsid w:val="00105C1D"/>
    <w:rsid w:val="00105CC2"/>
    <w:rsid w:val="00105CE6"/>
    <w:rsid w:val="00105D7D"/>
    <w:rsid w:val="00105E0C"/>
    <w:rsid w:val="00105EDE"/>
    <w:rsid w:val="00105F19"/>
    <w:rsid w:val="00105F75"/>
    <w:rsid w:val="0010600E"/>
    <w:rsid w:val="0010619C"/>
    <w:rsid w:val="001061F8"/>
    <w:rsid w:val="0010634F"/>
    <w:rsid w:val="00106358"/>
    <w:rsid w:val="001063D2"/>
    <w:rsid w:val="001063ED"/>
    <w:rsid w:val="0010646D"/>
    <w:rsid w:val="00106488"/>
    <w:rsid w:val="001064F0"/>
    <w:rsid w:val="0010654E"/>
    <w:rsid w:val="0010659C"/>
    <w:rsid w:val="0010666D"/>
    <w:rsid w:val="001066A7"/>
    <w:rsid w:val="001066B8"/>
    <w:rsid w:val="00106AAB"/>
    <w:rsid w:val="00106B47"/>
    <w:rsid w:val="00106BFD"/>
    <w:rsid w:val="00106C4B"/>
    <w:rsid w:val="00106C8C"/>
    <w:rsid w:val="00106C95"/>
    <w:rsid w:val="00106DCA"/>
    <w:rsid w:val="00106EEF"/>
    <w:rsid w:val="00106F47"/>
    <w:rsid w:val="00106F6B"/>
    <w:rsid w:val="00107030"/>
    <w:rsid w:val="001070AA"/>
    <w:rsid w:val="0010717B"/>
    <w:rsid w:val="0010719D"/>
    <w:rsid w:val="00107357"/>
    <w:rsid w:val="0010740B"/>
    <w:rsid w:val="00107432"/>
    <w:rsid w:val="00107490"/>
    <w:rsid w:val="001075A9"/>
    <w:rsid w:val="00107606"/>
    <w:rsid w:val="0010772A"/>
    <w:rsid w:val="001078CF"/>
    <w:rsid w:val="00107AC1"/>
    <w:rsid w:val="00107AE5"/>
    <w:rsid w:val="00107B60"/>
    <w:rsid w:val="00107C8F"/>
    <w:rsid w:val="00107D48"/>
    <w:rsid w:val="00107E52"/>
    <w:rsid w:val="00107EC3"/>
    <w:rsid w:val="00107EEE"/>
    <w:rsid w:val="0011000E"/>
    <w:rsid w:val="001100E9"/>
    <w:rsid w:val="0011012C"/>
    <w:rsid w:val="00110169"/>
    <w:rsid w:val="00110303"/>
    <w:rsid w:val="00110351"/>
    <w:rsid w:val="001103C6"/>
    <w:rsid w:val="00110454"/>
    <w:rsid w:val="001104DB"/>
    <w:rsid w:val="0011059A"/>
    <w:rsid w:val="0011067D"/>
    <w:rsid w:val="001106B2"/>
    <w:rsid w:val="001106D4"/>
    <w:rsid w:val="00110869"/>
    <w:rsid w:val="00110877"/>
    <w:rsid w:val="00110914"/>
    <w:rsid w:val="0011095C"/>
    <w:rsid w:val="001109AE"/>
    <w:rsid w:val="001109B7"/>
    <w:rsid w:val="00110ACF"/>
    <w:rsid w:val="00110D07"/>
    <w:rsid w:val="00110D50"/>
    <w:rsid w:val="00110D7D"/>
    <w:rsid w:val="00110F3F"/>
    <w:rsid w:val="00110FA0"/>
    <w:rsid w:val="00110FEE"/>
    <w:rsid w:val="00111091"/>
    <w:rsid w:val="0011122C"/>
    <w:rsid w:val="0011124B"/>
    <w:rsid w:val="00111253"/>
    <w:rsid w:val="00111265"/>
    <w:rsid w:val="00111274"/>
    <w:rsid w:val="00111275"/>
    <w:rsid w:val="001112FE"/>
    <w:rsid w:val="0011151F"/>
    <w:rsid w:val="001115C6"/>
    <w:rsid w:val="00111620"/>
    <w:rsid w:val="00111705"/>
    <w:rsid w:val="00111864"/>
    <w:rsid w:val="0011194C"/>
    <w:rsid w:val="001119B1"/>
    <w:rsid w:val="001119E0"/>
    <w:rsid w:val="001119E8"/>
    <w:rsid w:val="001119F0"/>
    <w:rsid w:val="00111AE7"/>
    <w:rsid w:val="00111B3C"/>
    <w:rsid w:val="00111BF1"/>
    <w:rsid w:val="00111C26"/>
    <w:rsid w:val="00111C4C"/>
    <w:rsid w:val="00111D79"/>
    <w:rsid w:val="00111DDD"/>
    <w:rsid w:val="00111EC9"/>
    <w:rsid w:val="0011208E"/>
    <w:rsid w:val="001121D8"/>
    <w:rsid w:val="001121E5"/>
    <w:rsid w:val="00112222"/>
    <w:rsid w:val="001124A1"/>
    <w:rsid w:val="00112549"/>
    <w:rsid w:val="0011262C"/>
    <w:rsid w:val="001127D5"/>
    <w:rsid w:val="00112894"/>
    <w:rsid w:val="001128F0"/>
    <w:rsid w:val="001129B6"/>
    <w:rsid w:val="001129BA"/>
    <w:rsid w:val="001129FA"/>
    <w:rsid w:val="00112A13"/>
    <w:rsid w:val="00112A2E"/>
    <w:rsid w:val="00112AB7"/>
    <w:rsid w:val="00112B08"/>
    <w:rsid w:val="00112C27"/>
    <w:rsid w:val="00112C38"/>
    <w:rsid w:val="00112CFB"/>
    <w:rsid w:val="00112DB3"/>
    <w:rsid w:val="0011304B"/>
    <w:rsid w:val="00113143"/>
    <w:rsid w:val="00113166"/>
    <w:rsid w:val="0011324A"/>
    <w:rsid w:val="0011329B"/>
    <w:rsid w:val="001132DA"/>
    <w:rsid w:val="0011331E"/>
    <w:rsid w:val="001134C2"/>
    <w:rsid w:val="0011351B"/>
    <w:rsid w:val="00113550"/>
    <w:rsid w:val="001135A8"/>
    <w:rsid w:val="001135B5"/>
    <w:rsid w:val="00113688"/>
    <w:rsid w:val="001137AD"/>
    <w:rsid w:val="00113815"/>
    <w:rsid w:val="00113888"/>
    <w:rsid w:val="001138A8"/>
    <w:rsid w:val="001138F6"/>
    <w:rsid w:val="001139D7"/>
    <w:rsid w:val="00113AF6"/>
    <w:rsid w:val="00113B0F"/>
    <w:rsid w:val="00113B36"/>
    <w:rsid w:val="00113C27"/>
    <w:rsid w:val="00113CB8"/>
    <w:rsid w:val="00113D80"/>
    <w:rsid w:val="00113E04"/>
    <w:rsid w:val="00113E09"/>
    <w:rsid w:val="00113E14"/>
    <w:rsid w:val="00113FA3"/>
    <w:rsid w:val="00114013"/>
    <w:rsid w:val="00114074"/>
    <w:rsid w:val="00114077"/>
    <w:rsid w:val="001140C8"/>
    <w:rsid w:val="00114136"/>
    <w:rsid w:val="001141B2"/>
    <w:rsid w:val="00114245"/>
    <w:rsid w:val="00114279"/>
    <w:rsid w:val="00114295"/>
    <w:rsid w:val="0011431F"/>
    <w:rsid w:val="001143E3"/>
    <w:rsid w:val="001143EB"/>
    <w:rsid w:val="001143F9"/>
    <w:rsid w:val="001144B7"/>
    <w:rsid w:val="001144D5"/>
    <w:rsid w:val="0011458E"/>
    <w:rsid w:val="0011462D"/>
    <w:rsid w:val="001146CA"/>
    <w:rsid w:val="00114723"/>
    <w:rsid w:val="00114745"/>
    <w:rsid w:val="00114A2C"/>
    <w:rsid w:val="00114A4D"/>
    <w:rsid w:val="00114AA6"/>
    <w:rsid w:val="00114AB8"/>
    <w:rsid w:val="00114B08"/>
    <w:rsid w:val="00114B17"/>
    <w:rsid w:val="00114B6B"/>
    <w:rsid w:val="00114BEA"/>
    <w:rsid w:val="00114BF2"/>
    <w:rsid w:val="00114C4B"/>
    <w:rsid w:val="00114D39"/>
    <w:rsid w:val="00114E63"/>
    <w:rsid w:val="00114E6F"/>
    <w:rsid w:val="00114ED3"/>
    <w:rsid w:val="00114F06"/>
    <w:rsid w:val="00114FBD"/>
    <w:rsid w:val="0011506E"/>
    <w:rsid w:val="0011514D"/>
    <w:rsid w:val="0011516D"/>
    <w:rsid w:val="00115200"/>
    <w:rsid w:val="001152AA"/>
    <w:rsid w:val="001153E2"/>
    <w:rsid w:val="0011541C"/>
    <w:rsid w:val="00115495"/>
    <w:rsid w:val="001155D9"/>
    <w:rsid w:val="001155EC"/>
    <w:rsid w:val="001156BE"/>
    <w:rsid w:val="001157C2"/>
    <w:rsid w:val="00115816"/>
    <w:rsid w:val="00115867"/>
    <w:rsid w:val="001158A9"/>
    <w:rsid w:val="001158B6"/>
    <w:rsid w:val="001158B8"/>
    <w:rsid w:val="0011590A"/>
    <w:rsid w:val="0011596F"/>
    <w:rsid w:val="00115A28"/>
    <w:rsid w:val="00115A94"/>
    <w:rsid w:val="00115B11"/>
    <w:rsid w:val="00115C19"/>
    <w:rsid w:val="00115C9A"/>
    <w:rsid w:val="00115DA3"/>
    <w:rsid w:val="00115E37"/>
    <w:rsid w:val="00115E86"/>
    <w:rsid w:val="00115E91"/>
    <w:rsid w:val="00115F56"/>
    <w:rsid w:val="00115F6E"/>
    <w:rsid w:val="00116127"/>
    <w:rsid w:val="00116136"/>
    <w:rsid w:val="00116157"/>
    <w:rsid w:val="001162CF"/>
    <w:rsid w:val="00116477"/>
    <w:rsid w:val="001164E3"/>
    <w:rsid w:val="001165F2"/>
    <w:rsid w:val="00116626"/>
    <w:rsid w:val="00116739"/>
    <w:rsid w:val="00116764"/>
    <w:rsid w:val="00116818"/>
    <w:rsid w:val="0011684C"/>
    <w:rsid w:val="00116938"/>
    <w:rsid w:val="0011697C"/>
    <w:rsid w:val="00116AC9"/>
    <w:rsid w:val="00116CAC"/>
    <w:rsid w:val="00116CB9"/>
    <w:rsid w:val="00116D89"/>
    <w:rsid w:val="00116DBE"/>
    <w:rsid w:val="00116E81"/>
    <w:rsid w:val="00116F88"/>
    <w:rsid w:val="00116FB0"/>
    <w:rsid w:val="00116FB5"/>
    <w:rsid w:val="00116FD1"/>
    <w:rsid w:val="0011705F"/>
    <w:rsid w:val="0011722A"/>
    <w:rsid w:val="001172F0"/>
    <w:rsid w:val="00117309"/>
    <w:rsid w:val="001173A7"/>
    <w:rsid w:val="001173DC"/>
    <w:rsid w:val="00117479"/>
    <w:rsid w:val="00117491"/>
    <w:rsid w:val="00117552"/>
    <w:rsid w:val="001175B0"/>
    <w:rsid w:val="001175BE"/>
    <w:rsid w:val="001175E4"/>
    <w:rsid w:val="001176C0"/>
    <w:rsid w:val="00117775"/>
    <w:rsid w:val="0011786D"/>
    <w:rsid w:val="00117909"/>
    <w:rsid w:val="00117979"/>
    <w:rsid w:val="00117B92"/>
    <w:rsid w:val="00117C37"/>
    <w:rsid w:val="00117C4E"/>
    <w:rsid w:val="00117CE7"/>
    <w:rsid w:val="00117D82"/>
    <w:rsid w:val="00117F13"/>
    <w:rsid w:val="00117F73"/>
    <w:rsid w:val="001200F9"/>
    <w:rsid w:val="0012019A"/>
    <w:rsid w:val="00120261"/>
    <w:rsid w:val="00120278"/>
    <w:rsid w:val="00120358"/>
    <w:rsid w:val="0012039F"/>
    <w:rsid w:val="001203E4"/>
    <w:rsid w:val="001204F3"/>
    <w:rsid w:val="0012054A"/>
    <w:rsid w:val="00120560"/>
    <w:rsid w:val="0012056C"/>
    <w:rsid w:val="00120635"/>
    <w:rsid w:val="001207EC"/>
    <w:rsid w:val="00120821"/>
    <w:rsid w:val="00120893"/>
    <w:rsid w:val="001208B4"/>
    <w:rsid w:val="001208DB"/>
    <w:rsid w:val="00120972"/>
    <w:rsid w:val="00120AEE"/>
    <w:rsid w:val="00120B7A"/>
    <w:rsid w:val="00120BF7"/>
    <w:rsid w:val="00120D47"/>
    <w:rsid w:val="00120FD6"/>
    <w:rsid w:val="001210FD"/>
    <w:rsid w:val="00121125"/>
    <w:rsid w:val="00121187"/>
    <w:rsid w:val="00121220"/>
    <w:rsid w:val="00121240"/>
    <w:rsid w:val="001212AA"/>
    <w:rsid w:val="001212C8"/>
    <w:rsid w:val="001212F2"/>
    <w:rsid w:val="001212F4"/>
    <w:rsid w:val="00121352"/>
    <w:rsid w:val="001213F3"/>
    <w:rsid w:val="00121A18"/>
    <w:rsid w:val="00121ABF"/>
    <w:rsid w:val="00121B1F"/>
    <w:rsid w:val="00121B55"/>
    <w:rsid w:val="00121B74"/>
    <w:rsid w:val="00121B7C"/>
    <w:rsid w:val="00121B81"/>
    <w:rsid w:val="00121C0F"/>
    <w:rsid w:val="00121C7B"/>
    <w:rsid w:val="00121D30"/>
    <w:rsid w:val="00121E2D"/>
    <w:rsid w:val="00121E96"/>
    <w:rsid w:val="00121EB7"/>
    <w:rsid w:val="00121F50"/>
    <w:rsid w:val="0012200F"/>
    <w:rsid w:val="00122057"/>
    <w:rsid w:val="00122069"/>
    <w:rsid w:val="00122335"/>
    <w:rsid w:val="00122336"/>
    <w:rsid w:val="00122370"/>
    <w:rsid w:val="001223CF"/>
    <w:rsid w:val="001223F8"/>
    <w:rsid w:val="001224E2"/>
    <w:rsid w:val="00122515"/>
    <w:rsid w:val="00122576"/>
    <w:rsid w:val="00122672"/>
    <w:rsid w:val="0012267F"/>
    <w:rsid w:val="00122704"/>
    <w:rsid w:val="001227F0"/>
    <w:rsid w:val="00122832"/>
    <w:rsid w:val="001228C2"/>
    <w:rsid w:val="001228DB"/>
    <w:rsid w:val="00122A61"/>
    <w:rsid w:val="00122B0B"/>
    <w:rsid w:val="00122BF2"/>
    <w:rsid w:val="00122C78"/>
    <w:rsid w:val="00122C9D"/>
    <w:rsid w:val="00122D3A"/>
    <w:rsid w:val="00122DEC"/>
    <w:rsid w:val="00122DFF"/>
    <w:rsid w:val="00122E09"/>
    <w:rsid w:val="00122F19"/>
    <w:rsid w:val="00122F9E"/>
    <w:rsid w:val="00123047"/>
    <w:rsid w:val="00123130"/>
    <w:rsid w:val="00123270"/>
    <w:rsid w:val="0012327E"/>
    <w:rsid w:val="001232C2"/>
    <w:rsid w:val="00123332"/>
    <w:rsid w:val="001233DE"/>
    <w:rsid w:val="0012341B"/>
    <w:rsid w:val="0012346B"/>
    <w:rsid w:val="00123508"/>
    <w:rsid w:val="00123562"/>
    <w:rsid w:val="001235B6"/>
    <w:rsid w:val="001235C0"/>
    <w:rsid w:val="00123607"/>
    <w:rsid w:val="0012375E"/>
    <w:rsid w:val="0012377C"/>
    <w:rsid w:val="001237DE"/>
    <w:rsid w:val="00123846"/>
    <w:rsid w:val="00123890"/>
    <w:rsid w:val="00123944"/>
    <w:rsid w:val="00123AB0"/>
    <w:rsid w:val="00123AF1"/>
    <w:rsid w:val="00123B38"/>
    <w:rsid w:val="00123B69"/>
    <w:rsid w:val="00123B74"/>
    <w:rsid w:val="00123BB7"/>
    <w:rsid w:val="00123CA3"/>
    <w:rsid w:val="00123CBA"/>
    <w:rsid w:val="00123FD3"/>
    <w:rsid w:val="00124123"/>
    <w:rsid w:val="001241D1"/>
    <w:rsid w:val="001241E0"/>
    <w:rsid w:val="001241EE"/>
    <w:rsid w:val="001243AA"/>
    <w:rsid w:val="001243F5"/>
    <w:rsid w:val="001243F6"/>
    <w:rsid w:val="00124421"/>
    <w:rsid w:val="0012452F"/>
    <w:rsid w:val="001245C9"/>
    <w:rsid w:val="001246DA"/>
    <w:rsid w:val="00124702"/>
    <w:rsid w:val="0012474E"/>
    <w:rsid w:val="0012477A"/>
    <w:rsid w:val="001248BC"/>
    <w:rsid w:val="001249C1"/>
    <w:rsid w:val="00124A11"/>
    <w:rsid w:val="00124A2B"/>
    <w:rsid w:val="00124A8A"/>
    <w:rsid w:val="00124A94"/>
    <w:rsid w:val="00124B96"/>
    <w:rsid w:val="00124BB8"/>
    <w:rsid w:val="00124BD6"/>
    <w:rsid w:val="00124BD8"/>
    <w:rsid w:val="00124C19"/>
    <w:rsid w:val="00124C7B"/>
    <w:rsid w:val="00124C9C"/>
    <w:rsid w:val="00124D7C"/>
    <w:rsid w:val="00124DD5"/>
    <w:rsid w:val="00124E48"/>
    <w:rsid w:val="00124EC8"/>
    <w:rsid w:val="00124F4B"/>
    <w:rsid w:val="001250B1"/>
    <w:rsid w:val="001250D0"/>
    <w:rsid w:val="00125217"/>
    <w:rsid w:val="00125379"/>
    <w:rsid w:val="0012543E"/>
    <w:rsid w:val="00125581"/>
    <w:rsid w:val="0012559F"/>
    <w:rsid w:val="001255D9"/>
    <w:rsid w:val="001256A6"/>
    <w:rsid w:val="0012578A"/>
    <w:rsid w:val="00125876"/>
    <w:rsid w:val="00125951"/>
    <w:rsid w:val="001259DD"/>
    <w:rsid w:val="00125B41"/>
    <w:rsid w:val="00125BC0"/>
    <w:rsid w:val="00125D0F"/>
    <w:rsid w:val="00125D6E"/>
    <w:rsid w:val="00125DED"/>
    <w:rsid w:val="00125EC9"/>
    <w:rsid w:val="00125ED8"/>
    <w:rsid w:val="00126000"/>
    <w:rsid w:val="00126131"/>
    <w:rsid w:val="0012614A"/>
    <w:rsid w:val="001261A8"/>
    <w:rsid w:val="00126246"/>
    <w:rsid w:val="00126355"/>
    <w:rsid w:val="001263FB"/>
    <w:rsid w:val="00126410"/>
    <w:rsid w:val="001264BB"/>
    <w:rsid w:val="00126657"/>
    <w:rsid w:val="00126682"/>
    <w:rsid w:val="001266A4"/>
    <w:rsid w:val="001266A5"/>
    <w:rsid w:val="001266C9"/>
    <w:rsid w:val="00126781"/>
    <w:rsid w:val="00126893"/>
    <w:rsid w:val="00126A29"/>
    <w:rsid w:val="00126A77"/>
    <w:rsid w:val="00126B0F"/>
    <w:rsid w:val="00126B7F"/>
    <w:rsid w:val="00126B95"/>
    <w:rsid w:val="00126BEF"/>
    <w:rsid w:val="00126C60"/>
    <w:rsid w:val="00126C7A"/>
    <w:rsid w:val="00126CB6"/>
    <w:rsid w:val="00126D42"/>
    <w:rsid w:val="00126D54"/>
    <w:rsid w:val="00126F85"/>
    <w:rsid w:val="00126F8F"/>
    <w:rsid w:val="00126FD2"/>
    <w:rsid w:val="001270A0"/>
    <w:rsid w:val="001270AC"/>
    <w:rsid w:val="001270B0"/>
    <w:rsid w:val="001270C7"/>
    <w:rsid w:val="001270F5"/>
    <w:rsid w:val="00127157"/>
    <w:rsid w:val="001271CA"/>
    <w:rsid w:val="001272D1"/>
    <w:rsid w:val="001272DB"/>
    <w:rsid w:val="001273C4"/>
    <w:rsid w:val="001274DE"/>
    <w:rsid w:val="0012753F"/>
    <w:rsid w:val="001275A4"/>
    <w:rsid w:val="0012769C"/>
    <w:rsid w:val="001276D6"/>
    <w:rsid w:val="0012770A"/>
    <w:rsid w:val="001277BD"/>
    <w:rsid w:val="001277CF"/>
    <w:rsid w:val="00127830"/>
    <w:rsid w:val="001279BB"/>
    <w:rsid w:val="00127A6F"/>
    <w:rsid w:val="00127A82"/>
    <w:rsid w:val="00127AAD"/>
    <w:rsid w:val="00127AC7"/>
    <w:rsid w:val="00127C5C"/>
    <w:rsid w:val="00127C79"/>
    <w:rsid w:val="00127E25"/>
    <w:rsid w:val="00127E37"/>
    <w:rsid w:val="00127E88"/>
    <w:rsid w:val="00127ECE"/>
    <w:rsid w:val="00127EF3"/>
    <w:rsid w:val="00130116"/>
    <w:rsid w:val="001301DF"/>
    <w:rsid w:val="00130257"/>
    <w:rsid w:val="00130349"/>
    <w:rsid w:val="001304F4"/>
    <w:rsid w:val="00130623"/>
    <w:rsid w:val="001306E4"/>
    <w:rsid w:val="001306FE"/>
    <w:rsid w:val="001308FF"/>
    <w:rsid w:val="001309A3"/>
    <w:rsid w:val="00130A4B"/>
    <w:rsid w:val="00130A65"/>
    <w:rsid w:val="00130B2C"/>
    <w:rsid w:val="00130B94"/>
    <w:rsid w:val="00130BA4"/>
    <w:rsid w:val="00130C17"/>
    <w:rsid w:val="00130C7B"/>
    <w:rsid w:val="00130DAE"/>
    <w:rsid w:val="00130DBA"/>
    <w:rsid w:val="00130DF7"/>
    <w:rsid w:val="00130E04"/>
    <w:rsid w:val="00130F82"/>
    <w:rsid w:val="00131104"/>
    <w:rsid w:val="0013119D"/>
    <w:rsid w:val="0013135B"/>
    <w:rsid w:val="001313F5"/>
    <w:rsid w:val="0013142D"/>
    <w:rsid w:val="00131455"/>
    <w:rsid w:val="001315A7"/>
    <w:rsid w:val="001315CD"/>
    <w:rsid w:val="001315DF"/>
    <w:rsid w:val="00131625"/>
    <w:rsid w:val="0013166E"/>
    <w:rsid w:val="00131672"/>
    <w:rsid w:val="00131692"/>
    <w:rsid w:val="001316C7"/>
    <w:rsid w:val="00131723"/>
    <w:rsid w:val="001319E7"/>
    <w:rsid w:val="00131B66"/>
    <w:rsid w:val="00131D9B"/>
    <w:rsid w:val="00131E24"/>
    <w:rsid w:val="00131E7D"/>
    <w:rsid w:val="00131E81"/>
    <w:rsid w:val="00131ED9"/>
    <w:rsid w:val="00131F14"/>
    <w:rsid w:val="00131F16"/>
    <w:rsid w:val="00132015"/>
    <w:rsid w:val="00132016"/>
    <w:rsid w:val="00132024"/>
    <w:rsid w:val="00132182"/>
    <w:rsid w:val="00132191"/>
    <w:rsid w:val="0013228C"/>
    <w:rsid w:val="0013236C"/>
    <w:rsid w:val="00132386"/>
    <w:rsid w:val="0013238E"/>
    <w:rsid w:val="0013241D"/>
    <w:rsid w:val="0013241F"/>
    <w:rsid w:val="00132488"/>
    <w:rsid w:val="0013248F"/>
    <w:rsid w:val="001324C3"/>
    <w:rsid w:val="0013250E"/>
    <w:rsid w:val="00132724"/>
    <w:rsid w:val="0013273C"/>
    <w:rsid w:val="001327C0"/>
    <w:rsid w:val="00132884"/>
    <w:rsid w:val="001328A8"/>
    <w:rsid w:val="00132903"/>
    <w:rsid w:val="0013298D"/>
    <w:rsid w:val="001329A5"/>
    <w:rsid w:val="00132B1C"/>
    <w:rsid w:val="00132B44"/>
    <w:rsid w:val="00132BA7"/>
    <w:rsid w:val="00132CC7"/>
    <w:rsid w:val="00132D2B"/>
    <w:rsid w:val="00132D88"/>
    <w:rsid w:val="00132DA9"/>
    <w:rsid w:val="00132DB6"/>
    <w:rsid w:val="00132E24"/>
    <w:rsid w:val="00132FA2"/>
    <w:rsid w:val="001330A0"/>
    <w:rsid w:val="001331D3"/>
    <w:rsid w:val="001331E2"/>
    <w:rsid w:val="0013324D"/>
    <w:rsid w:val="0013326C"/>
    <w:rsid w:val="00133339"/>
    <w:rsid w:val="0013335B"/>
    <w:rsid w:val="001337BF"/>
    <w:rsid w:val="001337C7"/>
    <w:rsid w:val="001337FB"/>
    <w:rsid w:val="00133859"/>
    <w:rsid w:val="001338A1"/>
    <w:rsid w:val="0013390D"/>
    <w:rsid w:val="00133972"/>
    <w:rsid w:val="00133A0E"/>
    <w:rsid w:val="00133B8C"/>
    <w:rsid w:val="00133BC9"/>
    <w:rsid w:val="00133C0B"/>
    <w:rsid w:val="00133C52"/>
    <w:rsid w:val="00133C58"/>
    <w:rsid w:val="00133CC9"/>
    <w:rsid w:val="00133E7D"/>
    <w:rsid w:val="00133F16"/>
    <w:rsid w:val="00133F43"/>
    <w:rsid w:val="00133F4A"/>
    <w:rsid w:val="00133F8D"/>
    <w:rsid w:val="00133FC2"/>
    <w:rsid w:val="00134136"/>
    <w:rsid w:val="0013414A"/>
    <w:rsid w:val="00134206"/>
    <w:rsid w:val="0013422E"/>
    <w:rsid w:val="001342AE"/>
    <w:rsid w:val="001342B4"/>
    <w:rsid w:val="0013432A"/>
    <w:rsid w:val="001343AF"/>
    <w:rsid w:val="001343B8"/>
    <w:rsid w:val="00134403"/>
    <w:rsid w:val="0013445F"/>
    <w:rsid w:val="001344DA"/>
    <w:rsid w:val="00134578"/>
    <w:rsid w:val="00134659"/>
    <w:rsid w:val="0013482A"/>
    <w:rsid w:val="00134889"/>
    <w:rsid w:val="00134A38"/>
    <w:rsid w:val="00134A78"/>
    <w:rsid w:val="00134AB6"/>
    <w:rsid w:val="00134BBA"/>
    <w:rsid w:val="00134BE4"/>
    <w:rsid w:val="00134BFC"/>
    <w:rsid w:val="00134C2C"/>
    <w:rsid w:val="00134C82"/>
    <w:rsid w:val="00134CF0"/>
    <w:rsid w:val="00134DA8"/>
    <w:rsid w:val="00134E03"/>
    <w:rsid w:val="00134E0D"/>
    <w:rsid w:val="00134E68"/>
    <w:rsid w:val="00134F82"/>
    <w:rsid w:val="0013504E"/>
    <w:rsid w:val="001350AF"/>
    <w:rsid w:val="00135105"/>
    <w:rsid w:val="00135127"/>
    <w:rsid w:val="0013513A"/>
    <w:rsid w:val="001351C7"/>
    <w:rsid w:val="00135224"/>
    <w:rsid w:val="0013528C"/>
    <w:rsid w:val="00135296"/>
    <w:rsid w:val="001352A1"/>
    <w:rsid w:val="0013532D"/>
    <w:rsid w:val="001353A8"/>
    <w:rsid w:val="001354B1"/>
    <w:rsid w:val="001354EC"/>
    <w:rsid w:val="001354FF"/>
    <w:rsid w:val="00135572"/>
    <w:rsid w:val="001355BD"/>
    <w:rsid w:val="00135670"/>
    <w:rsid w:val="0013573C"/>
    <w:rsid w:val="001357B9"/>
    <w:rsid w:val="0013588A"/>
    <w:rsid w:val="00135954"/>
    <w:rsid w:val="001359A4"/>
    <w:rsid w:val="001359C7"/>
    <w:rsid w:val="001359D9"/>
    <w:rsid w:val="00135AE0"/>
    <w:rsid w:val="00135B82"/>
    <w:rsid w:val="00135BD2"/>
    <w:rsid w:val="00135C07"/>
    <w:rsid w:val="00135C67"/>
    <w:rsid w:val="00135C9B"/>
    <w:rsid w:val="00135CD7"/>
    <w:rsid w:val="00135D53"/>
    <w:rsid w:val="00135E7B"/>
    <w:rsid w:val="00135F9B"/>
    <w:rsid w:val="0013602F"/>
    <w:rsid w:val="001360BA"/>
    <w:rsid w:val="00136274"/>
    <w:rsid w:val="0013641E"/>
    <w:rsid w:val="00136458"/>
    <w:rsid w:val="0013655E"/>
    <w:rsid w:val="00136618"/>
    <w:rsid w:val="0013661E"/>
    <w:rsid w:val="00136704"/>
    <w:rsid w:val="00136755"/>
    <w:rsid w:val="00136762"/>
    <w:rsid w:val="001367B8"/>
    <w:rsid w:val="00136811"/>
    <w:rsid w:val="00136867"/>
    <w:rsid w:val="00136893"/>
    <w:rsid w:val="00136894"/>
    <w:rsid w:val="001368BD"/>
    <w:rsid w:val="001368CC"/>
    <w:rsid w:val="0013691A"/>
    <w:rsid w:val="0013694C"/>
    <w:rsid w:val="00136959"/>
    <w:rsid w:val="00136961"/>
    <w:rsid w:val="0013696C"/>
    <w:rsid w:val="00136970"/>
    <w:rsid w:val="0013697F"/>
    <w:rsid w:val="00136988"/>
    <w:rsid w:val="00136AF7"/>
    <w:rsid w:val="00136BA2"/>
    <w:rsid w:val="00136D11"/>
    <w:rsid w:val="00136D54"/>
    <w:rsid w:val="00136D87"/>
    <w:rsid w:val="00136EC9"/>
    <w:rsid w:val="00136F68"/>
    <w:rsid w:val="00136F75"/>
    <w:rsid w:val="001370AC"/>
    <w:rsid w:val="001370D8"/>
    <w:rsid w:val="00137181"/>
    <w:rsid w:val="0013719A"/>
    <w:rsid w:val="001371AD"/>
    <w:rsid w:val="001371FA"/>
    <w:rsid w:val="001373DA"/>
    <w:rsid w:val="001374C3"/>
    <w:rsid w:val="001374E7"/>
    <w:rsid w:val="00137504"/>
    <w:rsid w:val="00137625"/>
    <w:rsid w:val="001376B7"/>
    <w:rsid w:val="0013773B"/>
    <w:rsid w:val="00137740"/>
    <w:rsid w:val="001377D2"/>
    <w:rsid w:val="00137829"/>
    <w:rsid w:val="00137933"/>
    <w:rsid w:val="00137984"/>
    <w:rsid w:val="0013799B"/>
    <w:rsid w:val="00137A35"/>
    <w:rsid w:val="00137A44"/>
    <w:rsid w:val="00137ADA"/>
    <w:rsid w:val="00137BC8"/>
    <w:rsid w:val="00137C10"/>
    <w:rsid w:val="00137D21"/>
    <w:rsid w:val="00137E07"/>
    <w:rsid w:val="00137E1B"/>
    <w:rsid w:val="00137E33"/>
    <w:rsid w:val="00137E5D"/>
    <w:rsid w:val="00137ECB"/>
    <w:rsid w:val="00137F3A"/>
    <w:rsid w:val="00140015"/>
    <w:rsid w:val="001400C9"/>
    <w:rsid w:val="001400F4"/>
    <w:rsid w:val="00140146"/>
    <w:rsid w:val="001401C0"/>
    <w:rsid w:val="00140255"/>
    <w:rsid w:val="001402BE"/>
    <w:rsid w:val="001402E9"/>
    <w:rsid w:val="001403D6"/>
    <w:rsid w:val="00140414"/>
    <w:rsid w:val="00140442"/>
    <w:rsid w:val="00140632"/>
    <w:rsid w:val="0014067F"/>
    <w:rsid w:val="0014068C"/>
    <w:rsid w:val="001406DF"/>
    <w:rsid w:val="001407CA"/>
    <w:rsid w:val="001408BC"/>
    <w:rsid w:val="00140910"/>
    <w:rsid w:val="00140937"/>
    <w:rsid w:val="00140AD1"/>
    <w:rsid w:val="00140B2C"/>
    <w:rsid w:val="00140BCE"/>
    <w:rsid w:val="00140E7E"/>
    <w:rsid w:val="00140FE9"/>
    <w:rsid w:val="00141054"/>
    <w:rsid w:val="0014107F"/>
    <w:rsid w:val="00141127"/>
    <w:rsid w:val="0014119B"/>
    <w:rsid w:val="001412A2"/>
    <w:rsid w:val="00141303"/>
    <w:rsid w:val="00141321"/>
    <w:rsid w:val="00141369"/>
    <w:rsid w:val="001413BB"/>
    <w:rsid w:val="00141488"/>
    <w:rsid w:val="001414A9"/>
    <w:rsid w:val="001414C7"/>
    <w:rsid w:val="00141512"/>
    <w:rsid w:val="0014166E"/>
    <w:rsid w:val="001416EC"/>
    <w:rsid w:val="0014171B"/>
    <w:rsid w:val="00141755"/>
    <w:rsid w:val="00141978"/>
    <w:rsid w:val="0014199F"/>
    <w:rsid w:val="001419B5"/>
    <w:rsid w:val="001419C7"/>
    <w:rsid w:val="001419CE"/>
    <w:rsid w:val="00141C43"/>
    <w:rsid w:val="00141DFB"/>
    <w:rsid w:val="00141F64"/>
    <w:rsid w:val="00141F77"/>
    <w:rsid w:val="00141FE2"/>
    <w:rsid w:val="00142009"/>
    <w:rsid w:val="0014209D"/>
    <w:rsid w:val="001420FD"/>
    <w:rsid w:val="00142111"/>
    <w:rsid w:val="001421B8"/>
    <w:rsid w:val="00142212"/>
    <w:rsid w:val="001422A7"/>
    <w:rsid w:val="00142356"/>
    <w:rsid w:val="00142367"/>
    <w:rsid w:val="001423F8"/>
    <w:rsid w:val="0014247C"/>
    <w:rsid w:val="00142497"/>
    <w:rsid w:val="001424F7"/>
    <w:rsid w:val="001425D2"/>
    <w:rsid w:val="001425FE"/>
    <w:rsid w:val="0014262D"/>
    <w:rsid w:val="00142663"/>
    <w:rsid w:val="00142672"/>
    <w:rsid w:val="0014274B"/>
    <w:rsid w:val="001427E1"/>
    <w:rsid w:val="001427FB"/>
    <w:rsid w:val="00142866"/>
    <w:rsid w:val="0014292B"/>
    <w:rsid w:val="00142A5E"/>
    <w:rsid w:val="00142A7F"/>
    <w:rsid w:val="00142AFA"/>
    <w:rsid w:val="00142B04"/>
    <w:rsid w:val="00142B32"/>
    <w:rsid w:val="00142C51"/>
    <w:rsid w:val="00142CA0"/>
    <w:rsid w:val="00142CA8"/>
    <w:rsid w:val="00142D2F"/>
    <w:rsid w:val="00142DA7"/>
    <w:rsid w:val="00142E6D"/>
    <w:rsid w:val="00142E8E"/>
    <w:rsid w:val="0014304C"/>
    <w:rsid w:val="00143073"/>
    <w:rsid w:val="00143233"/>
    <w:rsid w:val="00143269"/>
    <w:rsid w:val="00143449"/>
    <w:rsid w:val="00143466"/>
    <w:rsid w:val="0014361D"/>
    <w:rsid w:val="0014362F"/>
    <w:rsid w:val="00143693"/>
    <w:rsid w:val="001437D3"/>
    <w:rsid w:val="0014385D"/>
    <w:rsid w:val="001438B2"/>
    <w:rsid w:val="00143918"/>
    <w:rsid w:val="0014394D"/>
    <w:rsid w:val="001439C2"/>
    <w:rsid w:val="001439EF"/>
    <w:rsid w:val="00143A5D"/>
    <w:rsid w:val="00143B4B"/>
    <w:rsid w:val="00143B95"/>
    <w:rsid w:val="00143BC9"/>
    <w:rsid w:val="00143C08"/>
    <w:rsid w:val="00143C65"/>
    <w:rsid w:val="00143D7F"/>
    <w:rsid w:val="00143D98"/>
    <w:rsid w:val="00143DA2"/>
    <w:rsid w:val="00143DB0"/>
    <w:rsid w:val="00143DCF"/>
    <w:rsid w:val="00143DD8"/>
    <w:rsid w:val="00143EA7"/>
    <w:rsid w:val="00143F58"/>
    <w:rsid w:val="00143F60"/>
    <w:rsid w:val="00144015"/>
    <w:rsid w:val="001440A5"/>
    <w:rsid w:val="001441EF"/>
    <w:rsid w:val="00144272"/>
    <w:rsid w:val="0014430B"/>
    <w:rsid w:val="001443E4"/>
    <w:rsid w:val="0014442C"/>
    <w:rsid w:val="00144511"/>
    <w:rsid w:val="00144547"/>
    <w:rsid w:val="00144577"/>
    <w:rsid w:val="001445B2"/>
    <w:rsid w:val="001445D4"/>
    <w:rsid w:val="00144626"/>
    <w:rsid w:val="00144680"/>
    <w:rsid w:val="001446A7"/>
    <w:rsid w:val="001446F4"/>
    <w:rsid w:val="001447D8"/>
    <w:rsid w:val="001447F6"/>
    <w:rsid w:val="0014480E"/>
    <w:rsid w:val="00144826"/>
    <w:rsid w:val="00144827"/>
    <w:rsid w:val="0014482C"/>
    <w:rsid w:val="00144929"/>
    <w:rsid w:val="0014494F"/>
    <w:rsid w:val="001449BF"/>
    <w:rsid w:val="001449C7"/>
    <w:rsid w:val="001449D5"/>
    <w:rsid w:val="001449F9"/>
    <w:rsid w:val="00144B0E"/>
    <w:rsid w:val="00144B34"/>
    <w:rsid w:val="00144B84"/>
    <w:rsid w:val="00144B91"/>
    <w:rsid w:val="00144BA1"/>
    <w:rsid w:val="00144BAF"/>
    <w:rsid w:val="00144CD5"/>
    <w:rsid w:val="00144CDD"/>
    <w:rsid w:val="00144E49"/>
    <w:rsid w:val="00144E69"/>
    <w:rsid w:val="00144E7B"/>
    <w:rsid w:val="00144E84"/>
    <w:rsid w:val="00144F75"/>
    <w:rsid w:val="00145052"/>
    <w:rsid w:val="001450D6"/>
    <w:rsid w:val="00145182"/>
    <w:rsid w:val="001451D0"/>
    <w:rsid w:val="0014527A"/>
    <w:rsid w:val="001452FF"/>
    <w:rsid w:val="00145318"/>
    <w:rsid w:val="0014547E"/>
    <w:rsid w:val="0014548C"/>
    <w:rsid w:val="0014550E"/>
    <w:rsid w:val="0014555F"/>
    <w:rsid w:val="00145565"/>
    <w:rsid w:val="00145590"/>
    <w:rsid w:val="0014581C"/>
    <w:rsid w:val="00145827"/>
    <w:rsid w:val="0014582E"/>
    <w:rsid w:val="00145879"/>
    <w:rsid w:val="00145885"/>
    <w:rsid w:val="0014588D"/>
    <w:rsid w:val="00145962"/>
    <w:rsid w:val="00145A11"/>
    <w:rsid w:val="00145A62"/>
    <w:rsid w:val="00145A83"/>
    <w:rsid w:val="00145A97"/>
    <w:rsid w:val="00145AC7"/>
    <w:rsid w:val="00145ACF"/>
    <w:rsid w:val="00145D54"/>
    <w:rsid w:val="00145E39"/>
    <w:rsid w:val="00145F7B"/>
    <w:rsid w:val="00145FAC"/>
    <w:rsid w:val="00145FBE"/>
    <w:rsid w:val="00146026"/>
    <w:rsid w:val="0014605A"/>
    <w:rsid w:val="001460A9"/>
    <w:rsid w:val="001460B0"/>
    <w:rsid w:val="001461A3"/>
    <w:rsid w:val="001461FA"/>
    <w:rsid w:val="001462B9"/>
    <w:rsid w:val="00146355"/>
    <w:rsid w:val="001463AB"/>
    <w:rsid w:val="0014649C"/>
    <w:rsid w:val="001464D8"/>
    <w:rsid w:val="00146573"/>
    <w:rsid w:val="00146588"/>
    <w:rsid w:val="00146742"/>
    <w:rsid w:val="00146743"/>
    <w:rsid w:val="00146799"/>
    <w:rsid w:val="0014684C"/>
    <w:rsid w:val="00146883"/>
    <w:rsid w:val="00146891"/>
    <w:rsid w:val="001468F6"/>
    <w:rsid w:val="001469C1"/>
    <w:rsid w:val="001469C2"/>
    <w:rsid w:val="001469CE"/>
    <w:rsid w:val="00146A5A"/>
    <w:rsid w:val="00146A89"/>
    <w:rsid w:val="00146AF1"/>
    <w:rsid w:val="00146BD1"/>
    <w:rsid w:val="00146CD0"/>
    <w:rsid w:val="00146CE2"/>
    <w:rsid w:val="00146CF4"/>
    <w:rsid w:val="00146D83"/>
    <w:rsid w:val="00146E49"/>
    <w:rsid w:val="00146FEB"/>
    <w:rsid w:val="0014704C"/>
    <w:rsid w:val="00147164"/>
    <w:rsid w:val="00147185"/>
    <w:rsid w:val="0014720E"/>
    <w:rsid w:val="001472E8"/>
    <w:rsid w:val="00147436"/>
    <w:rsid w:val="0014749F"/>
    <w:rsid w:val="0014754C"/>
    <w:rsid w:val="00147616"/>
    <w:rsid w:val="0014769C"/>
    <w:rsid w:val="00147710"/>
    <w:rsid w:val="00147776"/>
    <w:rsid w:val="001477BD"/>
    <w:rsid w:val="001478A9"/>
    <w:rsid w:val="001478DB"/>
    <w:rsid w:val="0014798B"/>
    <w:rsid w:val="001479CB"/>
    <w:rsid w:val="00147B47"/>
    <w:rsid w:val="00147BD0"/>
    <w:rsid w:val="00147C1E"/>
    <w:rsid w:val="00147E5D"/>
    <w:rsid w:val="00147EA1"/>
    <w:rsid w:val="00147EEE"/>
    <w:rsid w:val="00150092"/>
    <w:rsid w:val="001500D9"/>
    <w:rsid w:val="00150194"/>
    <w:rsid w:val="001501A0"/>
    <w:rsid w:val="001501A1"/>
    <w:rsid w:val="00150233"/>
    <w:rsid w:val="0015023D"/>
    <w:rsid w:val="00150258"/>
    <w:rsid w:val="001502CA"/>
    <w:rsid w:val="00150302"/>
    <w:rsid w:val="0015031E"/>
    <w:rsid w:val="00150400"/>
    <w:rsid w:val="001504CB"/>
    <w:rsid w:val="0015066C"/>
    <w:rsid w:val="001508B8"/>
    <w:rsid w:val="001508D5"/>
    <w:rsid w:val="001508F3"/>
    <w:rsid w:val="001508FB"/>
    <w:rsid w:val="00150BCB"/>
    <w:rsid w:val="00150BF7"/>
    <w:rsid w:val="00150C1E"/>
    <w:rsid w:val="00150C7F"/>
    <w:rsid w:val="00150D30"/>
    <w:rsid w:val="00150D3D"/>
    <w:rsid w:val="00150D8B"/>
    <w:rsid w:val="00151015"/>
    <w:rsid w:val="001510B1"/>
    <w:rsid w:val="001510C8"/>
    <w:rsid w:val="00151104"/>
    <w:rsid w:val="001511C3"/>
    <w:rsid w:val="001512BD"/>
    <w:rsid w:val="001512C2"/>
    <w:rsid w:val="001513E7"/>
    <w:rsid w:val="00151434"/>
    <w:rsid w:val="001514C0"/>
    <w:rsid w:val="001514E7"/>
    <w:rsid w:val="00151597"/>
    <w:rsid w:val="00151614"/>
    <w:rsid w:val="00151823"/>
    <w:rsid w:val="0015185D"/>
    <w:rsid w:val="00151863"/>
    <w:rsid w:val="0015186A"/>
    <w:rsid w:val="001518E3"/>
    <w:rsid w:val="00151A48"/>
    <w:rsid w:val="00151A70"/>
    <w:rsid w:val="00151A71"/>
    <w:rsid w:val="00151A84"/>
    <w:rsid w:val="00151AE6"/>
    <w:rsid w:val="00151B3C"/>
    <w:rsid w:val="00151B77"/>
    <w:rsid w:val="00151B81"/>
    <w:rsid w:val="00151C43"/>
    <w:rsid w:val="00151CE9"/>
    <w:rsid w:val="00151D27"/>
    <w:rsid w:val="00151D33"/>
    <w:rsid w:val="00151D4C"/>
    <w:rsid w:val="00151D5D"/>
    <w:rsid w:val="00151DE4"/>
    <w:rsid w:val="00151DED"/>
    <w:rsid w:val="00151E08"/>
    <w:rsid w:val="00151E52"/>
    <w:rsid w:val="00151EEC"/>
    <w:rsid w:val="00151F5B"/>
    <w:rsid w:val="00151FCA"/>
    <w:rsid w:val="0015211B"/>
    <w:rsid w:val="00152198"/>
    <w:rsid w:val="001521A9"/>
    <w:rsid w:val="0015227A"/>
    <w:rsid w:val="00152325"/>
    <w:rsid w:val="00152356"/>
    <w:rsid w:val="001525C1"/>
    <w:rsid w:val="0015265E"/>
    <w:rsid w:val="00152675"/>
    <w:rsid w:val="001526A2"/>
    <w:rsid w:val="00152715"/>
    <w:rsid w:val="00152794"/>
    <w:rsid w:val="0015288B"/>
    <w:rsid w:val="001528E9"/>
    <w:rsid w:val="00152945"/>
    <w:rsid w:val="001529E1"/>
    <w:rsid w:val="00152A22"/>
    <w:rsid w:val="00152A44"/>
    <w:rsid w:val="00152B41"/>
    <w:rsid w:val="00152B91"/>
    <w:rsid w:val="00152CC1"/>
    <w:rsid w:val="00152CCD"/>
    <w:rsid w:val="00152D70"/>
    <w:rsid w:val="00152DDB"/>
    <w:rsid w:val="00152E2D"/>
    <w:rsid w:val="00152F07"/>
    <w:rsid w:val="00152F2C"/>
    <w:rsid w:val="00152F68"/>
    <w:rsid w:val="001530E0"/>
    <w:rsid w:val="0015317E"/>
    <w:rsid w:val="001531AE"/>
    <w:rsid w:val="001531EA"/>
    <w:rsid w:val="00153238"/>
    <w:rsid w:val="0015324E"/>
    <w:rsid w:val="001532D7"/>
    <w:rsid w:val="00153306"/>
    <w:rsid w:val="00153318"/>
    <w:rsid w:val="00153485"/>
    <w:rsid w:val="00153495"/>
    <w:rsid w:val="0015354F"/>
    <w:rsid w:val="00153663"/>
    <w:rsid w:val="0015375B"/>
    <w:rsid w:val="00153783"/>
    <w:rsid w:val="001539C0"/>
    <w:rsid w:val="00153A82"/>
    <w:rsid w:val="00153ABE"/>
    <w:rsid w:val="00153B75"/>
    <w:rsid w:val="00153B7B"/>
    <w:rsid w:val="00153B8C"/>
    <w:rsid w:val="00153BB2"/>
    <w:rsid w:val="00153C21"/>
    <w:rsid w:val="00153C22"/>
    <w:rsid w:val="00153D7B"/>
    <w:rsid w:val="00153D96"/>
    <w:rsid w:val="00153E81"/>
    <w:rsid w:val="00153EC1"/>
    <w:rsid w:val="00153F0B"/>
    <w:rsid w:val="00154062"/>
    <w:rsid w:val="0015408F"/>
    <w:rsid w:val="001540CA"/>
    <w:rsid w:val="0015412E"/>
    <w:rsid w:val="00154189"/>
    <w:rsid w:val="00154207"/>
    <w:rsid w:val="0015433B"/>
    <w:rsid w:val="00154359"/>
    <w:rsid w:val="00154436"/>
    <w:rsid w:val="00154526"/>
    <w:rsid w:val="00154538"/>
    <w:rsid w:val="0015456F"/>
    <w:rsid w:val="001546A2"/>
    <w:rsid w:val="001546B8"/>
    <w:rsid w:val="0015471A"/>
    <w:rsid w:val="0015471E"/>
    <w:rsid w:val="0015474B"/>
    <w:rsid w:val="0015475E"/>
    <w:rsid w:val="0015479A"/>
    <w:rsid w:val="00154815"/>
    <w:rsid w:val="001548DE"/>
    <w:rsid w:val="00154996"/>
    <w:rsid w:val="001549C8"/>
    <w:rsid w:val="00154AC3"/>
    <w:rsid w:val="00154B7C"/>
    <w:rsid w:val="00154BB5"/>
    <w:rsid w:val="00154BD0"/>
    <w:rsid w:val="00154BF9"/>
    <w:rsid w:val="00154C40"/>
    <w:rsid w:val="00154C43"/>
    <w:rsid w:val="00154D02"/>
    <w:rsid w:val="00154D3A"/>
    <w:rsid w:val="00154DC9"/>
    <w:rsid w:val="00154E0B"/>
    <w:rsid w:val="00154E9E"/>
    <w:rsid w:val="00155020"/>
    <w:rsid w:val="0015505B"/>
    <w:rsid w:val="001550A3"/>
    <w:rsid w:val="001550A4"/>
    <w:rsid w:val="001550F0"/>
    <w:rsid w:val="00155195"/>
    <w:rsid w:val="001551AB"/>
    <w:rsid w:val="0015526F"/>
    <w:rsid w:val="00155283"/>
    <w:rsid w:val="00155413"/>
    <w:rsid w:val="0015545B"/>
    <w:rsid w:val="00155464"/>
    <w:rsid w:val="001554C7"/>
    <w:rsid w:val="00155587"/>
    <w:rsid w:val="0015558D"/>
    <w:rsid w:val="00155625"/>
    <w:rsid w:val="001556CA"/>
    <w:rsid w:val="0015570A"/>
    <w:rsid w:val="00155780"/>
    <w:rsid w:val="001557E0"/>
    <w:rsid w:val="00155877"/>
    <w:rsid w:val="00155890"/>
    <w:rsid w:val="001558D3"/>
    <w:rsid w:val="001558DD"/>
    <w:rsid w:val="00155992"/>
    <w:rsid w:val="00155995"/>
    <w:rsid w:val="001559F5"/>
    <w:rsid w:val="00155A7F"/>
    <w:rsid w:val="00155B7D"/>
    <w:rsid w:val="00155B7F"/>
    <w:rsid w:val="00155BA1"/>
    <w:rsid w:val="00155BBE"/>
    <w:rsid w:val="00155C90"/>
    <w:rsid w:val="00155DBD"/>
    <w:rsid w:val="00155F2A"/>
    <w:rsid w:val="00155F82"/>
    <w:rsid w:val="00155FB7"/>
    <w:rsid w:val="001560FC"/>
    <w:rsid w:val="00156259"/>
    <w:rsid w:val="00156306"/>
    <w:rsid w:val="001563C3"/>
    <w:rsid w:val="001563FA"/>
    <w:rsid w:val="00156431"/>
    <w:rsid w:val="0015645B"/>
    <w:rsid w:val="001564F7"/>
    <w:rsid w:val="00156501"/>
    <w:rsid w:val="0015659B"/>
    <w:rsid w:val="0015663A"/>
    <w:rsid w:val="0015664C"/>
    <w:rsid w:val="001566BF"/>
    <w:rsid w:val="00156830"/>
    <w:rsid w:val="00156A47"/>
    <w:rsid w:val="00156A8D"/>
    <w:rsid w:val="00156C38"/>
    <w:rsid w:val="00156C47"/>
    <w:rsid w:val="00156C78"/>
    <w:rsid w:val="00156D20"/>
    <w:rsid w:val="00156E45"/>
    <w:rsid w:val="00156EAC"/>
    <w:rsid w:val="0015704A"/>
    <w:rsid w:val="001571D3"/>
    <w:rsid w:val="00157254"/>
    <w:rsid w:val="0015734E"/>
    <w:rsid w:val="0015741F"/>
    <w:rsid w:val="00157456"/>
    <w:rsid w:val="00157460"/>
    <w:rsid w:val="001575AC"/>
    <w:rsid w:val="001576B8"/>
    <w:rsid w:val="00157792"/>
    <w:rsid w:val="001577F9"/>
    <w:rsid w:val="00157907"/>
    <w:rsid w:val="001579DA"/>
    <w:rsid w:val="00157A68"/>
    <w:rsid w:val="00157A91"/>
    <w:rsid w:val="00157A96"/>
    <w:rsid w:val="00157B0E"/>
    <w:rsid w:val="00157BBA"/>
    <w:rsid w:val="00157D87"/>
    <w:rsid w:val="00157DC7"/>
    <w:rsid w:val="00157DE4"/>
    <w:rsid w:val="0016000D"/>
    <w:rsid w:val="00160022"/>
    <w:rsid w:val="0016002B"/>
    <w:rsid w:val="0016012A"/>
    <w:rsid w:val="00160158"/>
    <w:rsid w:val="001601B4"/>
    <w:rsid w:val="001601C1"/>
    <w:rsid w:val="001601FE"/>
    <w:rsid w:val="00160217"/>
    <w:rsid w:val="001602B2"/>
    <w:rsid w:val="001603DD"/>
    <w:rsid w:val="001604CF"/>
    <w:rsid w:val="00160581"/>
    <w:rsid w:val="00160767"/>
    <w:rsid w:val="00160788"/>
    <w:rsid w:val="00160842"/>
    <w:rsid w:val="00160862"/>
    <w:rsid w:val="00160946"/>
    <w:rsid w:val="001609BB"/>
    <w:rsid w:val="001609C0"/>
    <w:rsid w:val="001609C2"/>
    <w:rsid w:val="001609CC"/>
    <w:rsid w:val="00160A19"/>
    <w:rsid w:val="00160A23"/>
    <w:rsid w:val="00160B35"/>
    <w:rsid w:val="00160B6C"/>
    <w:rsid w:val="00160B8F"/>
    <w:rsid w:val="00160BC7"/>
    <w:rsid w:val="00160BE0"/>
    <w:rsid w:val="00160CCF"/>
    <w:rsid w:val="00160D34"/>
    <w:rsid w:val="00160D6D"/>
    <w:rsid w:val="00160DF6"/>
    <w:rsid w:val="00160E1E"/>
    <w:rsid w:val="00160E97"/>
    <w:rsid w:val="00160EE6"/>
    <w:rsid w:val="0016103D"/>
    <w:rsid w:val="0016107E"/>
    <w:rsid w:val="0016115E"/>
    <w:rsid w:val="001611CD"/>
    <w:rsid w:val="0016125D"/>
    <w:rsid w:val="00161266"/>
    <w:rsid w:val="00161278"/>
    <w:rsid w:val="00161323"/>
    <w:rsid w:val="001613D5"/>
    <w:rsid w:val="001613F3"/>
    <w:rsid w:val="00161487"/>
    <w:rsid w:val="001614B9"/>
    <w:rsid w:val="001614DE"/>
    <w:rsid w:val="0016150B"/>
    <w:rsid w:val="001615FE"/>
    <w:rsid w:val="00161659"/>
    <w:rsid w:val="00161733"/>
    <w:rsid w:val="0016173E"/>
    <w:rsid w:val="00161782"/>
    <w:rsid w:val="001617D5"/>
    <w:rsid w:val="00161821"/>
    <w:rsid w:val="00161853"/>
    <w:rsid w:val="0016185C"/>
    <w:rsid w:val="00161867"/>
    <w:rsid w:val="001618C6"/>
    <w:rsid w:val="0016194F"/>
    <w:rsid w:val="001619EC"/>
    <w:rsid w:val="00161AE0"/>
    <w:rsid w:val="00161B15"/>
    <w:rsid w:val="00161D0B"/>
    <w:rsid w:val="00161D3A"/>
    <w:rsid w:val="00161D7F"/>
    <w:rsid w:val="00161D83"/>
    <w:rsid w:val="00161DFA"/>
    <w:rsid w:val="00161DFE"/>
    <w:rsid w:val="00161E54"/>
    <w:rsid w:val="00161E7B"/>
    <w:rsid w:val="00161F2E"/>
    <w:rsid w:val="00161F40"/>
    <w:rsid w:val="001620E9"/>
    <w:rsid w:val="00162175"/>
    <w:rsid w:val="001621FB"/>
    <w:rsid w:val="00162205"/>
    <w:rsid w:val="001622C9"/>
    <w:rsid w:val="001623DA"/>
    <w:rsid w:val="00162552"/>
    <w:rsid w:val="0016257D"/>
    <w:rsid w:val="0016266B"/>
    <w:rsid w:val="0016269C"/>
    <w:rsid w:val="00162703"/>
    <w:rsid w:val="00162730"/>
    <w:rsid w:val="001627CC"/>
    <w:rsid w:val="001628BC"/>
    <w:rsid w:val="0016290C"/>
    <w:rsid w:val="00162932"/>
    <w:rsid w:val="001629E9"/>
    <w:rsid w:val="00162AE6"/>
    <w:rsid w:val="00162AE9"/>
    <w:rsid w:val="00162C2C"/>
    <w:rsid w:val="00162D40"/>
    <w:rsid w:val="00162DD7"/>
    <w:rsid w:val="00162E00"/>
    <w:rsid w:val="00162E65"/>
    <w:rsid w:val="00162E92"/>
    <w:rsid w:val="00162F01"/>
    <w:rsid w:val="00162F20"/>
    <w:rsid w:val="0016305E"/>
    <w:rsid w:val="001630B8"/>
    <w:rsid w:val="00163218"/>
    <w:rsid w:val="001632A4"/>
    <w:rsid w:val="001632C7"/>
    <w:rsid w:val="00163332"/>
    <w:rsid w:val="001633B0"/>
    <w:rsid w:val="001634D5"/>
    <w:rsid w:val="0016354C"/>
    <w:rsid w:val="00163551"/>
    <w:rsid w:val="00163560"/>
    <w:rsid w:val="0016357F"/>
    <w:rsid w:val="001635C0"/>
    <w:rsid w:val="001635DC"/>
    <w:rsid w:val="001636F8"/>
    <w:rsid w:val="0016373E"/>
    <w:rsid w:val="001637FE"/>
    <w:rsid w:val="00163828"/>
    <w:rsid w:val="001639B6"/>
    <w:rsid w:val="001639C5"/>
    <w:rsid w:val="00163A17"/>
    <w:rsid w:val="00163B9B"/>
    <w:rsid w:val="00163BA1"/>
    <w:rsid w:val="00163BE5"/>
    <w:rsid w:val="00163C3F"/>
    <w:rsid w:val="00163E1E"/>
    <w:rsid w:val="00163EF3"/>
    <w:rsid w:val="00164005"/>
    <w:rsid w:val="00164031"/>
    <w:rsid w:val="0016403F"/>
    <w:rsid w:val="00164145"/>
    <w:rsid w:val="001641DD"/>
    <w:rsid w:val="00164218"/>
    <w:rsid w:val="00164271"/>
    <w:rsid w:val="001642A7"/>
    <w:rsid w:val="00164306"/>
    <w:rsid w:val="00164312"/>
    <w:rsid w:val="0016431F"/>
    <w:rsid w:val="001643BE"/>
    <w:rsid w:val="001645EB"/>
    <w:rsid w:val="0016461B"/>
    <w:rsid w:val="00164666"/>
    <w:rsid w:val="001646AC"/>
    <w:rsid w:val="001646B9"/>
    <w:rsid w:val="001647BE"/>
    <w:rsid w:val="0016485A"/>
    <w:rsid w:val="00164862"/>
    <w:rsid w:val="0016486A"/>
    <w:rsid w:val="001649F0"/>
    <w:rsid w:val="001649F4"/>
    <w:rsid w:val="00164A0E"/>
    <w:rsid w:val="00164AC5"/>
    <w:rsid w:val="00164B96"/>
    <w:rsid w:val="00164D61"/>
    <w:rsid w:val="00164D6C"/>
    <w:rsid w:val="00164D97"/>
    <w:rsid w:val="00164E36"/>
    <w:rsid w:val="00164F08"/>
    <w:rsid w:val="00164F8D"/>
    <w:rsid w:val="00164FF1"/>
    <w:rsid w:val="001650EC"/>
    <w:rsid w:val="00165354"/>
    <w:rsid w:val="00165377"/>
    <w:rsid w:val="00165378"/>
    <w:rsid w:val="001653FD"/>
    <w:rsid w:val="0016546D"/>
    <w:rsid w:val="0016547B"/>
    <w:rsid w:val="00165493"/>
    <w:rsid w:val="0016554D"/>
    <w:rsid w:val="0016556A"/>
    <w:rsid w:val="001655E0"/>
    <w:rsid w:val="0016568F"/>
    <w:rsid w:val="0016571A"/>
    <w:rsid w:val="0016579B"/>
    <w:rsid w:val="001657AA"/>
    <w:rsid w:val="00165819"/>
    <w:rsid w:val="0016581F"/>
    <w:rsid w:val="00165868"/>
    <w:rsid w:val="001659BE"/>
    <w:rsid w:val="00165A78"/>
    <w:rsid w:val="00165AD9"/>
    <w:rsid w:val="00165BE9"/>
    <w:rsid w:val="00165C6C"/>
    <w:rsid w:val="00165CB0"/>
    <w:rsid w:val="00165D43"/>
    <w:rsid w:val="00165D89"/>
    <w:rsid w:val="00165E35"/>
    <w:rsid w:val="00165E5D"/>
    <w:rsid w:val="001660A6"/>
    <w:rsid w:val="00166240"/>
    <w:rsid w:val="001662D0"/>
    <w:rsid w:val="001662D9"/>
    <w:rsid w:val="001662E1"/>
    <w:rsid w:val="001663CA"/>
    <w:rsid w:val="00166444"/>
    <w:rsid w:val="0016644F"/>
    <w:rsid w:val="00166524"/>
    <w:rsid w:val="00166578"/>
    <w:rsid w:val="001665E7"/>
    <w:rsid w:val="00166676"/>
    <w:rsid w:val="001666BD"/>
    <w:rsid w:val="00166705"/>
    <w:rsid w:val="00166725"/>
    <w:rsid w:val="00166797"/>
    <w:rsid w:val="001667AA"/>
    <w:rsid w:val="001667CC"/>
    <w:rsid w:val="0016685A"/>
    <w:rsid w:val="0016694D"/>
    <w:rsid w:val="00166BD2"/>
    <w:rsid w:val="00166BD4"/>
    <w:rsid w:val="00166C74"/>
    <w:rsid w:val="00166CD0"/>
    <w:rsid w:val="00166DE2"/>
    <w:rsid w:val="00166DF5"/>
    <w:rsid w:val="00166E0B"/>
    <w:rsid w:val="00166E83"/>
    <w:rsid w:val="00166E8E"/>
    <w:rsid w:val="00166ED0"/>
    <w:rsid w:val="00166EF4"/>
    <w:rsid w:val="00166F39"/>
    <w:rsid w:val="00166F7A"/>
    <w:rsid w:val="00167110"/>
    <w:rsid w:val="00167241"/>
    <w:rsid w:val="0016725B"/>
    <w:rsid w:val="00167336"/>
    <w:rsid w:val="001673A1"/>
    <w:rsid w:val="00167404"/>
    <w:rsid w:val="0016740E"/>
    <w:rsid w:val="0016743C"/>
    <w:rsid w:val="0016743D"/>
    <w:rsid w:val="00167537"/>
    <w:rsid w:val="00167579"/>
    <w:rsid w:val="001675A5"/>
    <w:rsid w:val="00167746"/>
    <w:rsid w:val="00167843"/>
    <w:rsid w:val="001678C3"/>
    <w:rsid w:val="001678D2"/>
    <w:rsid w:val="001678EC"/>
    <w:rsid w:val="00167918"/>
    <w:rsid w:val="00167A7D"/>
    <w:rsid w:val="00167AF0"/>
    <w:rsid w:val="00167B5A"/>
    <w:rsid w:val="00167B96"/>
    <w:rsid w:val="00167BAC"/>
    <w:rsid w:val="00167C15"/>
    <w:rsid w:val="00167C97"/>
    <w:rsid w:val="00167CA4"/>
    <w:rsid w:val="00167D6F"/>
    <w:rsid w:val="00167D71"/>
    <w:rsid w:val="00167EA0"/>
    <w:rsid w:val="00167EA9"/>
    <w:rsid w:val="00167F67"/>
    <w:rsid w:val="00167F99"/>
    <w:rsid w:val="001701D5"/>
    <w:rsid w:val="001701DF"/>
    <w:rsid w:val="0017023D"/>
    <w:rsid w:val="001703FD"/>
    <w:rsid w:val="00170415"/>
    <w:rsid w:val="00170436"/>
    <w:rsid w:val="0017068E"/>
    <w:rsid w:val="001706A8"/>
    <w:rsid w:val="00170714"/>
    <w:rsid w:val="001707B0"/>
    <w:rsid w:val="00170805"/>
    <w:rsid w:val="0017081A"/>
    <w:rsid w:val="001708FB"/>
    <w:rsid w:val="00170960"/>
    <w:rsid w:val="001709BA"/>
    <w:rsid w:val="001709D9"/>
    <w:rsid w:val="00170B2D"/>
    <w:rsid w:val="00170B6D"/>
    <w:rsid w:val="00170BA3"/>
    <w:rsid w:val="00170D20"/>
    <w:rsid w:val="00170D75"/>
    <w:rsid w:val="00170DB5"/>
    <w:rsid w:val="00170E10"/>
    <w:rsid w:val="00170E9A"/>
    <w:rsid w:val="00170F9D"/>
    <w:rsid w:val="00171045"/>
    <w:rsid w:val="001710AB"/>
    <w:rsid w:val="0017114D"/>
    <w:rsid w:val="00171159"/>
    <w:rsid w:val="001711CD"/>
    <w:rsid w:val="00171208"/>
    <w:rsid w:val="001712AA"/>
    <w:rsid w:val="001712E9"/>
    <w:rsid w:val="00171322"/>
    <w:rsid w:val="00171341"/>
    <w:rsid w:val="0017149C"/>
    <w:rsid w:val="0017152E"/>
    <w:rsid w:val="00171772"/>
    <w:rsid w:val="001717D3"/>
    <w:rsid w:val="001717E3"/>
    <w:rsid w:val="001717F2"/>
    <w:rsid w:val="00171849"/>
    <w:rsid w:val="0017189E"/>
    <w:rsid w:val="001718F1"/>
    <w:rsid w:val="00171A16"/>
    <w:rsid w:val="00171A49"/>
    <w:rsid w:val="00171A6D"/>
    <w:rsid w:val="00171B24"/>
    <w:rsid w:val="00171B3F"/>
    <w:rsid w:val="00171B5A"/>
    <w:rsid w:val="00171C3B"/>
    <w:rsid w:val="00171C50"/>
    <w:rsid w:val="00171CCB"/>
    <w:rsid w:val="00171D15"/>
    <w:rsid w:val="00171DD7"/>
    <w:rsid w:val="00171EA1"/>
    <w:rsid w:val="0017205F"/>
    <w:rsid w:val="00172148"/>
    <w:rsid w:val="001722D5"/>
    <w:rsid w:val="001724A9"/>
    <w:rsid w:val="00172500"/>
    <w:rsid w:val="00172532"/>
    <w:rsid w:val="00172539"/>
    <w:rsid w:val="0017263F"/>
    <w:rsid w:val="00172799"/>
    <w:rsid w:val="001727CA"/>
    <w:rsid w:val="00172862"/>
    <w:rsid w:val="001728A2"/>
    <w:rsid w:val="001729A9"/>
    <w:rsid w:val="00172A40"/>
    <w:rsid w:val="00172BCE"/>
    <w:rsid w:val="00172BD7"/>
    <w:rsid w:val="00172D85"/>
    <w:rsid w:val="00172DB5"/>
    <w:rsid w:val="00172E99"/>
    <w:rsid w:val="00172FE6"/>
    <w:rsid w:val="00172FEC"/>
    <w:rsid w:val="001730E3"/>
    <w:rsid w:val="00173283"/>
    <w:rsid w:val="0017331A"/>
    <w:rsid w:val="001734D7"/>
    <w:rsid w:val="001734DE"/>
    <w:rsid w:val="001735EB"/>
    <w:rsid w:val="0017363E"/>
    <w:rsid w:val="0017366D"/>
    <w:rsid w:val="00173695"/>
    <w:rsid w:val="001736D0"/>
    <w:rsid w:val="001736E1"/>
    <w:rsid w:val="00173813"/>
    <w:rsid w:val="001738C8"/>
    <w:rsid w:val="001738F0"/>
    <w:rsid w:val="0017393B"/>
    <w:rsid w:val="0017396E"/>
    <w:rsid w:val="001739C7"/>
    <w:rsid w:val="001739F6"/>
    <w:rsid w:val="00173BA7"/>
    <w:rsid w:val="00173C45"/>
    <w:rsid w:val="00173D4F"/>
    <w:rsid w:val="00173D74"/>
    <w:rsid w:val="00173EDC"/>
    <w:rsid w:val="00173FC1"/>
    <w:rsid w:val="001740D2"/>
    <w:rsid w:val="001740D4"/>
    <w:rsid w:val="00174195"/>
    <w:rsid w:val="0017422C"/>
    <w:rsid w:val="00174352"/>
    <w:rsid w:val="001743D8"/>
    <w:rsid w:val="0017446D"/>
    <w:rsid w:val="001745B0"/>
    <w:rsid w:val="00174638"/>
    <w:rsid w:val="00174662"/>
    <w:rsid w:val="0017466E"/>
    <w:rsid w:val="0017475A"/>
    <w:rsid w:val="0017477D"/>
    <w:rsid w:val="001747AB"/>
    <w:rsid w:val="001747C5"/>
    <w:rsid w:val="001748D8"/>
    <w:rsid w:val="001748DA"/>
    <w:rsid w:val="00174914"/>
    <w:rsid w:val="0017494F"/>
    <w:rsid w:val="00174AD6"/>
    <w:rsid w:val="00174B79"/>
    <w:rsid w:val="00174DC5"/>
    <w:rsid w:val="00174E07"/>
    <w:rsid w:val="00174E3A"/>
    <w:rsid w:val="00174E94"/>
    <w:rsid w:val="00174EB9"/>
    <w:rsid w:val="00174FC6"/>
    <w:rsid w:val="00174FD5"/>
    <w:rsid w:val="00175064"/>
    <w:rsid w:val="00175117"/>
    <w:rsid w:val="00175150"/>
    <w:rsid w:val="001751C8"/>
    <w:rsid w:val="00175311"/>
    <w:rsid w:val="001753DF"/>
    <w:rsid w:val="00175416"/>
    <w:rsid w:val="00175451"/>
    <w:rsid w:val="00175584"/>
    <w:rsid w:val="00175637"/>
    <w:rsid w:val="00175644"/>
    <w:rsid w:val="00175766"/>
    <w:rsid w:val="00175880"/>
    <w:rsid w:val="001759B7"/>
    <w:rsid w:val="00175B86"/>
    <w:rsid w:val="00175D63"/>
    <w:rsid w:val="00175F91"/>
    <w:rsid w:val="00176056"/>
    <w:rsid w:val="00176082"/>
    <w:rsid w:val="001760C3"/>
    <w:rsid w:val="001760CC"/>
    <w:rsid w:val="00176123"/>
    <w:rsid w:val="00176184"/>
    <w:rsid w:val="001761E4"/>
    <w:rsid w:val="00176213"/>
    <w:rsid w:val="001762FD"/>
    <w:rsid w:val="00176346"/>
    <w:rsid w:val="00176383"/>
    <w:rsid w:val="00176395"/>
    <w:rsid w:val="001763D7"/>
    <w:rsid w:val="00176408"/>
    <w:rsid w:val="00176427"/>
    <w:rsid w:val="00176464"/>
    <w:rsid w:val="001764CF"/>
    <w:rsid w:val="00176687"/>
    <w:rsid w:val="00176788"/>
    <w:rsid w:val="001768D2"/>
    <w:rsid w:val="001768D4"/>
    <w:rsid w:val="001768E8"/>
    <w:rsid w:val="00176A50"/>
    <w:rsid w:val="00176ABD"/>
    <w:rsid w:val="00176BE4"/>
    <w:rsid w:val="00176CB0"/>
    <w:rsid w:val="00176D0D"/>
    <w:rsid w:val="0017711F"/>
    <w:rsid w:val="0017714A"/>
    <w:rsid w:val="00177196"/>
    <w:rsid w:val="001771BD"/>
    <w:rsid w:val="001771D7"/>
    <w:rsid w:val="001771E1"/>
    <w:rsid w:val="001772D5"/>
    <w:rsid w:val="0017736B"/>
    <w:rsid w:val="001773B5"/>
    <w:rsid w:val="001773DF"/>
    <w:rsid w:val="001773E1"/>
    <w:rsid w:val="001774AF"/>
    <w:rsid w:val="0017750B"/>
    <w:rsid w:val="001775E7"/>
    <w:rsid w:val="00177631"/>
    <w:rsid w:val="00177658"/>
    <w:rsid w:val="00177735"/>
    <w:rsid w:val="00177765"/>
    <w:rsid w:val="0017782A"/>
    <w:rsid w:val="00177884"/>
    <w:rsid w:val="001778AE"/>
    <w:rsid w:val="001778E1"/>
    <w:rsid w:val="001778E4"/>
    <w:rsid w:val="0017798C"/>
    <w:rsid w:val="001779CA"/>
    <w:rsid w:val="001779DF"/>
    <w:rsid w:val="00177A0E"/>
    <w:rsid w:val="00177A5E"/>
    <w:rsid w:val="00177B2D"/>
    <w:rsid w:val="00177BD8"/>
    <w:rsid w:val="00177C5F"/>
    <w:rsid w:val="00177C73"/>
    <w:rsid w:val="00177CD1"/>
    <w:rsid w:val="00177D64"/>
    <w:rsid w:val="00177D81"/>
    <w:rsid w:val="00177F59"/>
    <w:rsid w:val="00177FCD"/>
    <w:rsid w:val="001800A2"/>
    <w:rsid w:val="001800B1"/>
    <w:rsid w:val="001800CD"/>
    <w:rsid w:val="00180144"/>
    <w:rsid w:val="001801C2"/>
    <w:rsid w:val="00180267"/>
    <w:rsid w:val="0018028E"/>
    <w:rsid w:val="001802D5"/>
    <w:rsid w:val="0018038A"/>
    <w:rsid w:val="0018040D"/>
    <w:rsid w:val="0018041B"/>
    <w:rsid w:val="00180422"/>
    <w:rsid w:val="00180453"/>
    <w:rsid w:val="0018046D"/>
    <w:rsid w:val="00180534"/>
    <w:rsid w:val="001805FB"/>
    <w:rsid w:val="00180616"/>
    <w:rsid w:val="00180621"/>
    <w:rsid w:val="00180640"/>
    <w:rsid w:val="001806DA"/>
    <w:rsid w:val="001807B9"/>
    <w:rsid w:val="001807D1"/>
    <w:rsid w:val="001807F2"/>
    <w:rsid w:val="0018085B"/>
    <w:rsid w:val="001808F0"/>
    <w:rsid w:val="00180982"/>
    <w:rsid w:val="001809C3"/>
    <w:rsid w:val="00180A27"/>
    <w:rsid w:val="00180A5B"/>
    <w:rsid w:val="00180AD1"/>
    <w:rsid w:val="00180AEF"/>
    <w:rsid w:val="00180B42"/>
    <w:rsid w:val="00180BD3"/>
    <w:rsid w:val="00180C2A"/>
    <w:rsid w:val="00180CAF"/>
    <w:rsid w:val="00180DE0"/>
    <w:rsid w:val="00180DE2"/>
    <w:rsid w:val="00180E61"/>
    <w:rsid w:val="00180EA4"/>
    <w:rsid w:val="00180F05"/>
    <w:rsid w:val="00180F83"/>
    <w:rsid w:val="00180FC5"/>
    <w:rsid w:val="00180FDC"/>
    <w:rsid w:val="001810EF"/>
    <w:rsid w:val="00181103"/>
    <w:rsid w:val="001811E3"/>
    <w:rsid w:val="00181219"/>
    <w:rsid w:val="00181288"/>
    <w:rsid w:val="001812DA"/>
    <w:rsid w:val="001813F4"/>
    <w:rsid w:val="001813F5"/>
    <w:rsid w:val="0018143B"/>
    <w:rsid w:val="00181519"/>
    <w:rsid w:val="001816AC"/>
    <w:rsid w:val="001817BA"/>
    <w:rsid w:val="00181811"/>
    <w:rsid w:val="00181814"/>
    <w:rsid w:val="0018196A"/>
    <w:rsid w:val="00181ABB"/>
    <w:rsid w:val="00181B7B"/>
    <w:rsid w:val="00181CAB"/>
    <w:rsid w:val="00181CDD"/>
    <w:rsid w:val="00181CE2"/>
    <w:rsid w:val="00181D25"/>
    <w:rsid w:val="00181D66"/>
    <w:rsid w:val="00181DBA"/>
    <w:rsid w:val="00181E41"/>
    <w:rsid w:val="0018208C"/>
    <w:rsid w:val="0018213D"/>
    <w:rsid w:val="001821B8"/>
    <w:rsid w:val="00182223"/>
    <w:rsid w:val="00182380"/>
    <w:rsid w:val="0018239B"/>
    <w:rsid w:val="001823F0"/>
    <w:rsid w:val="001824C1"/>
    <w:rsid w:val="00182661"/>
    <w:rsid w:val="0018268C"/>
    <w:rsid w:val="0018271A"/>
    <w:rsid w:val="001827BE"/>
    <w:rsid w:val="001827FD"/>
    <w:rsid w:val="0018281A"/>
    <w:rsid w:val="0018282D"/>
    <w:rsid w:val="00182864"/>
    <w:rsid w:val="00182919"/>
    <w:rsid w:val="00182938"/>
    <w:rsid w:val="0018299B"/>
    <w:rsid w:val="00182AD8"/>
    <w:rsid w:val="00182AE7"/>
    <w:rsid w:val="00182AFE"/>
    <w:rsid w:val="00182BF7"/>
    <w:rsid w:val="00182C06"/>
    <w:rsid w:val="00182C08"/>
    <w:rsid w:val="00182C3C"/>
    <w:rsid w:val="00182C63"/>
    <w:rsid w:val="00182C87"/>
    <w:rsid w:val="00182D44"/>
    <w:rsid w:val="00182D51"/>
    <w:rsid w:val="00182D7D"/>
    <w:rsid w:val="00182DA7"/>
    <w:rsid w:val="00182DAA"/>
    <w:rsid w:val="00182E43"/>
    <w:rsid w:val="00182E56"/>
    <w:rsid w:val="00182E7B"/>
    <w:rsid w:val="00182EA9"/>
    <w:rsid w:val="00182F99"/>
    <w:rsid w:val="00182FBA"/>
    <w:rsid w:val="00183074"/>
    <w:rsid w:val="001830EB"/>
    <w:rsid w:val="001830FD"/>
    <w:rsid w:val="001831A9"/>
    <w:rsid w:val="001832FD"/>
    <w:rsid w:val="00183402"/>
    <w:rsid w:val="001835A9"/>
    <w:rsid w:val="001835D4"/>
    <w:rsid w:val="00183633"/>
    <w:rsid w:val="001836E1"/>
    <w:rsid w:val="00183708"/>
    <w:rsid w:val="001838F2"/>
    <w:rsid w:val="0018391E"/>
    <w:rsid w:val="00183A36"/>
    <w:rsid w:val="00183B69"/>
    <w:rsid w:val="00183C15"/>
    <w:rsid w:val="00183C19"/>
    <w:rsid w:val="00183C60"/>
    <w:rsid w:val="00183C71"/>
    <w:rsid w:val="00183E5B"/>
    <w:rsid w:val="00183FF5"/>
    <w:rsid w:val="00184039"/>
    <w:rsid w:val="00184049"/>
    <w:rsid w:val="00184091"/>
    <w:rsid w:val="00184127"/>
    <w:rsid w:val="00184142"/>
    <w:rsid w:val="00184209"/>
    <w:rsid w:val="001843A2"/>
    <w:rsid w:val="001843B4"/>
    <w:rsid w:val="00184497"/>
    <w:rsid w:val="001844A0"/>
    <w:rsid w:val="001844B0"/>
    <w:rsid w:val="001844DA"/>
    <w:rsid w:val="0018454B"/>
    <w:rsid w:val="00184585"/>
    <w:rsid w:val="001845A8"/>
    <w:rsid w:val="0018472A"/>
    <w:rsid w:val="00184732"/>
    <w:rsid w:val="00184754"/>
    <w:rsid w:val="00184775"/>
    <w:rsid w:val="0018478F"/>
    <w:rsid w:val="00184864"/>
    <w:rsid w:val="001848BB"/>
    <w:rsid w:val="001848FA"/>
    <w:rsid w:val="00184A61"/>
    <w:rsid w:val="00184A7A"/>
    <w:rsid w:val="00184ACA"/>
    <w:rsid w:val="00184B40"/>
    <w:rsid w:val="00184C0C"/>
    <w:rsid w:val="00184C10"/>
    <w:rsid w:val="00184D80"/>
    <w:rsid w:val="00184E66"/>
    <w:rsid w:val="00184F00"/>
    <w:rsid w:val="00184F07"/>
    <w:rsid w:val="00184FE2"/>
    <w:rsid w:val="00185031"/>
    <w:rsid w:val="001850B4"/>
    <w:rsid w:val="0018516D"/>
    <w:rsid w:val="00185309"/>
    <w:rsid w:val="001853D3"/>
    <w:rsid w:val="0018547B"/>
    <w:rsid w:val="001854C9"/>
    <w:rsid w:val="00185531"/>
    <w:rsid w:val="00185544"/>
    <w:rsid w:val="001855AF"/>
    <w:rsid w:val="001855F7"/>
    <w:rsid w:val="0018560A"/>
    <w:rsid w:val="00185669"/>
    <w:rsid w:val="001856C3"/>
    <w:rsid w:val="0018574E"/>
    <w:rsid w:val="0018580E"/>
    <w:rsid w:val="00185851"/>
    <w:rsid w:val="001858C1"/>
    <w:rsid w:val="0018592F"/>
    <w:rsid w:val="001859B2"/>
    <w:rsid w:val="00185BB5"/>
    <w:rsid w:val="00185BDE"/>
    <w:rsid w:val="00185C56"/>
    <w:rsid w:val="00185C89"/>
    <w:rsid w:val="00185C94"/>
    <w:rsid w:val="00185D4B"/>
    <w:rsid w:val="00185D57"/>
    <w:rsid w:val="00185D79"/>
    <w:rsid w:val="00185DA0"/>
    <w:rsid w:val="00185E45"/>
    <w:rsid w:val="00185E9C"/>
    <w:rsid w:val="00185F54"/>
    <w:rsid w:val="00186021"/>
    <w:rsid w:val="00186082"/>
    <w:rsid w:val="00186108"/>
    <w:rsid w:val="00186158"/>
    <w:rsid w:val="00186180"/>
    <w:rsid w:val="00186272"/>
    <w:rsid w:val="0018628E"/>
    <w:rsid w:val="0018629B"/>
    <w:rsid w:val="0018636F"/>
    <w:rsid w:val="00186537"/>
    <w:rsid w:val="001865AA"/>
    <w:rsid w:val="00186638"/>
    <w:rsid w:val="00186729"/>
    <w:rsid w:val="00186842"/>
    <w:rsid w:val="001868C4"/>
    <w:rsid w:val="001868DF"/>
    <w:rsid w:val="00186947"/>
    <w:rsid w:val="00186964"/>
    <w:rsid w:val="001869AB"/>
    <w:rsid w:val="001869DE"/>
    <w:rsid w:val="00186A68"/>
    <w:rsid w:val="00186A77"/>
    <w:rsid w:val="00186A9C"/>
    <w:rsid w:val="00186AC2"/>
    <w:rsid w:val="00186AC4"/>
    <w:rsid w:val="00186ACC"/>
    <w:rsid w:val="00186CBD"/>
    <w:rsid w:val="00186CC7"/>
    <w:rsid w:val="00186CE5"/>
    <w:rsid w:val="00186D0A"/>
    <w:rsid w:val="00186D27"/>
    <w:rsid w:val="00186D90"/>
    <w:rsid w:val="00186F45"/>
    <w:rsid w:val="0018708C"/>
    <w:rsid w:val="001870B9"/>
    <w:rsid w:val="00187136"/>
    <w:rsid w:val="0018716C"/>
    <w:rsid w:val="001871C2"/>
    <w:rsid w:val="001872FE"/>
    <w:rsid w:val="001873A2"/>
    <w:rsid w:val="0018744A"/>
    <w:rsid w:val="001875AC"/>
    <w:rsid w:val="001875B2"/>
    <w:rsid w:val="00187752"/>
    <w:rsid w:val="00187753"/>
    <w:rsid w:val="00187895"/>
    <w:rsid w:val="001878A5"/>
    <w:rsid w:val="001878CD"/>
    <w:rsid w:val="0018792A"/>
    <w:rsid w:val="00187988"/>
    <w:rsid w:val="00187AE8"/>
    <w:rsid w:val="00187B46"/>
    <w:rsid w:val="00187B4B"/>
    <w:rsid w:val="00187C8D"/>
    <w:rsid w:val="00187CC8"/>
    <w:rsid w:val="00187DBC"/>
    <w:rsid w:val="00187E03"/>
    <w:rsid w:val="00187E8D"/>
    <w:rsid w:val="00187EE1"/>
    <w:rsid w:val="0019004F"/>
    <w:rsid w:val="00190184"/>
    <w:rsid w:val="00190283"/>
    <w:rsid w:val="00190287"/>
    <w:rsid w:val="001902D2"/>
    <w:rsid w:val="001902DC"/>
    <w:rsid w:val="001903BC"/>
    <w:rsid w:val="00190449"/>
    <w:rsid w:val="001904A8"/>
    <w:rsid w:val="00190543"/>
    <w:rsid w:val="001905C5"/>
    <w:rsid w:val="001905E8"/>
    <w:rsid w:val="001905FD"/>
    <w:rsid w:val="001905FF"/>
    <w:rsid w:val="0019062C"/>
    <w:rsid w:val="001906E0"/>
    <w:rsid w:val="00190723"/>
    <w:rsid w:val="0019080A"/>
    <w:rsid w:val="0019088C"/>
    <w:rsid w:val="0019089A"/>
    <w:rsid w:val="001909EC"/>
    <w:rsid w:val="00190AA3"/>
    <w:rsid w:val="00190AAF"/>
    <w:rsid w:val="00190AC3"/>
    <w:rsid w:val="00190B19"/>
    <w:rsid w:val="00190BA0"/>
    <w:rsid w:val="00190BC5"/>
    <w:rsid w:val="00190CE2"/>
    <w:rsid w:val="00190DEB"/>
    <w:rsid w:val="00190EB0"/>
    <w:rsid w:val="00190EC9"/>
    <w:rsid w:val="00190ED0"/>
    <w:rsid w:val="00190F15"/>
    <w:rsid w:val="00190F18"/>
    <w:rsid w:val="0019105A"/>
    <w:rsid w:val="001910AF"/>
    <w:rsid w:val="001910D0"/>
    <w:rsid w:val="0019115C"/>
    <w:rsid w:val="0019125C"/>
    <w:rsid w:val="00191337"/>
    <w:rsid w:val="00191535"/>
    <w:rsid w:val="00191567"/>
    <w:rsid w:val="001915A1"/>
    <w:rsid w:val="00191701"/>
    <w:rsid w:val="00191738"/>
    <w:rsid w:val="001917B6"/>
    <w:rsid w:val="001917C2"/>
    <w:rsid w:val="0019180E"/>
    <w:rsid w:val="00191878"/>
    <w:rsid w:val="00191887"/>
    <w:rsid w:val="001919B5"/>
    <w:rsid w:val="001919C9"/>
    <w:rsid w:val="00191A16"/>
    <w:rsid w:val="00191B5A"/>
    <w:rsid w:val="00191B7B"/>
    <w:rsid w:val="00191BF4"/>
    <w:rsid w:val="00191C01"/>
    <w:rsid w:val="00191C57"/>
    <w:rsid w:val="00191CC0"/>
    <w:rsid w:val="00191CE6"/>
    <w:rsid w:val="00191CEE"/>
    <w:rsid w:val="00191D00"/>
    <w:rsid w:val="00191DFC"/>
    <w:rsid w:val="00191E36"/>
    <w:rsid w:val="00191E67"/>
    <w:rsid w:val="00191ED1"/>
    <w:rsid w:val="00191F14"/>
    <w:rsid w:val="00191F72"/>
    <w:rsid w:val="0019202D"/>
    <w:rsid w:val="001920A4"/>
    <w:rsid w:val="001920F9"/>
    <w:rsid w:val="0019212A"/>
    <w:rsid w:val="00192274"/>
    <w:rsid w:val="0019230C"/>
    <w:rsid w:val="0019242E"/>
    <w:rsid w:val="0019242F"/>
    <w:rsid w:val="001924C6"/>
    <w:rsid w:val="00192500"/>
    <w:rsid w:val="00192516"/>
    <w:rsid w:val="0019256C"/>
    <w:rsid w:val="00192707"/>
    <w:rsid w:val="00192737"/>
    <w:rsid w:val="00192744"/>
    <w:rsid w:val="00192847"/>
    <w:rsid w:val="0019287C"/>
    <w:rsid w:val="0019297C"/>
    <w:rsid w:val="001929C9"/>
    <w:rsid w:val="00192A50"/>
    <w:rsid w:val="00192B18"/>
    <w:rsid w:val="00192B7E"/>
    <w:rsid w:val="00192C1B"/>
    <w:rsid w:val="00192CC9"/>
    <w:rsid w:val="00192D38"/>
    <w:rsid w:val="00192D60"/>
    <w:rsid w:val="00192D66"/>
    <w:rsid w:val="00192D86"/>
    <w:rsid w:val="00192DA1"/>
    <w:rsid w:val="00192DDE"/>
    <w:rsid w:val="00192DFF"/>
    <w:rsid w:val="00192E5D"/>
    <w:rsid w:val="00192F0A"/>
    <w:rsid w:val="00192F3F"/>
    <w:rsid w:val="0019304C"/>
    <w:rsid w:val="00193115"/>
    <w:rsid w:val="0019315A"/>
    <w:rsid w:val="00193191"/>
    <w:rsid w:val="00193208"/>
    <w:rsid w:val="00193211"/>
    <w:rsid w:val="00193218"/>
    <w:rsid w:val="00193238"/>
    <w:rsid w:val="0019333A"/>
    <w:rsid w:val="0019334A"/>
    <w:rsid w:val="00193358"/>
    <w:rsid w:val="00193476"/>
    <w:rsid w:val="001934C2"/>
    <w:rsid w:val="00193523"/>
    <w:rsid w:val="001935F2"/>
    <w:rsid w:val="00193630"/>
    <w:rsid w:val="00193675"/>
    <w:rsid w:val="001937FD"/>
    <w:rsid w:val="00193844"/>
    <w:rsid w:val="001939AA"/>
    <w:rsid w:val="00193ACC"/>
    <w:rsid w:val="00193C51"/>
    <w:rsid w:val="00193CCA"/>
    <w:rsid w:val="00193E97"/>
    <w:rsid w:val="00193ED3"/>
    <w:rsid w:val="00193EF9"/>
    <w:rsid w:val="00194032"/>
    <w:rsid w:val="00194071"/>
    <w:rsid w:val="001942FB"/>
    <w:rsid w:val="00194399"/>
    <w:rsid w:val="0019439E"/>
    <w:rsid w:val="0019444B"/>
    <w:rsid w:val="0019445E"/>
    <w:rsid w:val="00194496"/>
    <w:rsid w:val="0019453B"/>
    <w:rsid w:val="001947A3"/>
    <w:rsid w:val="00194859"/>
    <w:rsid w:val="0019485D"/>
    <w:rsid w:val="00194899"/>
    <w:rsid w:val="001949F5"/>
    <w:rsid w:val="00194A04"/>
    <w:rsid w:val="00194AD6"/>
    <w:rsid w:val="00194B0A"/>
    <w:rsid w:val="00194B7C"/>
    <w:rsid w:val="00194C6E"/>
    <w:rsid w:val="00194CDB"/>
    <w:rsid w:val="00194D07"/>
    <w:rsid w:val="00194E0D"/>
    <w:rsid w:val="00194EA8"/>
    <w:rsid w:val="00194EF3"/>
    <w:rsid w:val="00194F06"/>
    <w:rsid w:val="00194FAC"/>
    <w:rsid w:val="00194FBE"/>
    <w:rsid w:val="0019510F"/>
    <w:rsid w:val="00195171"/>
    <w:rsid w:val="001951B8"/>
    <w:rsid w:val="001951EB"/>
    <w:rsid w:val="0019531F"/>
    <w:rsid w:val="00195321"/>
    <w:rsid w:val="0019534E"/>
    <w:rsid w:val="0019537F"/>
    <w:rsid w:val="00195441"/>
    <w:rsid w:val="0019546E"/>
    <w:rsid w:val="001954D0"/>
    <w:rsid w:val="001954DB"/>
    <w:rsid w:val="001954E9"/>
    <w:rsid w:val="001954F0"/>
    <w:rsid w:val="001954FB"/>
    <w:rsid w:val="001954FD"/>
    <w:rsid w:val="0019559F"/>
    <w:rsid w:val="001955A2"/>
    <w:rsid w:val="001955ED"/>
    <w:rsid w:val="001955F7"/>
    <w:rsid w:val="00195669"/>
    <w:rsid w:val="00195702"/>
    <w:rsid w:val="00195736"/>
    <w:rsid w:val="0019578D"/>
    <w:rsid w:val="001957E2"/>
    <w:rsid w:val="0019581E"/>
    <w:rsid w:val="00195A2D"/>
    <w:rsid w:val="00195A8B"/>
    <w:rsid w:val="00195A97"/>
    <w:rsid w:val="00195B71"/>
    <w:rsid w:val="00195C03"/>
    <w:rsid w:val="00195DD2"/>
    <w:rsid w:val="00195F48"/>
    <w:rsid w:val="00195F90"/>
    <w:rsid w:val="0019604C"/>
    <w:rsid w:val="00196083"/>
    <w:rsid w:val="0019610D"/>
    <w:rsid w:val="001961C7"/>
    <w:rsid w:val="00196261"/>
    <w:rsid w:val="00196297"/>
    <w:rsid w:val="0019637E"/>
    <w:rsid w:val="00196391"/>
    <w:rsid w:val="001963DD"/>
    <w:rsid w:val="001963F6"/>
    <w:rsid w:val="00196468"/>
    <w:rsid w:val="001964BC"/>
    <w:rsid w:val="0019663A"/>
    <w:rsid w:val="001966E0"/>
    <w:rsid w:val="001966E4"/>
    <w:rsid w:val="00196793"/>
    <w:rsid w:val="0019679E"/>
    <w:rsid w:val="00196846"/>
    <w:rsid w:val="00196889"/>
    <w:rsid w:val="001968CC"/>
    <w:rsid w:val="0019699C"/>
    <w:rsid w:val="001969F1"/>
    <w:rsid w:val="00196B1A"/>
    <w:rsid w:val="00196BE9"/>
    <w:rsid w:val="00196CD1"/>
    <w:rsid w:val="00196CFB"/>
    <w:rsid w:val="00196D0A"/>
    <w:rsid w:val="00196D0E"/>
    <w:rsid w:val="00196E7B"/>
    <w:rsid w:val="00196E84"/>
    <w:rsid w:val="00196EA8"/>
    <w:rsid w:val="00196F39"/>
    <w:rsid w:val="00196FAB"/>
    <w:rsid w:val="00196FE5"/>
    <w:rsid w:val="00197085"/>
    <w:rsid w:val="00197143"/>
    <w:rsid w:val="00197172"/>
    <w:rsid w:val="00197186"/>
    <w:rsid w:val="001972E4"/>
    <w:rsid w:val="00197427"/>
    <w:rsid w:val="001974E7"/>
    <w:rsid w:val="00197568"/>
    <w:rsid w:val="00197682"/>
    <w:rsid w:val="0019768C"/>
    <w:rsid w:val="00197716"/>
    <w:rsid w:val="0019774E"/>
    <w:rsid w:val="001977EC"/>
    <w:rsid w:val="00197878"/>
    <w:rsid w:val="00197984"/>
    <w:rsid w:val="00197A05"/>
    <w:rsid w:val="00197A06"/>
    <w:rsid w:val="00197A22"/>
    <w:rsid w:val="00197A42"/>
    <w:rsid w:val="00197A92"/>
    <w:rsid w:val="00197AA9"/>
    <w:rsid w:val="00197B32"/>
    <w:rsid w:val="00197CDD"/>
    <w:rsid w:val="00197E00"/>
    <w:rsid w:val="00197E40"/>
    <w:rsid w:val="00197E74"/>
    <w:rsid w:val="001A0056"/>
    <w:rsid w:val="001A00BB"/>
    <w:rsid w:val="001A00E1"/>
    <w:rsid w:val="001A01BA"/>
    <w:rsid w:val="001A01FB"/>
    <w:rsid w:val="001A030B"/>
    <w:rsid w:val="001A034B"/>
    <w:rsid w:val="001A03AF"/>
    <w:rsid w:val="001A03B1"/>
    <w:rsid w:val="001A03F3"/>
    <w:rsid w:val="001A04DF"/>
    <w:rsid w:val="001A0506"/>
    <w:rsid w:val="001A0575"/>
    <w:rsid w:val="001A0679"/>
    <w:rsid w:val="001A07D7"/>
    <w:rsid w:val="001A0944"/>
    <w:rsid w:val="001A09B2"/>
    <w:rsid w:val="001A0A8C"/>
    <w:rsid w:val="001A0B54"/>
    <w:rsid w:val="001A0BA2"/>
    <w:rsid w:val="001A0C64"/>
    <w:rsid w:val="001A0D14"/>
    <w:rsid w:val="001A0D72"/>
    <w:rsid w:val="001A0D93"/>
    <w:rsid w:val="001A0DBF"/>
    <w:rsid w:val="001A0DF7"/>
    <w:rsid w:val="001A0E8B"/>
    <w:rsid w:val="001A0ECF"/>
    <w:rsid w:val="001A0EF3"/>
    <w:rsid w:val="001A0F21"/>
    <w:rsid w:val="001A1054"/>
    <w:rsid w:val="001A1062"/>
    <w:rsid w:val="001A10A2"/>
    <w:rsid w:val="001A113E"/>
    <w:rsid w:val="001A11E0"/>
    <w:rsid w:val="001A123C"/>
    <w:rsid w:val="001A1458"/>
    <w:rsid w:val="001A154E"/>
    <w:rsid w:val="001A159F"/>
    <w:rsid w:val="001A15BB"/>
    <w:rsid w:val="001A16EF"/>
    <w:rsid w:val="001A179E"/>
    <w:rsid w:val="001A17EC"/>
    <w:rsid w:val="001A1861"/>
    <w:rsid w:val="001A190C"/>
    <w:rsid w:val="001A196D"/>
    <w:rsid w:val="001A1984"/>
    <w:rsid w:val="001A1993"/>
    <w:rsid w:val="001A19B4"/>
    <w:rsid w:val="001A19CA"/>
    <w:rsid w:val="001A19E7"/>
    <w:rsid w:val="001A19F5"/>
    <w:rsid w:val="001A1A47"/>
    <w:rsid w:val="001A1AD8"/>
    <w:rsid w:val="001A1B31"/>
    <w:rsid w:val="001A1C02"/>
    <w:rsid w:val="001A1D02"/>
    <w:rsid w:val="001A1D68"/>
    <w:rsid w:val="001A1DB4"/>
    <w:rsid w:val="001A1E4E"/>
    <w:rsid w:val="001A1E6C"/>
    <w:rsid w:val="001A1FA6"/>
    <w:rsid w:val="001A203C"/>
    <w:rsid w:val="001A2043"/>
    <w:rsid w:val="001A20B2"/>
    <w:rsid w:val="001A21A8"/>
    <w:rsid w:val="001A21D0"/>
    <w:rsid w:val="001A2236"/>
    <w:rsid w:val="001A22AF"/>
    <w:rsid w:val="001A22C7"/>
    <w:rsid w:val="001A2317"/>
    <w:rsid w:val="001A23DC"/>
    <w:rsid w:val="001A2463"/>
    <w:rsid w:val="001A24A8"/>
    <w:rsid w:val="001A24EA"/>
    <w:rsid w:val="001A286C"/>
    <w:rsid w:val="001A299E"/>
    <w:rsid w:val="001A2A33"/>
    <w:rsid w:val="001A2AE7"/>
    <w:rsid w:val="001A2B4A"/>
    <w:rsid w:val="001A2B5F"/>
    <w:rsid w:val="001A2C6A"/>
    <w:rsid w:val="001A2C7E"/>
    <w:rsid w:val="001A2E36"/>
    <w:rsid w:val="001A2E9F"/>
    <w:rsid w:val="001A2EF1"/>
    <w:rsid w:val="001A2FA8"/>
    <w:rsid w:val="001A305E"/>
    <w:rsid w:val="001A3100"/>
    <w:rsid w:val="001A31AE"/>
    <w:rsid w:val="001A31CA"/>
    <w:rsid w:val="001A31F6"/>
    <w:rsid w:val="001A32FF"/>
    <w:rsid w:val="001A339E"/>
    <w:rsid w:val="001A349D"/>
    <w:rsid w:val="001A349E"/>
    <w:rsid w:val="001A34C7"/>
    <w:rsid w:val="001A34E8"/>
    <w:rsid w:val="001A352F"/>
    <w:rsid w:val="001A36F9"/>
    <w:rsid w:val="001A379E"/>
    <w:rsid w:val="001A37BE"/>
    <w:rsid w:val="001A3809"/>
    <w:rsid w:val="001A3841"/>
    <w:rsid w:val="001A388F"/>
    <w:rsid w:val="001A38EC"/>
    <w:rsid w:val="001A38F1"/>
    <w:rsid w:val="001A3A03"/>
    <w:rsid w:val="001A3A18"/>
    <w:rsid w:val="001A3A2A"/>
    <w:rsid w:val="001A3A73"/>
    <w:rsid w:val="001A3AC4"/>
    <w:rsid w:val="001A3B43"/>
    <w:rsid w:val="001A3B85"/>
    <w:rsid w:val="001A3C5C"/>
    <w:rsid w:val="001A3DAE"/>
    <w:rsid w:val="001A3DC3"/>
    <w:rsid w:val="001A3E19"/>
    <w:rsid w:val="001A3E99"/>
    <w:rsid w:val="001A3EC7"/>
    <w:rsid w:val="001A3F95"/>
    <w:rsid w:val="001A4017"/>
    <w:rsid w:val="001A40F0"/>
    <w:rsid w:val="001A4143"/>
    <w:rsid w:val="001A438A"/>
    <w:rsid w:val="001A43B1"/>
    <w:rsid w:val="001A43F1"/>
    <w:rsid w:val="001A4414"/>
    <w:rsid w:val="001A4421"/>
    <w:rsid w:val="001A447B"/>
    <w:rsid w:val="001A459C"/>
    <w:rsid w:val="001A45EE"/>
    <w:rsid w:val="001A4649"/>
    <w:rsid w:val="001A488C"/>
    <w:rsid w:val="001A48C6"/>
    <w:rsid w:val="001A49C6"/>
    <w:rsid w:val="001A49EA"/>
    <w:rsid w:val="001A4A68"/>
    <w:rsid w:val="001A4ABD"/>
    <w:rsid w:val="001A4ACF"/>
    <w:rsid w:val="001A4B1C"/>
    <w:rsid w:val="001A4BBD"/>
    <w:rsid w:val="001A4BF7"/>
    <w:rsid w:val="001A4BFC"/>
    <w:rsid w:val="001A4CB7"/>
    <w:rsid w:val="001A4DCD"/>
    <w:rsid w:val="001A4E20"/>
    <w:rsid w:val="001A4E3A"/>
    <w:rsid w:val="001A4E7E"/>
    <w:rsid w:val="001A4F5B"/>
    <w:rsid w:val="001A4F7E"/>
    <w:rsid w:val="001A51A3"/>
    <w:rsid w:val="001A51DE"/>
    <w:rsid w:val="001A5362"/>
    <w:rsid w:val="001A5447"/>
    <w:rsid w:val="001A547E"/>
    <w:rsid w:val="001A5503"/>
    <w:rsid w:val="001A558B"/>
    <w:rsid w:val="001A561F"/>
    <w:rsid w:val="001A5634"/>
    <w:rsid w:val="001A563E"/>
    <w:rsid w:val="001A567A"/>
    <w:rsid w:val="001A583E"/>
    <w:rsid w:val="001A593F"/>
    <w:rsid w:val="001A5A07"/>
    <w:rsid w:val="001A5A83"/>
    <w:rsid w:val="001A5AAF"/>
    <w:rsid w:val="001A5C92"/>
    <w:rsid w:val="001A5CA3"/>
    <w:rsid w:val="001A5E1D"/>
    <w:rsid w:val="001A5E31"/>
    <w:rsid w:val="001A5E35"/>
    <w:rsid w:val="001A5E73"/>
    <w:rsid w:val="001A5F7E"/>
    <w:rsid w:val="001A5F89"/>
    <w:rsid w:val="001A6088"/>
    <w:rsid w:val="001A60CA"/>
    <w:rsid w:val="001A616F"/>
    <w:rsid w:val="001A629D"/>
    <w:rsid w:val="001A62D2"/>
    <w:rsid w:val="001A63A9"/>
    <w:rsid w:val="001A63C0"/>
    <w:rsid w:val="001A63EA"/>
    <w:rsid w:val="001A6435"/>
    <w:rsid w:val="001A652E"/>
    <w:rsid w:val="001A65AB"/>
    <w:rsid w:val="001A6872"/>
    <w:rsid w:val="001A694C"/>
    <w:rsid w:val="001A69C5"/>
    <w:rsid w:val="001A6AE8"/>
    <w:rsid w:val="001A6B12"/>
    <w:rsid w:val="001A6B5F"/>
    <w:rsid w:val="001A6B70"/>
    <w:rsid w:val="001A6BBF"/>
    <w:rsid w:val="001A6C47"/>
    <w:rsid w:val="001A6C6E"/>
    <w:rsid w:val="001A6D37"/>
    <w:rsid w:val="001A6D52"/>
    <w:rsid w:val="001A6D99"/>
    <w:rsid w:val="001A6E1B"/>
    <w:rsid w:val="001A6ECE"/>
    <w:rsid w:val="001A6F49"/>
    <w:rsid w:val="001A6FA3"/>
    <w:rsid w:val="001A70B7"/>
    <w:rsid w:val="001A70F3"/>
    <w:rsid w:val="001A7243"/>
    <w:rsid w:val="001A72B3"/>
    <w:rsid w:val="001A7392"/>
    <w:rsid w:val="001A7469"/>
    <w:rsid w:val="001A74A9"/>
    <w:rsid w:val="001A753F"/>
    <w:rsid w:val="001A75B8"/>
    <w:rsid w:val="001A761D"/>
    <w:rsid w:val="001A77C7"/>
    <w:rsid w:val="001A7907"/>
    <w:rsid w:val="001A793E"/>
    <w:rsid w:val="001A7A21"/>
    <w:rsid w:val="001A7A44"/>
    <w:rsid w:val="001A7A9F"/>
    <w:rsid w:val="001A7C78"/>
    <w:rsid w:val="001A7CB5"/>
    <w:rsid w:val="001A7CD8"/>
    <w:rsid w:val="001A7D5E"/>
    <w:rsid w:val="001A7DD0"/>
    <w:rsid w:val="001A7E1F"/>
    <w:rsid w:val="001A7E83"/>
    <w:rsid w:val="001A7EFD"/>
    <w:rsid w:val="001A7F2B"/>
    <w:rsid w:val="001A7F34"/>
    <w:rsid w:val="001B00DF"/>
    <w:rsid w:val="001B01FA"/>
    <w:rsid w:val="001B022B"/>
    <w:rsid w:val="001B0330"/>
    <w:rsid w:val="001B0339"/>
    <w:rsid w:val="001B033C"/>
    <w:rsid w:val="001B0556"/>
    <w:rsid w:val="001B0568"/>
    <w:rsid w:val="001B05CF"/>
    <w:rsid w:val="001B0631"/>
    <w:rsid w:val="001B077D"/>
    <w:rsid w:val="001B0818"/>
    <w:rsid w:val="001B09DC"/>
    <w:rsid w:val="001B0AFD"/>
    <w:rsid w:val="001B0C12"/>
    <w:rsid w:val="001B0C27"/>
    <w:rsid w:val="001B0C37"/>
    <w:rsid w:val="001B0C92"/>
    <w:rsid w:val="001B0CED"/>
    <w:rsid w:val="001B0D9E"/>
    <w:rsid w:val="001B0DCE"/>
    <w:rsid w:val="001B0EFE"/>
    <w:rsid w:val="001B0FFD"/>
    <w:rsid w:val="001B10FB"/>
    <w:rsid w:val="001B111F"/>
    <w:rsid w:val="001B11C1"/>
    <w:rsid w:val="001B12CF"/>
    <w:rsid w:val="001B1358"/>
    <w:rsid w:val="001B13C6"/>
    <w:rsid w:val="001B1425"/>
    <w:rsid w:val="001B152B"/>
    <w:rsid w:val="001B15D6"/>
    <w:rsid w:val="001B16B9"/>
    <w:rsid w:val="001B16FA"/>
    <w:rsid w:val="001B1883"/>
    <w:rsid w:val="001B18A1"/>
    <w:rsid w:val="001B1969"/>
    <w:rsid w:val="001B196D"/>
    <w:rsid w:val="001B1976"/>
    <w:rsid w:val="001B19A6"/>
    <w:rsid w:val="001B1A5C"/>
    <w:rsid w:val="001B1B35"/>
    <w:rsid w:val="001B1B42"/>
    <w:rsid w:val="001B1B7B"/>
    <w:rsid w:val="001B1C4A"/>
    <w:rsid w:val="001B1CD6"/>
    <w:rsid w:val="001B1DAD"/>
    <w:rsid w:val="001B1E19"/>
    <w:rsid w:val="001B1E35"/>
    <w:rsid w:val="001B1E3F"/>
    <w:rsid w:val="001B1EB6"/>
    <w:rsid w:val="001B1F47"/>
    <w:rsid w:val="001B1F65"/>
    <w:rsid w:val="001B1F74"/>
    <w:rsid w:val="001B1FCE"/>
    <w:rsid w:val="001B20FD"/>
    <w:rsid w:val="001B2133"/>
    <w:rsid w:val="001B2149"/>
    <w:rsid w:val="001B219A"/>
    <w:rsid w:val="001B21BD"/>
    <w:rsid w:val="001B21D3"/>
    <w:rsid w:val="001B2230"/>
    <w:rsid w:val="001B226A"/>
    <w:rsid w:val="001B2324"/>
    <w:rsid w:val="001B2383"/>
    <w:rsid w:val="001B23D3"/>
    <w:rsid w:val="001B246F"/>
    <w:rsid w:val="001B24C7"/>
    <w:rsid w:val="001B273C"/>
    <w:rsid w:val="001B2869"/>
    <w:rsid w:val="001B28CA"/>
    <w:rsid w:val="001B28F9"/>
    <w:rsid w:val="001B2945"/>
    <w:rsid w:val="001B2995"/>
    <w:rsid w:val="001B29E6"/>
    <w:rsid w:val="001B2B4B"/>
    <w:rsid w:val="001B2BD6"/>
    <w:rsid w:val="001B2CEE"/>
    <w:rsid w:val="001B2D3D"/>
    <w:rsid w:val="001B2F05"/>
    <w:rsid w:val="001B2F60"/>
    <w:rsid w:val="001B309A"/>
    <w:rsid w:val="001B30C0"/>
    <w:rsid w:val="001B3106"/>
    <w:rsid w:val="001B315B"/>
    <w:rsid w:val="001B3188"/>
    <w:rsid w:val="001B3374"/>
    <w:rsid w:val="001B3392"/>
    <w:rsid w:val="001B3401"/>
    <w:rsid w:val="001B3480"/>
    <w:rsid w:val="001B34C5"/>
    <w:rsid w:val="001B34FB"/>
    <w:rsid w:val="001B3511"/>
    <w:rsid w:val="001B35E1"/>
    <w:rsid w:val="001B3623"/>
    <w:rsid w:val="001B3630"/>
    <w:rsid w:val="001B36AD"/>
    <w:rsid w:val="001B36E1"/>
    <w:rsid w:val="001B37D9"/>
    <w:rsid w:val="001B37ED"/>
    <w:rsid w:val="001B37F2"/>
    <w:rsid w:val="001B3869"/>
    <w:rsid w:val="001B38CC"/>
    <w:rsid w:val="001B3958"/>
    <w:rsid w:val="001B39DF"/>
    <w:rsid w:val="001B3A6A"/>
    <w:rsid w:val="001B3AE5"/>
    <w:rsid w:val="001B3B12"/>
    <w:rsid w:val="001B3B4F"/>
    <w:rsid w:val="001B3B99"/>
    <w:rsid w:val="001B3BC6"/>
    <w:rsid w:val="001B3BCF"/>
    <w:rsid w:val="001B3BDA"/>
    <w:rsid w:val="001B3CAB"/>
    <w:rsid w:val="001B3CDE"/>
    <w:rsid w:val="001B3DCA"/>
    <w:rsid w:val="001B3DE7"/>
    <w:rsid w:val="001B3E02"/>
    <w:rsid w:val="001B3E19"/>
    <w:rsid w:val="001B3E6D"/>
    <w:rsid w:val="001B3F45"/>
    <w:rsid w:val="001B3FCA"/>
    <w:rsid w:val="001B4000"/>
    <w:rsid w:val="001B40CF"/>
    <w:rsid w:val="001B40E1"/>
    <w:rsid w:val="001B415F"/>
    <w:rsid w:val="001B41DD"/>
    <w:rsid w:val="001B4214"/>
    <w:rsid w:val="001B42D6"/>
    <w:rsid w:val="001B4395"/>
    <w:rsid w:val="001B43F4"/>
    <w:rsid w:val="001B4564"/>
    <w:rsid w:val="001B4604"/>
    <w:rsid w:val="001B4612"/>
    <w:rsid w:val="001B4659"/>
    <w:rsid w:val="001B4667"/>
    <w:rsid w:val="001B46C1"/>
    <w:rsid w:val="001B4870"/>
    <w:rsid w:val="001B495B"/>
    <w:rsid w:val="001B495D"/>
    <w:rsid w:val="001B49A7"/>
    <w:rsid w:val="001B4A21"/>
    <w:rsid w:val="001B4A25"/>
    <w:rsid w:val="001B4A58"/>
    <w:rsid w:val="001B4B1F"/>
    <w:rsid w:val="001B4B50"/>
    <w:rsid w:val="001B4BF7"/>
    <w:rsid w:val="001B4C00"/>
    <w:rsid w:val="001B4C3B"/>
    <w:rsid w:val="001B4C3D"/>
    <w:rsid w:val="001B4C56"/>
    <w:rsid w:val="001B4C79"/>
    <w:rsid w:val="001B4D24"/>
    <w:rsid w:val="001B5069"/>
    <w:rsid w:val="001B50DD"/>
    <w:rsid w:val="001B510B"/>
    <w:rsid w:val="001B511B"/>
    <w:rsid w:val="001B51AD"/>
    <w:rsid w:val="001B526B"/>
    <w:rsid w:val="001B537B"/>
    <w:rsid w:val="001B5397"/>
    <w:rsid w:val="001B5414"/>
    <w:rsid w:val="001B5465"/>
    <w:rsid w:val="001B54F6"/>
    <w:rsid w:val="001B5519"/>
    <w:rsid w:val="001B555E"/>
    <w:rsid w:val="001B561E"/>
    <w:rsid w:val="001B5635"/>
    <w:rsid w:val="001B5881"/>
    <w:rsid w:val="001B589C"/>
    <w:rsid w:val="001B59FF"/>
    <w:rsid w:val="001B5A68"/>
    <w:rsid w:val="001B5A6A"/>
    <w:rsid w:val="001B5AFC"/>
    <w:rsid w:val="001B5B85"/>
    <w:rsid w:val="001B5BC4"/>
    <w:rsid w:val="001B5D3F"/>
    <w:rsid w:val="001B5D6B"/>
    <w:rsid w:val="001B5D90"/>
    <w:rsid w:val="001B5DF3"/>
    <w:rsid w:val="001B5E71"/>
    <w:rsid w:val="001B5ECC"/>
    <w:rsid w:val="001B6029"/>
    <w:rsid w:val="001B60CB"/>
    <w:rsid w:val="001B60D1"/>
    <w:rsid w:val="001B6212"/>
    <w:rsid w:val="001B62BA"/>
    <w:rsid w:val="001B6420"/>
    <w:rsid w:val="001B6492"/>
    <w:rsid w:val="001B64D2"/>
    <w:rsid w:val="001B6508"/>
    <w:rsid w:val="001B6672"/>
    <w:rsid w:val="001B6687"/>
    <w:rsid w:val="001B66E0"/>
    <w:rsid w:val="001B6764"/>
    <w:rsid w:val="001B6772"/>
    <w:rsid w:val="001B67EA"/>
    <w:rsid w:val="001B687A"/>
    <w:rsid w:val="001B6881"/>
    <w:rsid w:val="001B68AF"/>
    <w:rsid w:val="001B68F7"/>
    <w:rsid w:val="001B69DA"/>
    <w:rsid w:val="001B6A7F"/>
    <w:rsid w:val="001B6B62"/>
    <w:rsid w:val="001B6C93"/>
    <w:rsid w:val="001B6D7F"/>
    <w:rsid w:val="001B6DE0"/>
    <w:rsid w:val="001B6E37"/>
    <w:rsid w:val="001B6E3F"/>
    <w:rsid w:val="001B6FCE"/>
    <w:rsid w:val="001B6FEC"/>
    <w:rsid w:val="001B7176"/>
    <w:rsid w:val="001B71AD"/>
    <w:rsid w:val="001B71EB"/>
    <w:rsid w:val="001B7284"/>
    <w:rsid w:val="001B72C3"/>
    <w:rsid w:val="001B7369"/>
    <w:rsid w:val="001B73E9"/>
    <w:rsid w:val="001B74F0"/>
    <w:rsid w:val="001B753B"/>
    <w:rsid w:val="001B7566"/>
    <w:rsid w:val="001B76A7"/>
    <w:rsid w:val="001B77DB"/>
    <w:rsid w:val="001B788D"/>
    <w:rsid w:val="001B7A11"/>
    <w:rsid w:val="001B7A2E"/>
    <w:rsid w:val="001B7A69"/>
    <w:rsid w:val="001B7A6C"/>
    <w:rsid w:val="001B7B27"/>
    <w:rsid w:val="001B7B40"/>
    <w:rsid w:val="001B7B6A"/>
    <w:rsid w:val="001B7BA4"/>
    <w:rsid w:val="001B7CD5"/>
    <w:rsid w:val="001B7DAC"/>
    <w:rsid w:val="001B7F32"/>
    <w:rsid w:val="001C0074"/>
    <w:rsid w:val="001C009E"/>
    <w:rsid w:val="001C0113"/>
    <w:rsid w:val="001C0147"/>
    <w:rsid w:val="001C01C2"/>
    <w:rsid w:val="001C022D"/>
    <w:rsid w:val="001C0260"/>
    <w:rsid w:val="001C02EB"/>
    <w:rsid w:val="001C02F3"/>
    <w:rsid w:val="001C03CD"/>
    <w:rsid w:val="001C0405"/>
    <w:rsid w:val="001C04CC"/>
    <w:rsid w:val="001C0572"/>
    <w:rsid w:val="001C069A"/>
    <w:rsid w:val="001C06B0"/>
    <w:rsid w:val="001C06ED"/>
    <w:rsid w:val="001C0768"/>
    <w:rsid w:val="001C0769"/>
    <w:rsid w:val="001C088A"/>
    <w:rsid w:val="001C0A1A"/>
    <w:rsid w:val="001C0A7E"/>
    <w:rsid w:val="001C0B43"/>
    <w:rsid w:val="001C0B4B"/>
    <w:rsid w:val="001C0C0B"/>
    <w:rsid w:val="001C0DAA"/>
    <w:rsid w:val="001C0F54"/>
    <w:rsid w:val="001C0F7F"/>
    <w:rsid w:val="001C0F84"/>
    <w:rsid w:val="001C10D2"/>
    <w:rsid w:val="001C1100"/>
    <w:rsid w:val="001C1280"/>
    <w:rsid w:val="001C12AD"/>
    <w:rsid w:val="001C1377"/>
    <w:rsid w:val="001C13C6"/>
    <w:rsid w:val="001C13D1"/>
    <w:rsid w:val="001C1416"/>
    <w:rsid w:val="001C1487"/>
    <w:rsid w:val="001C161B"/>
    <w:rsid w:val="001C1796"/>
    <w:rsid w:val="001C17A9"/>
    <w:rsid w:val="001C17DF"/>
    <w:rsid w:val="001C1879"/>
    <w:rsid w:val="001C193B"/>
    <w:rsid w:val="001C1A36"/>
    <w:rsid w:val="001C1A9A"/>
    <w:rsid w:val="001C1B04"/>
    <w:rsid w:val="001C1C19"/>
    <w:rsid w:val="001C1CED"/>
    <w:rsid w:val="001C1D8B"/>
    <w:rsid w:val="001C1ED6"/>
    <w:rsid w:val="001C1EE7"/>
    <w:rsid w:val="001C1FB1"/>
    <w:rsid w:val="001C2070"/>
    <w:rsid w:val="001C2085"/>
    <w:rsid w:val="001C2089"/>
    <w:rsid w:val="001C21D7"/>
    <w:rsid w:val="001C2225"/>
    <w:rsid w:val="001C2254"/>
    <w:rsid w:val="001C2300"/>
    <w:rsid w:val="001C23A1"/>
    <w:rsid w:val="001C23E3"/>
    <w:rsid w:val="001C251D"/>
    <w:rsid w:val="001C2578"/>
    <w:rsid w:val="001C25EA"/>
    <w:rsid w:val="001C2653"/>
    <w:rsid w:val="001C2668"/>
    <w:rsid w:val="001C268E"/>
    <w:rsid w:val="001C26E4"/>
    <w:rsid w:val="001C285B"/>
    <w:rsid w:val="001C29A6"/>
    <w:rsid w:val="001C2A62"/>
    <w:rsid w:val="001C2AA7"/>
    <w:rsid w:val="001C2ABA"/>
    <w:rsid w:val="001C2CDA"/>
    <w:rsid w:val="001C2D35"/>
    <w:rsid w:val="001C2D5C"/>
    <w:rsid w:val="001C2D6E"/>
    <w:rsid w:val="001C2DCA"/>
    <w:rsid w:val="001C2DCD"/>
    <w:rsid w:val="001C2F14"/>
    <w:rsid w:val="001C2F15"/>
    <w:rsid w:val="001C2F70"/>
    <w:rsid w:val="001C2FCD"/>
    <w:rsid w:val="001C3030"/>
    <w:rsid w:val="001C3033"/>
    <w:rsid w:val="001C3104"/>
    <w:rsid w:val="001C3217"/>
    <w:rsid w:val="001C3276"/>
    <w:rsid w:val="001C32DD"/>
    <w:rsid w:val="001C33A6"/>
    <w:rsid w:val="001C33E8"/>
    <w:rsid w:val="001C345D"/>
    <w:rsid w:val="001C351F"/>
    <w:rsid w:val="001C3556"/>
    <w:rsid w:val="001C35FD"/>
    <w:rsid w:val="001C3648"/>
    <w:rsid w:val="001C370E"/>
    <w:rsid w:val="001C3842"/>
    <w:rsid w:val="001C38E6"/>
    <w:rsid w:val="001C3998"/>
    <w:rsid w:val="001C3A38"/>
    <w:rsid w:val="001C3AF0"/>
    <w:rsid w:val="001C3CD2"/>
    <w:rsid w:val="001C3DF2"/>
    <w:rsid w:val="001C3F81"/>
    <w:rsid w:val="001C4100"/>
    <w:rsid w:val="001C411D"/>
    <w:rsid w:val="001C4120"/>
    <w:rsid w:val="001C4126"/>
    <w:rsid w:val="001C4214"/>
    <w:rsid w:val="001C4295"/>
    <w:rsid w:val="001C42F5"/>
    <w:rsid w:val="001C43C8"/>
    <w:rsid w:val="001C43E0"/>
    <w:rsid w:val="001C4593"/>
    <w:rsid w:val="001C45B0"/>
    <w:rsid w:val="001C45D8"/>
    <w:rsid w:val="001C45E7"/>
    <w:rsid w:val="001C4601"/>
    <w:rsid w:val="001C474B"/>
    <w:rsid w:val="001C4765"/>
    <w:rsid w:val="001C496F"/>
    <w:rsid w:val="001C499D"/>
    <w:rsid w:val="001C4A01"/>
    <w:rsid w:val="001C4A72"/>
    <w:rsid w:val="001C4B22"/>
    <w:rsid w:val="001C4B8A"/>
    <w:rsid w:val="001C4D29"/>
    <w:rsid w:val="001C4D44"/>
    <w:rsid w:val="001C4DBB"/>
    <w:rsid w:val="001C4DFC"/>
    <w:rsid w:val="001C4E8D"/>
    <w:rsid w:val="001C4F51"/>
    <w:rsid w:val="001C4FCF"/>
    <w:rsid w:val="001C507E"/>
    <w:rsid w:val="001C5094"/>
    <w:rsid w:val="001C5133"/>
    <w:rsid w:val="001C514B"/>
    <w:rsid w:val="001C518D"/>
    <w:rsid w:val="001C5190"/>
    <w:rsid w:val="001C51A3"/>
    <w:rsid w:val="001C52A0"/>
    <w:rsid w:val="001C52A8"/>
    <w:rsid w:val="001C5317"/>
    <w:rsid w:val="001C5329"/>
    <w:rsid w:val="001C53E0"/>
    <w:rsid w:val="001C53ED"/>
    <w:rsid w:val="001C5461"/>
    <w:rsid w:val="001C560E"/>
    <w:rsid w:val="001C5646"/>
    <w:rsid w:val="001C56AF"/>
    <w:rsid w:val="001C572A"/>
    <w:rsid w:val="001C5740"/>
    <w:rsid w:val="001C57B8"/>
    <w:rsid w:val="001C59C5"/>
    <w:rsid w:val="001C5A67"/>
    <w:rsid w:val="001C5BAB"/>
    <w:rsid w:val="001C5CBA"/>
    <w:rsid w:val="001C5CDF"/>
    <w:rsid w:val="001C5E0B"/>
    <w:rsid w:val="001C5E4F"/>
    <w:rsid w:val="001C5EC7"/>
    <w:rsid w:val="001C60CB"/>
    <w:rsid w:val="001C60D1"/>
    <w:rsid w:val="001C6226"/>
    <w:rsid w:val="001C622F"/>
    <w:rsid w:val="001C6263"/>
    <w:rsid w:val="001C645E"/>
    <w:rsid w:val="001C656E"/>
    <w:rsid w:val="001C6748"/>
    <w:rsid w:val="001C6749"/>
    <w:rsid w:val="001C67DA"/>
    <w:rsid w:val="001C681A"/>
    <w:rsid w:val="001C6882"/>
    <w:rsid w:val="001C6954"/>
    <w:rsid w:val="001C6995"/>
    <w:rsid w:val="001C69C3"/>
    <w:rsid w:val="001C6C40"/>
    <w:rsid w:val="001C6E99"/>
    <w:rsid w:val="001C6FE3"/>
    <w:rsid w:val="001C7029"/>
    <w:rsid w:val="001C710C"/>
    <w:rsid w:val="001C7271"/>
    <w:rsid w:val="001C72A1"/>
    <w:rsid w:val="001C7326"/>
    <w:rsid w:val="001C737F"/>
    <w:rsid w:val="001C7403"/>
    <w:rsid w:val="001C7442"/>
    <w:rsid w:val="001C7445"/>
    <w:rsid w:val="001C7459"/>
    <w:rsid w:val="001C761E"/>
    <w:rsid w:val="001C7810"/>
    <w:rsid w:val="001C7819"/>
    <w:rsid w:val="001C7898"/>
    <w:rsid w:val="001C7905"/>
    <w:rsid w:val="001C7912"/>
    <w:rsid w:val="001C7A0E"/>
    <w:rsid w:val="001C7BDF"/>
    <w:rsid w:val="001C7C42"/>
    <w:rsid w:val="001C7C66"/>
    <w:rsid w:val="001C7C99"/>
    <w:rsid w:val="001C7DA6"/>
    <w:rsid w:val="001C7EA4"/>
    <w:rsid w:val="001C7FD3"/>
    <w:rsid w:val="001D0030"/>
    <w:rsid w:val="001D00DA"/>
    <w:rsid w:val="001D021A"/>
    <w:rsid w:val="001D048D"/>
    <w:rsid w:val="001D04C2"/>
    <w:rsid w:val="001D04DC"/>
    <w:rsid w:val="001D04DE"/>
    <w:rsid w:val="001D0516"/>
    <w:rsid w:val="001D053E"/>
    <w:rsid w:val="001D0564"/>
    <w:rsid w:val="001D05B4"/>
    <w:rsid w:val="001D05D8"/>
    <w:rsid w:val="001D0634"/>
    <w:rsid w:val="001D0774"/>
    <w:rsid w:val="001D0780"/>
    <w:rsid w:val="001D07F9"/>
    <w:rsid w:val="001D0801"/>
    <w:rsid w:val="001D0900"/>
    <w:rsid w:val="001D0925"/>
    <w:rsid w:val="001D0959"/>
    <w:rsid w:val="001D0967"/>
    <w:rsid w:val="001D09B1"/>
    <w:rsid w:val="001D09EA"/>
    <w:rsid w:val="001D0A8C"/>
    <w:rsid w:val="001D0AB3"/>
    <w:rsid w:val="001D0AF2"/>
    <w:rsid w:val="001D0C30"/>
    <w:rsid w:val="001D0D0D"/>
    <w:rsid w:val="001D0D1A"/>
    <w:rsid w:val="001D0EB1"/>
    <w:rsid w:val="001D0F59"/>
    <w:rsid w:val="001D0F5E"/>
    <w:rsid w:val="001D0FA4"/>
    <w:rsid w:val="001D12B2"/>
    <w:rsid w:val="001D13E8"/>
    <w:rsid w:val="001D1451"/>
    <w:rsid w:val="001D15E8"/>
    <w:rsid w:val="001D15F4"/>
    <w:rsid w:val="001D16A2"/>
    <w:rsid w:val="001D185A"/>
    <w:rsid w:val="001D193D"/>
    <w:rsid w:val="001D1AB2"/>
    <w:rsid w:val="001D1B33"/>
    <w:rsid w:val="001D1B4B"/>
    <w:rsid w:val="001D1BB3"/>
    <w:rsid w:val="001D1C6D"/>
    <w:rsid w:val="001D1D30"/>
    <w:rsid w:val="001D1E02"/>
    <w:rsid w:val="001D1E06"/>
    <w:rsid w:val="001D1E2D"/>
    <w:rsid w:val="001D1EBB"/>
    <w:rsid w:val="001D1F98"/>
    <w:rsid w:val="001D1FAA"/>
    <w:rsid w:val="001D2038"/>
    <w:rsid w:val="001D2136"/>
    <w:rsid w:val="001D216D"/>
    <w:rsid w:val="001D227E"/>
    <w:rsid w:val="001D22BD"/>
    <w:rsid w:val="001D230B"/>
    <w:rsid w:val="001D242C"/>
    <w:rsid w:val="001D2444"/>
    <w:rsid w:val="001D2488"/>
    <w:rsid w:val="001D251E"/>
    <w:rsid w:val="001D25F4"/>
    <w:rsid w:val="001D26E1"/>
    <w:rsid w:val="001D270B"/>
    <w:rsid w:val="001D2772"/>
    <w:rsid w:val="001D2859"/>
    <w:rsid w:val="001D28A5"/>
    <w:rsid w:val="001D298D"/>
    <w:rsid w:val="001D2994"/>
    <w:rsid w:val="001D29F2"/>
    <w:rsid w:val="001D2A0E"/>
    <w:rsid w:val="001D2AB5"/>
    <w:rsid w:val="001D2BCA"/>
    <w:rsid w:val="001D2C52"/>
    <w:rsid w:val="001D2C79"/>
    <w:rsid w:val="001D2D69"/>
    <w:rsid w:val="001D2E05"/>
    <w:rsid w:val="001D2E92"/>
    <w:rsid w:val="001D302C"/>
    <w:rsid w:val="001D30AC"/>
    <w:rsid w:val="001D30FC"/>
    <w:rsid w:val="001D3181"/>
    <w:rsid w:val="001D31E7"/>
    <w:rsid w:val="001D3406"/>
    <w:rsid w:val="001D34E3"/>
    <w:rsid w:val="001D35E8"/>
    <w:rsid w:val="001D3602"/>
    <w:rsid w:val="001D371B"/>
    <w:rsid w:val="001D3727"/>
    <w:rsid w:val="001D376F"/>
    <w:rsid w:val="001D37C1"/>
    <w:rsid w:val="001D39C7"/>
    <w:rsid w:val="001D39DD"/>
    <w:rsid w:val="001D3A95"/>
    <w:rsid w:val="001D3AF3"/>
    <w:rsid w:val="001D3B81"/>
    <w:rsid w:val="001D3BF1"/>
    <w:rsid w:val="001D3C26"/>
    <w:rsid w:val="001D3C77"/>
    <w:rsid w:val="001D3CA4"/>
    <w:rsid w:val="001D3D07"/>
    <w:rsid w:val="001D3DC0"/>
    <w:rsid w:val="001D3E88"/>
    <w:rsid w:val="001D3EF0"/>
    <w:rsid w:val="001D3FE9"/>
    <w:rsid w:val="001D3FF2"/>
    <w:rsid w:val="001D408E"/>
    <w:rsid w:val="001D40BB"/>
    <w:rsid w:val="001D4188"/>
    <w:rsid w:val="001D41D1"/>
    <w:rsid w:val="001D4216"/>
    <w:rsid w:val="001D4286"/>
    <w:rsid w:val="001D431F"/>
    <w:rsid w:val="001D43B4"/>
    <w:rsid w:val="001D441C"/>
    <w:rsid w:val="001D447D"/>
    <w:rsid w:val="001D4585"/>
    <w:rsid w:val="001D476E"/>
    <w:rsid w:val="001D484C"/>
    <w:rsid w:val="001D4867"/>
    <w:rsid w:val="001D489A"/>
    <w:rsid w:val="001D48B5"/>
    <w:rsid w:val="001D49CB"/>
    <w:rsid w:val="001D4AF1"/>
    <w:rsid w:val="001D4BA1"/>
    <w:rsid w:val="001D4BBD"/>
    <w:rsid w:val="001D4C19"/>
    <w:rsid w:val="001D4C31"/>
    <w:rsid w:val="001D4C53"/>
    <w:rsid w:val="001D4CBF"/>
    <w:rsid w:val="001D4D4B"/>
    <w:rsid w:val="001D4D55"/>
    <w:rsid w:val="001D4D66"/>
    <w:rsid w:val="001D4D78"/>
    <w:rsid w:val="001D4D81"/>
    <w:rsid w:val="001D4E22"/>
    <w:rsid w:val="001D4E37"/>
    <w:rsid w:val="001D4E52"/>
    <w:rsid w:val="001D4F18"/>
    <w:rsid w:val="001D5017"/>
    <w:rsid w:val="001D5077"/>
    <w:rsid w:val="001D52BB"/>
    <w:rsid w:val="001D53F6"/>
    <w:rsid w:val="001D5445"/>
    <w:rsid w:val="001D54B5"/>
    <w:rsid w:val="001D5554"/>
    <w:rsid w:val="001D5597"/>
    <w:rsid w:val="001D56E7"/>
    <w:rsid w:val="001D56FD"/>
    <w:rsid w:val="001D583C"/>
    <w:rsid w:val="001D5856"/>
    <w:rsid w:val="001D58B9"/>
    <w:rsid w:val="001D59B5"/>
    <w:rsid w:val="001D5B3F"/>
    <w:rsid w:val="001D5C09"/>
    <w:rsid w:val="001D5C15"/>
    <w:rsid w:val="001D5C39"/>
    <w:rsid w:val="001D5C40"/>
    <w:rsid w:val="001D5CA3"/>
    <w:rsid w:val="001D5D12"/>
    <w:rsid w:val="001D5D2F"/>
    <w:rsid w:val="001D5D55"/>
    <w:rsid w:val="001D5D95"/>
    <w:rsid w:val="001D5E37"/>
    <w:rsid w:val="001D5ECF"/>
    <w:rsid w:val="001D5EE9"/>
    <w:rsid w:val="001D5FD2"/>
    <w:rsid w:val="001D6052"/>
    <w:rsid w:val="001D61D9"/>
    <w:rsid w:val="001D6212"/>
    <w:rsid w:val="001D6368"/>
    <w:rsid w:val="001D6391"/>
    <w:rsid w:val="001D63B2"/>
    <w:rsid w:val="001D64A7"/>
    <w:rsid w:val="001D65E7"/>
    <w:rsid w:val="001D6601"/>
    <w:rsid w:val="001D6645"/>
    <w:rsid w:val="001D6649"/>
    <w:rsid w:val="001D666F"/>
    <w:rsid w:val="001D6781"/>
    <w:rsid w:val="001D685F"/>
    <w:rsid w:val="001D68AD"/>
    <w:rsid w:val="001D6A3D"/>
    <w:rsid w:val="001D6C08"/>
    <w:rsid w:val="001D6DE0"/>
    <w:rsid w:val="001D6E87"/>
    <w:rsid w:val="001D6EBA"/>
    <w:rsid w:val="001D6FDC"/>
    <w:rsid w:val="001D7038"/>
    <w:rsid w:val="001D70B7"/>
    <w:rsid w:val="001D7205"/>
    <w:rsid w:val="001D7375"/>
    <w:rsid w:val="001D75DA"/>
    <w:rsid w:val="001D766D"/>
    <w:rsid w:val="001D769C"/>
    <w:rsid w:val="001D76DB"/>
    <w:rsid w:val="001D7909"/>
    <w:rsid w:val="001D79B0"/>
    <w:rsid w:val="001D79CA"/>
    <w:rsid w:val="001D79EA"/>
    <w:rsid w:val="001D7A0C"/>
    <w:rsid w:val="001D7B1C"/>
    <w:rsid w:val="001D7BA2"/>
    <w:rsid w:val="001D7BBC"/>
    <w:rsid w:val="001D7C3F"/>
    <w:rsid w:val="001D7C63"/>
    <w:rsid w:val="001D7D84"/>
    <w:rsid w:val="001D7D9E"/>
    <w:rsid w:val="001D7DFF"/>
    <w:rsid w:val="001D7E02"/>
    <w:rsid w:val="001D7E45"/>
    <w:rsid w:val="001D7F0A"/>
    <w:rsid w:val="001D7F37"/>
    <w:rsid w:val="001D7F3F"/>
    <w:rsid w:val="001E0066"/>
    <w:rsid w:val="001E0083"/>
    <w:rsid w:val="001E0233"/>
    <w:rsid w:val="001E0276"/>
    <w:rsid w:val="001E028C"/>
    <w:rsid w:val="001E02C9"/>
    <w:rsid w:val="001E0419"/>
    <w:rsid w:val="001E0466"/>
    <w:rsid w:val="001E056E"/>
    <w:rsid w:val="001E05C7"/>
    <w:rsid w:val="001E0645"/>
    <w:rsid w:val="001E073A"/>
    <w:rsid w:val="001E07B6"/>
    <w:rsid w:val="001E08DA"/>
    <w:rsid w:val="001E092D"/>
    <w:rsid w:val="001E0974"/>
    <w:rsid w:val="001E09C3"/>
    <w:rsid w:val="001E09C7"/>
    <w:rsid w:val="001E0A60"/>
    <w:rsid w:val="001E0CCD"/>
    <w:rsid w:val="001E0D66"/>
    <w:rsid w:val="001E0DA2"/>
    <w:rsid w:val="001E0DF9"/>
    <w:rsid w:val="001E0E39"/>
    <w:rsid w:val="001E0F25"/>
    <w:rsid w:val="001E0FEC"/>
    <w:rsid w:val="001E10CC"/>
    <w:rsid w:val="001E1144"/>
    <w:rsid w:val="001E1237"/>
    <w:rsid w:val="001E12C3"/>
    <w:rsid w:val="001E1329"/>
    <w:rsid w:val="001E1383"/>
    <w:rsid w:val="001E14ED"/>
    <w:rsid w:val="001E156C"/>
    <w:rsid w:val="001E15A3"/>
    <w:rsid w:val="001E15AD"/>
    <w:rsid w:val="001E17CE"/>
    <w:rsid w:val="001E1967"/>
    <w:rsid w:val="001E197B"/>
    <w:rsid w:val="001E197D"/>
    <w:rsid w:val="001E19AB"/>
    <w:rsid w:val="001E1A23"/>
    <w:rsid w:val="001E1A78"/>
    <w:rsid w:val="001E1A88"/>
    <w:rsid w:val="001E1AC4"/>
    <w:rsid w:val="001E1AE3"/>
    <w:rsid w:val="001E1B92"/>
    <w:rsid w:val="001E1C47"/>
    <w:rsid w:val="001E1C4D"/>
    <w:rsid w:val="001E1C7E"/>
    <w:rsid w:val="001E1CEC"/>
    <w:rsid w:val="001E1D83"/>
    <w:rsid w:val="001E1DE2"/>
    <w:rsid w:val="001E1E00"/>
    <w:rsid w:val="001E1E47"/>
    <w:rsid w:val="001E1F97"/>
    <w:rsid w:val="001E1FE6"/>
    <w:rsid w:val="001E208E"/>
    <w:rsid w:val="001E2186"/>
    <w:rsid w:val="001E219D"/>
    <w:rsid w:val="001E21AB"/>
    <w:rsid w:val="001E21AE"/>
    <w:rsid w:val="001E21DA"/>
    <w:rsid w:val="001E2371"/>
    <w:rsid w:val="001E2456"/>
    <w:rsid w:val="001E24D0"/>
    <w:rsid w:val="001E24ED"/>
    <w:rsid w:val="001E24F5"/>
    <w:rsid w:val="001E2715"/>
    <w:rsid w:val="001E271B"/>
    <w:rsid w:val="001E278D"/>
    <w:rsid w:val="001E285C"/>
    <w:rsid w:val="001E28C7"/>
    <w:rsid w:val="001E2A0A"/>
    <w:rsid w:val="001E2A36"/>
    <w:rsid w:val="001E2A5B"/>
    <w:rsid w:val="001E2A9B"/>
    <w:rsid w:val="001E2CBC"/>
    <w:rsid w:val="001E2CBD"/>
    <w:rsid w:val="001E2D29"/>
    <w:rsid w:val="001E2EB5"/>
    <w:rsid w:val="001E2ED9"/>
    <w:rsid w:val="001E2EE4"/>
    <w:rsid w:val="001E2F05"/>
    <w:rsid w:val="001E2F8D"/>
    <w:rsid w:val="001E3326"/>
    <w:rsid w:val="001E332E"/>
    <w:rsid w:val="001E3368"/>
    <w:rsid w:val="001E3378"/>
    <w:rsid w:val="001E354B"/>
    <w:rsid w:val="001E356B"/>
    <w:rsid w:val="001E3627"/>
    <w:rsid w:val="001E3681"/>
    <w:rsid w:val="001E370B"/>
    <w:rsid w:val="001E374C"/>
    <w:rsid w:val="001E377B"/>
    <w:rsid w:val="001E37FE"/>
    <w:rsid w:val="001E3808"/>
    <w:rsid w:val="001E3877"/>
    <w:rsid w:val="001E3A11"/>
    <w:rsid w:val="001E3AA0"/>
    <w:rsid w:val="001E3AB0"/>
    <w:rsid w:val="001E3AB6"/>
    <w:rsid w:val="001E3AC4"/>
    <w:rsid w:val="001E3AE5"/>
    <w:rsid w:val="001E3B28"/>
    <w:rsid w:val="001E3B7E"/>
    <w:rsid w:val="001E3C93"/>
    <w:rsid w:val="001E3C9A"/>
    <w:rsid w:val="001E3E73"/>
    <w:rsid w:val="001E3E9D"/>
    <w:rsid w:val="001E3EEC"/>
    <w:rsid w:val="001E3EFE"/>
    <w:rsid w:val="001E3F12"/>
    <w:rsid w:val="001E3F61"/>
    <w:rsid w:val="001E4066"/>
    <w:rsid w:val="001E408E"/>
    <w:rsid w:val="001E40F2"/>
    <w:rsid w:val="001E41B2"/>
    <w:rsid w:val="001E41E8"/>
    <w:rsid w:val="001E41F1"/>
    <w:rsid w:val="001E4248"/>
    <w:rsid w:val="001E4366"/>
    <w:rsid w:val="001E437A"/>
    <w:rsid w:val="001E44D5"/>
    <w:rsid w:val="001E450B"/>
    <w:rsid w:val="001E455F"/>
    <w:rsid w:val="001E4727"/>
    <w:rsid w:val="001E472D"/>
    <w:rsid w:val="001E4730"/>
    <w:rsid w:val="001E4773"/>
    <w:rsid w:val="001E47ED"/>
    <w:rsid w:val="001E4806"/>
    <w:rsid w:val="001E4856"/>
    <w:rsid w:val="001E4AC9"/>
    <w:rsid w:val="001E4AE6"/>
    <w:rsid w:val="001E4BA8"/>
    <w:rsid w:val="001E4BCE"/>
    <w:rsid w:val="001E4C97"/>
    <w:rsid w:val="001E4D93"/>
    <w:rsid w:val="001E4DB6"/>
    <w:rsid w:val="001E4E3F"/>
    <w:rsid w:val="001E4E4F"/>
    <w:rsid w:val="001E50D7"/>
    <w:rsid w:val="001E51D6"/>
    <w:rsid w:val="001E52AF"/>
    <w:rsid w:val="001E53B0"/>
    <w:rsid w:val="001E53DD"/>
    <w:rsid w:val="001E5490"/>
    <w:rsid w:val="001E5502"/>
    <w:rsid w:val="001E550A"/>
    <w:rsid w:val="001E554C"/>
    <w:rsid w:val="001E55C2"/>
    <w:rsid w:val="001E55CA"/>
    <w:rsid w:val="001E560C"/>
    <w:rsid w:val="001E567F"/>
    <w:rsid w:val="001E5777"/>
    <w:rsid w:val="001E58C4"/>
    <w:rsid w:val="001E591B"/>
    <w:rsid w:val="001E59B1"/>
    <w:rsid w:val="001E59BD"/>
    <w:rsid w:val="001E59F4"/>
    <w:rsid w:val="001E5C4E"/>
    <w:rsid w:val="001E5D24"/>
    <w:rsid w:val="001E5EA0"/>
    <w:rsid w:val="001E5EDA"/>
    <w:rsid w:val="001E5EFE"/>
    <w:rsid w:val="001E5F66"/>
    <w:rsid w:val="001E5F82"/>
    <w:rsid w:val="001E6192"/>
    <w:rsid w:val="001E61AD"/>
    <w:rsid w:val="001E62F8"/>
    <w:rsid w:val="001E63E3"/>
    <w:rsid w:val="001E64DE"/>
    <w:rsid w:val="001E65B2"/>
    <w:rsid w:val="001E6620"/>
    <w:rsid w:val="001E66C2"/>
    <w:rsid w:val="001E678C"/>
    <w:rsid w:val="001E6841"/>
    <w:rsid w:val="001E6885"/>
    <w:rsid w:val="001E6988"/>
    <w:rsid w:val="001E6A3B"/>
    <w:rsid w:val="001E6AE4"/>
    <w:rsid w:val="001E6AF6"/>
    <w:rsid w:val="001E6AFD"/>
    <w:rsid w:val="001E6BA4"/>
    <w:rsid w:val="001E6D48"/>
    <w:rsid w:val="001E6D79"/>
    <w:rsid w:val="001E6DCE"/>
    <w:rsid w:val="001E6E0A"/>
    <w:rsid w:val="001E6E2B"/>
    <w:rsid w:val="001E6E3A"/>
    <w:rsid w:val="001E6E9F"/>
    <w:rsid w:val="001E6EA1"/>
    <w:rsid w:val="001E7029"/>
    <w:rsid w:val="001E702F"/>
    <w:rsid w:val="001E706C"/>
    <w:rsid w:val="001E7090"/>
    <w:rsid w:val="001E70B1"/>
    <w:rsid w:val="001E70E7"/>
    <w:rsid w:val="001E72B6"/>
    <w:rsid w:val="001E7327"/>
    <w:rsid w:val="001E738B"/>
    <w:rsid w:val="001E748B"/>
    <w:rsid w:val="001E74CF"/>
    <w:rsid w:val="001E74D7"/>
    <w:rsid w:val="001E75CC"/>
    <w:rsid w:val="001E766B"/>
    <w:rsid w:val="001E76BE"/>
    <w:rsid w:val="001E7782"/>
    <w:rsid w:val="001E779A"/>
    <w:rsid w:val="001E779F"/>
    <w:rsid w:val="001E7835"/>
    <w:rsid w:val="001E792C"/>
    <w:rsid w:val="001E7965"/>
    <w:rsid w:val="001E799C"/>
    <w:rsid w:val="001E79A2"/>
    <w:rsid w:val="001E7B6A"/>
    <w:rsid w:val="001E7C2C"/>
    <w:rsid w:val="001E7C4E"/>
    <w:rsid w:val="001E7CF6"/>
    <w:rsid w:val="001E7D58"/>
    <w:rsid w:val="001E7D68"/>
    <w:rsid w:val="001E7DB5"/>
    <w:rsid w:val="001E7F08"/>
    <w:rsid w:val="001E7F44"/>
    <w:rsid w:val="001E7FE2"/>
    <w:rsid w:val="001F01FD"/>
    <w:rsid w:val="001F0323"/>
    <w:rsid w:val="001F04DE"/>
    <w:rsid w:val="001F06C4"/>
    <w:rsid w:val="001F07F5"/>
    <w:rsid w:val="001F083F"/>
    <w:rsid w:val="001F0888"/>
    <w:rsid w:val="001F08DF"/>
    <w:rsid w:val="001F0983"/>
    <w:rsid w:val="001F0B15"/>
    <w:rsid w:val="001F0B6D"/>
    <w:rsid w:val="001F0BE7"/>
    <w:rsid w:val="001F0BEF"/>
    <w:rsid w:val="001F0DC5"/>
    <w:rsid w:val="001F0E15"/>
    <w:rsid w:val="001F0E91"/>
    <w:rsid w:val="001F0F69"/>
    <w:rsid w:val="001F0F98"/>
    <w:rsid w:val="001F0FE3"/>
    <w:rsid w:val="001F10A2"/>
    <w:rsid w:val="001F10C3"/>
    <w:rsid w:val="001F1118"/>
    <w:rsid w:val="001F1152"/>
    <w:rsid w:val="001F1280"/>
    <w:rsid w:val="001F15A4"/>
    <w:rsid w:val="001F1622"/>
    <w:rsid w:val="001F17A5"/>
    <w:rsid w:val="001F187E"/>
    <w:rsid w:val="001F18E5"/>
    <w:rsid w:val="001F1910"/>
    <w:rsid w:val="001F195B"/>
    <w:rsid w:val="001F1AD5"/>
    <w:rsid w:val="001F1B32"/>
    <w:rsid w:val="001F1B5B"/>
    <w:rsid w:val="001F1C80"/>
    <w:rsid w:val="001F1D63"/>
    <w:rsid w:val="001F1E67"/>
    <w:rsid w:val="001F1F1C"/>
    <w:rsid w:val="001F1F47"/>
    <w:rsid w:val="001F2017"/>
    <w:rsid w:val="001F22B3"/>
    <w:rsid w:val="001F244D"/>
    <w:rsid w:val="001F2462"/>
    <w:rsid w:val="001F24B6"/>
    <w:rsid w:val="001F24E2"/>
    <w:rsid w:val="001F25CC"/>
    <w:rsid w:val="001F26CF"/>
    <w:rsid w:val="001F2816"/>
    <w:rsid w:val="001F282E"/>
    <w:rsid w:val="001F29A4"/>
    <w:rsid w:val="001F2ADC"/>
    <w:rsid w:val="001F2B56"/>
    <w:rsid w:val="001F2BD2"/>
    <w:rsid w:val="001F2C1E"/>
    <w:rsid w:val="001F2C20"/>
    <w:rsid w:val="001F2CB3"/>
    <w:rsid w:val="001F2D2F"/>
    <w:rsid w:val="001F2DB9"/>
    <w:rsid w:val="001F2DF5"/>
    <w:rsid w:val="001F2EAC"/>
    <w:rsid w:val="001F2FAF"/>
    <w:rsid w:val="001F3061"/>
    <w:rsid w:val="001F30AF"/>
    <w:rsid w:val="001F30F0"/>
    <w:rsid w:val="001F3103"/>
    <w:rsid w:val="001F3146"/>
    <w:rsid w:val="001F3158"/>
    <w:rsid w:val="001F3358"/>
    <w:rsid w:val="001F3423"/>
    <w:rsid w:val="001F34CC"/>
    <w:rsid w:val="001F351F"/>
    <w:rsid w:val="001F354E"/>
    <w:rsid w:val="001F356B"/>
    <w:rsid w:val="001F36C3"/>
    <w:rsid w:val="001F36FA"/>
    <w:rsid w:val="001F370F"/>
    <w:rsid w:val="001F37E0"/>
    <w:rsid w:val="001F3824"/>
    <w:rsid w:val="001F3837"/>
    <w:rsid w:val="001F389D"/>
    <w:rsid w:val="001F38AF"/>
    <w:rsid w:val="001F396D"/>
    <w:rsid w:val="001F3BF0"/>
    <w:rsid w:val="001F3D3D"/>
    <w:rsid w:val="001F3D5F"/>
    <w:rsid w:val="001F3DFA"/>
    <w:rsid w:val="001F3EDA"/>
    <w:rsid w:val="001F3EEF"/>
    <w:rsid w:val="001F3F6C"/>
    <w:rsid w:val="001F3F71"/>
    <w:rsid w:val="001F401C"/>
    <w:rsid w:val="001F405B"/>
    <w:rsid w:val="001F4061"/>
    <w:rsid w:val="001F4170"/>
    <w:rsid w:val="001F4213"/>
    <w:rsid w:val="001F430E"/>
    <w:rsid w:val="001F4395"/>
    <w:rsid w:val="001F43A3"/>
    <w:rsid w:val="001F4460"/>
    <w:rsid w:val="001F4583"/>
    <w:rsid w:val="001F45DA"/>
    <w:rsid w:val="001F469D"/>
    <w:rsid w:val="001F46CE"/>
    <w:rsid w:val="001F47B6"/>
    <w:rsid w:val="001F49EA"/>
    <w:rsid w:val="001F49F2"/>
    <w:rsid w:val="001F4A53"/>
    <w:rsid w:val="001F4C14"/>
    <w:rsid w:val="001F4C8C"/>
    <w:rsid w:val="001F4C9A"/>
    <w:rsid w:val="001F4CAE"/>
    <w:rsid w:val="001F4CF1"/>
    <w:rsid w:val="001F4D20"/>
    <w:rsid w:val="001F4DD7"/>
    <w:rsid w:val="001F4DDE"/>
    <w:rsid w:val="001F4E1B"/>
    <w:rsid w:val="001F4E98"/>
    <w:rsid w:val="001F4F5E"/>
    <w:rsid w:val="001F5251"/>
    <w:rsid w:val="001F529E"/>
    <w:rsid w:val="001F52CF"/>
    <w:rsid w:val="001F538D"/>
    <w:rsid w:val="001F5453"/>
    <w:rsid w:val="001F548A"/>
    <w:rsid w:val="001F565B"/>
    <w:rsid w:val="001F5732"/>
    <w:rsid w:val="001F5744"/>
    <w:rsid w:val="001F57C6"/>
    <w:rsid w:val="001F57C8"/>
    <w:rsid w:val="001F57FD"/>
    <w:rsid w:val="001F5845"/>
    <w:rsid w:val="001F58DD"/>
    <w:rsid w:val="001F58DF"/>
    <w:rsid w:val="001F59AF"/>
    <w:rsid w:val="001F5A66"/>
    <w:rsid w:val="001F5BCA"/>
    <w:rsid w:val="001F5BF8"/>
    <w:rsid w:val="001F5C6A"/>
    <w:rsid w:val="001F5C8B"/>
    <w:rsid w:val="001F5D12"/>
    <w:rsid w:val="001F5D19"/>
    <w:rsid w:val="001F5DB9"/>
    <w:rsid w:val="001F5E47"/>
    <w:rsid w:val="001F5F24"/>
    <w:rsid w:val="001F5F4C"/>
    <w:rsid w:val="001F5FA5"/>
    <w:rsid w:val="001F5FF6"/>
    <w:rsid w:val="001F6018"/>
    <w:rsid w:val="001F601E"/>
    <w:rsid w:val="001F60FD"/>
    <w:rsid w:val="001F6130"/>
    <w:rsid w:val="001F6146"/>
    <w:rsid w:val="001F6358"/>
    <w:rsid w:val="001F637D"/>
    <w:rsid w:val="001F638B"/>
    <w:rsid w:val="001F63D5"/>
    <w:rsid w:val="001F64B8"/>
    <w:rsid w:val="001F64DD"/>
    <w:rsid w:val="001F64EA"/>
    <w:rsid w:val="001F656A"/>
    <w:rsid w:val="001F65C3"/>
    <w:rsid w:val="001F66EF"/>
    <w:rsid w:val="001F675C"/>
    <w:rsid w:val="001F6806"/>
    <w:rsid w:val="001F6C08"/>
    <w:rsid w:val="001F6CD2"/>
    <w:rsid w:val="001F6CF5"/>
    <w:rsid w:val="001F6D3E"/>
    <w:rsid w:val="001F6D48"/>
    <w:rsid w:val="001F6DBF"/>
    <w:rsid w:val="001F6F13"/>
    <w:rsid w:val="001F6F31"/>
    <w:rsid w:val="001F6FCF"/>
    <w:rsid w:val="001F703A"/>
    <w:rsid w:val="001F70D5"/>
    <w:rsid w:val="001F7172"/>
    <w:rsid w:val="001F71FB"/>
    <w:rsid w:val="001F720D"/>
    <w:rsid w:val="001F7230"/>
    <w:rsid w:val="001F72A5"/>
    <w:rsid w:val="001F72AD"/>
    <w:rsid w:val="001F7391"/>
    <w:rsid w:val="001F73B0"/>
    <w:rsid w:val="001F73B2"/>
    <w:rsid w:val="001F7458"/>
    <w:rsid w:val="001F7541"/>
    <w:rsid w:val="001F7559"/>
    <w:rsid w:val="001F7566"/>
    <w:rsid w:val="001F757D"/>
    <w:rsid w:val="001F7665"/>
    <w:rsid w:val="001F76A7"/>
    <w:rsid w:val="001F79C7"/>
    <w:rsid w:val="001F7AFD"/>
    <w:rsid w:val="001F7BA9"/>
    <w:rsid w:val="001F7BAF"/>
    <w:rsid w:val="001F7C83"/>
    <w:rsid w:val="001F7CBE"/>
    <w:rsid w:val="001F7CE2"/>
    <w:rsid w:val="001F7D87"/>
    <w:rsid w:val="001F7DCD"/>
    <w:rsid w:val="001F7EBD"/>
    <w:rsid w:val="00200014"/>
    <w:rsid w:val="0020013B"/>
    <w:rsid w:val="0020014C"/>
    <w:rsid w:val="002001A0"/>
    <w:rsid w:val="00200239"/>
    <w:rsid w:val="002002C9"/>
    <w:rsid w:val="0020034B"/>
    <w:rsid w:val="00200369"/>
    <w:rsid w:val="00200415"/>
    <w:rsid w:val="0020049C"/>
    <w:rsid w:val="00200548"/>
    <w:rsid w:val="00200668"/>
    <w:rsid w:val="00200853"/>
    <w:rsid w:val="002008BD"/>
    <w:rsid w:val="00200AE5"/>
    <w:rsid w:val="00200B15"/>
    <w:rsid w:val="00200CAA"/>
    <w:rsid w:val="00200D13"/>
    <w:rsid w:val="00200D83"/>
    <w:rsid w:val="00200DFE"/>
    <w:rsid w:val="00200E02"/>
    <w:rsid w:val="00200E5F"/>
    <w:rsid w:val="00200F0F"/>
    <w:rsid w:val="00200FCE"/>
    <w:rsid w:val="00201209"/>
    <w:rsid w:val="002013A7"/>
    <w:rsid w:val="00201481"/>
    <w:rsid w:val="002015DF"/>
    <w:rsid w:val="00201666"/>
    <w:rsid w:val="00201744"/>
    <w:rsid w:val="00201762"/>
    <w:rsid w:val="0020177F"/>
    <w:rsid w:val="002018B4"/>
    <w:rsid w:val="002019AD"/>
    <w:rsid w:val="00201B65"/>
    <w:rsid w:val="00201BDF"/>
    <w:rsid w:val="00201D8D"/>
    <w:rsid w:val="00201E04"/>
    <w:rsid w:val="00201EBD"/>
    <w:rsid w:val="00201ED9"/>
    <w:rsid w:val="00201F71"/>
    <w:rsid w:val="00201FC5"/>
    <w:rsid w:val="00202123"/>
    <w:rsid w:val="00202383"/>
    <w:rsid w:val="0020242C"/>
    <w:rsid w:val="002024FC"/>
    <w:rsid w:val="00202568"/>
    <w:rsid w:val="0020257D"/>
    <w:rsid w:val="00202582"/>
    <w:rsid w:val="002025AF"/>
    <w:rsid w:val="002025F7"/>
    <w:rsid w:val="0020265B"/>
    <w:rsid w:val="002028C4"/>
    <w:rsid w:val="00202948"/>
    <w:rsid w:val="0020297A"/>
    <w:rsid w:val="002029D1"/>
    <w:rsid w:val="00202A3A"/>
    <w:rsid w:val="00202AC5"/>
    <w:rsid w:val="00202C1E"/>
    <w:rsid w:val="00202D63"/>
    <w:rsid w:val="00202D97"/>
    <w:rsid w:val="00202DCC"/>
    <w:rsid w:val="00202E6E"/>
    <w:rsid w:val="00202FEF"/>
    <w:rsid w:val="00202FFD"/>
    <w:rsid w:val="002030CE"/>
    <w:rsid w:val="002031CC"/>
    <w:rsid w:val="0020325D"/>
    <w:rsid w:val="002032B3"/>
    <w:rsid w:val="002034A0"/>
    <w:rsid w:val="0020351F"/>
    <w:rsid w:val="002035B3"/>
    <w:rsid w:val="002035FD"/>
    <w:rsid w:val="0020372C"/>
    <w:rsid w:val="0020375A"/>
    <w:rsid w:val="002037A0"/>
    <w:rsid w:val="002037A7"/>
    <w:rsid w:val="002037A9"/>
    <w:rsid w:val="002037E6"/>
    <w:rsid w:val="00203828"/>
    <w:rsid w:val="00203855"/>
    <w:rsid w:val="002039AC"/>
    <w:rsid w:val="002039D9"/>
    <w:rsid w:val="002039DD"/>
    <w:rsid w:val="002039E9"/>
    <w:rsid w:val="00203B00"/>
    <w:rsid w:val="00203B2D"/>
    <w:rsid w:val="00203B35"/>
    <w:rsid w:val="00203B7E"/>
    <w:rsid w:val="00203D4D"/>
    <w:rsid w:val="00203D68"/>
    <w:rsid w:val="00203D9D"/>
    <w:rsid w:val="00203E41"/>
    <w:rsid w:val="00203E6F"/>
    <w:rsid w:val="00204020"/>
    <w:rsid w:val="002040DA"/>
    <w:rsid w:val="00204117"/>
    <w:rsid w:val="00204207"/>
    <w:rsid w:val="00204217"/>
    <w:rsid w:val="00204258"/>
    <w:rsid w:val="00204330"/>
    <w:rsid w:val="00204373"/>
    <w:rsid w:val="0020440E"/>
    <w:rsid w:val="0020444F"/>
    <w:rsid w:val="0020455D"/>
    <w:rsid w:val="002045A7"/>
    <w:rsid w:val="002046AD"/>
    <w:rsid w:val="002046BC"/>
    <w:rsid w:val="002046CE"/>
    <w:rsid w:val="002046DF"/>
    <w:rsid w:val="002046FB"/>
    <w:rsid w:val="002047C0"/>
    <w:rsid w:val="00204955"/>
    <w:rsid w:val="00204964"/>
    <w:rsid w:val="002049F7"/>
    <w:rsid w:val="00204A13"/>
    <w:rsid w:val="00204A46"/>
    <w:rsid w:val="00204BDC"/>
    <w:rsid w:val="00204BF9"/>
    <w:rsid w:val="00204C44"/>
    <w:rsid w:val="00204CA2"/>
    <w:rsid w:val="00204CDE"/>
    <w:rsid w:val="00204DE2"/>
    <w:rsid w:val="00204EC5"/>
    <w:rsid w:val="00204EE1"/>
    <w:rsid w:val="00204F09"/>
    <w:rsid w:val="0020511C"/>
    <w:rsid w:val="00205179"/>
    <w:rsid w:val="0020517E"/>
    <w:rsid w:val="002051E2"/>
    <w:rsid w:val="0020521A"/>
    <w:rsid w:val="002052A2"/>
    <w:rsid w:val="002052F7"/>
    <w:rsid w:val="0020538A"/>
    <w:rsid w:val="0020547B"/>
    <w:rsid w:val="00205491"/>
    <w:rsid w:val="002054D8"/>
    <w:rsid w:val="00205509"/>
    <w:rsid w:val="0020556B"/>
    <w:rsid w:val="00205599"/>
    <w:rsid w:val="0020562E"/>
    <w:rsid w:val="002056B7"/>
    <w:rsid w:val="002056E3"/>
    <w:rsid w:val="00205794"/>
    <w:rsid w:val="002057FA"/>
    <w:rsid w:val="0020588B"/>
    <w:rsid w:val="002058C3"/>
    <w:rsid w:val="00205930"/>
    <w:rsid w:val="002059D1"/>
    <w:rsid w:val="00205A55"/>
    <w:rsid w:val="00205AA6"/>
    <w:rsid w:val="00205AC1"/>
    <w:rsid w:val="00205BA4"/>
    <w:rsid w:val="00205D1E"/>
    <w:rsid w:val="00205D41"/>
    <w:rsid w:val="00205DCE"/>
    <w:rsid w:val="00205DE0"/>
    <w:rsid w:val="00205E09"/>
    <w:rsid w:val="00205E84"/>
    <w:rsid w:val="00205F34"/>
    <w:rsid w:val="00205F7A"/>
    <w:rsid w:val="00205FF4"/>
    <w:rsid w:val="0020607C"/>
    <w:rsid w:val="0020608E"/>
    <w:rsid w:val="002060B2"/>
    <w:rsid w:val="002060F9"/>
    <w:rsid w:val="00206128"/>
    <w:rsid w:val="0020617C"/>
    <w:rsid w:val="00206210"/>
    <w:rsid w:val="00206290"/>
    <w:rsid w:val="002062C5"/>
    <w:rsid w:val="0020636A"/>
    <w:rsid w:val="00206416"/>
    <w:rsid w:val="00206457"/>
    <w:rsid w:val="002065DA"/>
    <w:rsid w:val="00206655"/>
    <w:rsid w:val="00206667"/>
    <w:rsid w:val="00206673"/>
    <w:rsid w:val="002066C0"/>
    <w:rsid w:val="002066D5"/>
    <w:rsid w:val="00206719"/>
    <w:rsid w:val="00206728"/>
    <w:rsid w:val="00206806"/>
    <w:rsid w:val="00206811"/>
    <w:rsid w:val="002068F4"/>
    <w:rsid w:val="00206918"/>
    <w:rsid w:val="00206943"/>
    <w:rsid w:val="0020696A"/>
    <w:rsid w:val="002069DF"/>
    <w:rsid w:val="002069F9"/>
    <w:rsid w:val="00206A05"/>
    <w:rsid w:val="00206ACE"/>
    <w:rsid w:val="00206B75"/>
    <w:rsid w:val="00206B84"/>
    <w:rsid w:val="00206B9C"/>
    <w:rsid w:val="00206BC7"/>
    <w:rsid w:val="00206BDB"/>
    <w:rsid w:val="00206BE7"/>
    <w:rsid w:val="00206CCE"/>
    <w:rsid w:val="00206D4C"/>
    <w:rsid w:val="00206E04"/>
    <w:rsid w:val="00206F53"/>
    <w:rsid w:val="00206F89"/>
    <w:rsid w:val="00206FB7"/>
    <w:rsid w:val="00207015"/>
    <w:rsid w:val="0020706D"/>
    <w:rsid w:val="002071C1"/>
    <w:rsid w:val="00207357"/>
    <w:rsid w:val="002073B2"/>
    <w:rsid w:val="002073BC"/>
    <w:rsid w:val="0020741A"/>
    <w:rsid w:val="00207468"/>
    <w:rsid w:val="00207494"/>
    <w:rsid w:val="002074CB"/>
    <w:rsid w:val="00207542"/>
    <w:rsid w:val="00207641"/>
    <w:rsid w:val="00207661"/>
    <w:rsid w:val="00207686"/>
    <w:rsid w:val="002076AF"/>
    <w:rsid w:val="00207738"/>
    <w:rsid w:val="00207739"/>
    <w:rsid w:val="002078D0"/>
    <w:rsid w:val="0020790A"/>
    <w:rsid w:val="00207922"/>
    <w:rsid w:val="00207929"/>
    <w:rsid w:val="0020793E"/>
    <w:rsid w:val="002079B7"/>
    <w:rsid w:val="00207BC7"/>
    <w:rsid w:val="00207C91"/>
    <w:rsid w:val="00207E0D"/>
    <w:rsid w:val="00207E9B"/>
    <w:rsid w:val="00207FB0"/>
    <w:rsid w:val="0021005A"/>
    <w:rsid w:val="00210079"/>
    <w:rsid w:val="00210090"/>
    <w:rsid w:val="002100D9"/>
    <w:rsid w:val="002100DC"/>
    <w:rsid w:val="00210158"/>
    <w:rsid w:val="00210191"/>
    <w:rsid w:val="002101C8"/>
    <w:rsid w:val="002102A6"/>
    <w:rsid w:val="00210313"/>
    <w:rsid w:val="00210368"/>
    <w:rsid w:val="002103A8"/>
    <w:rsid w:val="002103DA"/>
    <w:rsid w:val="0021048D"/>
    <w:rsid w:val="002104C8"/>
    <w:rsid w:val="002104EA"/>
    <w:rsid w:val="0021050F"/>
    <w:rsid w:val="0021059E"/>
    <w:rsid w:val="002106B5"/>
    <w:rsid w:val="002106E6"/>
    <w:rsid w:val="00210740"/>
    <w:rsid w:val="00210761"/>
    <w:rsid w:val="0021076D"/>
    <w:rsid w:val="002107A8"/>
    <w:rsid w:val="002107B0"/>
    <w:rsid w:val="00210945"/>
    <w:rsid w:val="002109AF"/>
    <w:rsid w:val="002109D8"/>
    <w:rsid w:val="00210A46"/>
    <w:rsid w:val="00210ADC"/>
    <w:rsid w:val="00210C0A"/>
    <w:rsid w:val="00210D38"/>
    <w:rsid w:val="00210DB6"/>
    <w:rsid w:val="00210DF3"/>
    <w:rsid w:val="00210DF4"/>
    <w:rsid w:val="00211004"/>
    <w:rsid w:val="0021100D"/>
    <w:rsid w:val="00211045"/>
    <w:rsid w:val="002110B6"/>
    <w:rsid w:val="0021130D"/>
    <w:rsid w:val="00211336"/>
    <w:rsid w:val="0021134A"/>
    <w:rsid w:val="00211384"/>
    <w:rsid w:val="00211433"/>
    <w:rsid w:val="0021147F"/>
    <w:rsid w:val="00211498"/>
    <w:rsid w:val="0021152D"/>
    <w:rsid w:val="002116CD"/>
    <w:rsid w:val="002116E1"/>
    <w:rsid w:val="002116EE"/>
    <w:rsid w:val="0021172D"/>
    <w:rsid w:val="00211735"/>
    <w:rsid w:val="002117F7"/>
    <w:rsid w:val="00211823"/>
    <w:rsid w:val="00211B7C"/>
    <w:rsid w:val="00211BF7"/>
    <w:rsid w:val="00211D29"/>
    <w:rsid w:val="00211DA4"/>
    <w:rsid w:val="00211DB7"/>
    <w:rsid w:val="00211DE5"/>
    <w:rsid w:val="00211EE2"/>
    <w:rsid w:val="00212042"/>
    <w:rsid w:val="0021205F"/>
    <w:rsid w:val="002120A6"/>
    <w:rsid w:val="0021217A"/>
    <w:rsid w:val="002121BC"/>
    <w:rsid w:val="002121FF"/>
    <w:rsid w:val="00212232"/>
    <w:rsid w:val="0021233C"/>
    <w:rsid w:val="00212440"/>
    <w:rsid w:val="002124B3"/>
    <w:rsid w:val="002126B5"/>
    <w:rsid w:val="00212715"/>
    <w:rsid w:val="00212761"/>
    <w:rsid w:val="002127EE"/>
    <w:rsid w:val="00212848"/>
    <w:rsid w:val="002129CC"/>
    <w:rsid w:val="00212A50"/>
    <w:rsid w:val="00212ADC"/>
    <w:rsid w:val="00212B19"/>
    <w:rsid w:val="00212B33"/>
    <w:rsid w:val="00212B72"/>
    <w:rsid w:val="00212E78"/>
    <w:rsid w:val="00212E86"/>
    <w:rsid w:val="0021310E"/>
    <w:rsid w:val="0021315F"/>
    <w:rsid w:val="00213180"/>
    <w:rsid w:val="00213200"/>
    <w:rsid w:val="00213242"/>
    <w:rsid w:val="0021325B"/>
    <w:rsid w:val="00213338"/>
    <w:rsid w:val="002133EA"/>
    <w:rsid w:val="00213447"/>
    <w:rsid w:val="00213457"/>
    <w:rsid w:val="002134B5"/>
    <w:rsid w:val="00213533"/>
    <w:rsid w:val="002135A0"/>
    <w:rsid w:val="002135C2"/>
    <w:rsid w:val="00213631"/>
    <w:rsid w:val="002136C4"/>
    <w:rsid w:val="0021377D"/>
    <w:rsid w:val="002137E7"/>
    <w:rsid w:val="002137EA"/>
    <w:rsid w:val="00213800"/>
    <w:rsid w:val="00213812"/>
    <w:rsid w:val="002138A3"/>
    <w:rsid w:val="002138B3"/>
    <w:rsid w:val="00213A31"/>
    <w:rsid w:val="00213A7E"/>
    <w:rsid w:val="00213AEA"/>
    <w:rsid w:val="00213AFD"/>
    <w:rsid w:val="00213B2A"/>
    <w:rsid w:val="00213C82"/>
    <w:rsid w:val="00213D6B"/>
    <w:rsid w:val="00213D7C"/>
    <w:rsid w:val="00213E84"/>
    <w:rsid w:val="00213EA5"/>
    <w:rsid w:val="00213EE1"/>
    <w:rsid w:val="00213F8D"/>
    <w:rsid w:val="00213FEC"/>
    <w:rsid w:val="00214020"/>
    <w:rsid w:val="00214063"/>
    <w:rsid w:val="00214085"/>
    <w:rsid w:val="00214148"/>
    <w:rsid w:val="00214184"/>
    <w:rsid w:val="00214443"/>
    <w:rsid w:val="002144C2"/>
    <w:rsid w:val="002144EC"/>
    <w:rsid w:val="002144F3"/>
    <w:rsid w:val="00214590"/>
    <w:rsid w:val="002145CA"/>
    <w:rsid w:val="00214600"/>
    <w:rsid w:val="00214667"/>
    <w:rsid w:val="0021467F"/>
    <w:rsid w:val="002147DB"/>
    <w:rsid w:val="00214820"/>
    <w:rsid w:val="0021493E"/>
    <w:rsid w:val="0021496E"/>
    <w:rsid w:val="00214A0B"/>
    <w:rsid w:val="00214A75"/>
    <w:rsid w:val="00214A7F"/>
    <w:rsid w:val="00214B19"/>
    <w:rsid w:val="00214B72"/>
    <w:rsid w:val="00214C24"/>
    <w:rsid w:val="00214D4A"/>
    <w:rsid w:val="00214DD2"/>
    <w:rsid w:val="00214DD6"/>
    <w:rsid w:val="00214E78"/>
    <w:rsid w:val="00214F49"/>
    <w:rsid w:val="00214F6F"/>
    <w:rsid w:val="00214FD6"/>
    <w:rsid w:val="002150D4"/>
    <w:rsid w:val="002151B9"/>
    <w:rsid w:val="0021520A"/>
    <w:rsid w:val="0021521E"/>
    <w:rsid w:val="00215235"/>
    <w:rsid w:val="00215364"/>
    <w:rsid w:val="0021539F"/>
    <w:rsid w:val="002153BB"/>
    <w:rsid w:val="00215563"/>
    <w:rsid w:val="0021558E"/>
    <w:rsid w:val="0021562C"/>
    <w:rsid w:val="00215717"/>
    <w:rsid w:val="00215733"/>
    <w:rsid w:val="0021579B"/>
    <w:rsid w:val="00215927"/>
    <w:rsid w:val="002159ED"/>
    <w:rsid w:val="00215B4C"/>
    <w:rsid w:val="00215C47"/>
    <w:rsid w:val="00215CC1"/>
    <w:rsid w:val="00215CDA"/>
    <w:rsid w:val="00215CE7"/>
    <w:rsid w:val="00215DC6"/>
    <w:rsid w:val="00215F14"/>
    <w:rsid w:val="00215F23"/>
    <w:rsid w:val="00215F8B"/>
    <w:rsid w:val="00216004"/>
    <w:rsid w:val="002160FA"/>
    <w:rsid w:val="00216167"/>
    <w:rsid w:val="00216179"/>
    <w:rsid w:val="002161A7"/>
    <w:rsid w:val="002161DE"/>
    <w:rsid w:val="002162FF"/>
    <w:rsid w:val="00216370"/>
    <w:rsid w:val="00216442"/>
    <w:rsid w:val="0021648B"/>
    <w:rsid w:val="0021650E"/>
    <w:rsid w:val="00216631"/>
    <w:rsid w:val="0021663A"/>
    <w:rsid w:val="0021667F"/>
    <w:rsid w:val="00216721"/>
    <w:rsid w:val="00216727"/>
    <w:rsid w:val="0021677C"/>
    <w:rsid w:val="002167D0"/>
    <w:rsid w:val="002168D1"/>
    <w:rsid w:val="002169A4"/>
    <w:rsid w:val="002169D2"/>
    <w:rsid w:val="00216A48"/>
    <w:rsid w:val="00216AB0"/>
    <w:rsid w:val="00216AD1"/>
    <w:rsid w:val="00216C52"/>
    <w:rsid w:val="00216C5E"/>
    <w:rsid w:val="00216D57"/>
    <w:rsid w:val="00216DAC"/>
    <w:rsid w:val="00216E5C"/>
    <w:rsid w:val="00216F13"/>
    <w:rsid w:val="00216FAD"/>
    <w:rsid w:val="00216FDC"/>
    <w:rsid w:val="0021703C"/>
    <w:rsid w:val="002170ED"/>
    <w:rsid w:val="002172CA"/>
    <w:rsid w:val="0021746B"/>
    <w:rsid w:val="00217527"/>
    <w:rsid w:val="0021754E"/>
    <w:rsid w:val="00217573"/>
    <w:rsid w:val="002175DB"/>
    <w:rsid w:val="002175E8"/>
    <w:rsid w:val="0021768E"/>
    <w:rsid w:val="002177C5"/>
    <w:rsid w:val="002177EA"/>
    <w:rsid w:val="00217820"/>
    <w:rsid w:val="00217850"/>
    <w:rsid w:val="00217853"/>
    <w:rsid w:val="00217986"/>
    <w:rsid w:val="002179AE"/>
    <w:rsid w:val="002179E4"/>
    <w:rsid w:val="002179F1"/>
    <w:rsid w:val="00217A13"/>
    <w:rsid w:val="00217A5E"/>
    <w:rsid w:val="00217B26"/>
    <w:rsid w:val="00217B6D"/>
    <w:rsid w:val="00217BBC"/>
    <w:rsid w:val="00217C18"/>
    <w:rsid w:val="00217CC3"/>
    <w:rsid w:val="00217D86"/>
    <w:rsid w:val="00217DBE"/>
    <w:rsid w:val="00217E95"/>
    <w:rsid w:val="00217EE4"/>
    <w:rsid w:val="00217F10"/>
    <w:rsid w:val="00217FCF"/>
    <w:rsid w:val="0022004C"/>
    <w:rsid w:val="0022005F"/>
    <w:rsid w:val="00220067"/>
    <w:rsid w:val="002200AA"/>
    <w:rsid w:val="00220198"/>
    <w:rsid w:val="00220204"/>
    <w:rsid w:val="002202A8"/>
    <w:rsid w:val="002202F8"/>
    <w:rsid w:val="00220329"/>
    <w:rsid w:val="0022034F"/>
    <w:rsid w:val="0022039E"/>
    <w:rsid w:val="002204EC"/>
    <w:rsid w:val="0022066B"/>
    <w:rsid w:val="002206A0"/>
    <w:rsid w:val="00220782"/>
    <w:rsid w:val="002207B6"/>
    <w:rsid w:val="002207FD"/>
    <w:rsid w:val="0022082C"/>
    <w:rsid w:val="0022086F"/>
    <w:rsid w:val="0022088B"/>
    <w:rsid w:val="00220941"/>
    <w:rsid w:val="002209D0"/>
    <w:rsid w:val="00220A44"/>
    <w:rsid w:val="00220A4F"/>
    <w:rsid w:val="00220AEC"/>
    <w:rsid w:val="00220BD9"/>
    <w:rsid w:val="00220C17"/>
    <w:rsid w:val="00220C42"/>
    <w:rsid w:val="00220CA0"/>
    <w:rsid w:val="00220CE8"/>
    <w:rsid w:val="00220D93"/>
    <w:rsid w:val="00220E1B"/>
    <w:rsid w:val="00220EA3"/>
    <w:rsid w:val="00220ECE"/>
    <w:rsid w:val="00220EDF"/>
    <w:rsid w:val="00220EF4"/>
    <w:rsid w:val="00220EF7"/>
    <w:rsid w:val="00220F93"/>
    <w:rsid w:val="0022128F"/>
    <w:rsid w:val="002212CA"/>
    <w:rsid w:val="00221374"/>
    <w:rsid w:val="002213DA"/>
    <w:rsid w:val="00221428"/>
    <w:rsid w:val="00221535"/>
    <w:rsid w:val="0022154C"/>
    <w:rsid w:val="00221595"/>
    <w:rsid w:val="002215CD"/>
    <w:rsid w:val="00221666"/>
    <w:rsid w:val="0022168E"/>
    <w:rsid w:val="002216A8"/>
    <w:rsid w:val="00221718"/>
    <w:rsid w:val="0022176A"/>
    <w:rsid w:val="0022183B"/>
    <w:rsid w:val="00221858"/>
    <w:rsid w:val="0022187D"/>
    <w:rsid w:val="00221892"/>
    <w:rsid w:val="0022189C"/>
    <w:rsid w:val="00221963"/>
    <w:rsid w:val="002219D8"/>
    <w:rsid w:val="00221A90"/>
    <w:rsid w:val="00221B8B"/>
    <w:rsid w:val="00221E7B"/>
    <w:rsid w:val="00221EAF"/>
    <w:rsid w:val="00221F34"/>
    <w:rsid w:val="0022206F"/>
    <w:rsid w:val="002220E4"/>
    <w:rsid w:val="00222117"/>
    <w:rsid w:val="0022211B"/>
    <w:rsid w:val="00222187"/>
    <w:rsid w:val="0022218C"/>
    <w:rsid w:val="00222207"/>
    <w:rsid w:val="00222254"/>
    <w:rsid w:val="0022226E"/>
    <w:rsid w:val="00222303"/>
    <w:rsid w:val="002223D2"/>
    <w:rsid w:val="0022240F"/>
    <w:rsid w:val="00222418"/>
    <w:rsid w:val="002226C1"/>
    <w:rsid w:val="00222731"/>
    <w:rsid w:val="0022277A"/>
    <w:rsid w:val="00222782"/>
    <w:rsid w:val="002227BF"/>
    <w:rsid w:val="0022291D"/>
    <w:rsid w:val="00222955"/>
    <w:rsid w:val="00222A14"/>
    <w:rsid w:val="00222A6E"/>
    <w:rsid w:val="00222B62"/>
    <w:rsid w:val="00222B81"/>
    <w:rsid w:val="00222B8C"/>
    <w:rsid w:val="00222BEE"/>
    <w:rsid w:val="00222C89"/>
    <w:rsid w:val="00222F4F"/>
    <w:rsid w:val="00222FDF"/>
    <w:rsid w:val="00223036"/>
    <w:rsid w:val="00223094"/>
    <w:rsid w:val="002230D2"/>
    <w:rsid w:val="00223186"/>
    <w:rsid w:val="002231BC"/>
    <w:rsid w:val="002231CE"/>
    <w:rsid w:val="00223216"/>
    <w:rsid w:val="00223267"/>
    <w:rsid w:val="002232FD"/>
    <w:rsid w:val="0022346B"/>
    <w:rsid w:val="002234C2"/>
    <w:rsid w:val="002234E4"/>
    <w:rsid w:val="00223549"/>
    <w:rsid w:val="00223937"/>
    <w:rsid w:val="0022395D"/>
    <w:rsid w:val="002239F5"/>
    <w:rsid w:val="00223A44"/>
    <w:rsid w:val="00223A6B"/>
    <w:rsid w:val="00223A96"/>
    <w:rsid w:val="00223A9F"/>
    <w:rsid w:val="00223BE9"/>
    <w:rsid w:val="00223C55"/>
    <w:rsid w:val="00223C7B"/>
    <w:rsid w:val="00223C93"/>
    <w:rsid w:val="00223D2F"/>
    <w:rsid w:val="00223E20"/>
    <w:rsid w:val="00223F4A"/>
    <w:rsid w:val="00223F4D"/>
    <w:rsid w:val="00223F52"/>
    <w:rsid w:val="00223FE6"/>
    <w:rsid w:val="00224002"/>
    <w:rsid w:val="00224024"/>
    <w:rsid w:val="002240EE"/>
    <w:rsid w:val="0022419B"/>
    <w:rsid w:val="002241C5"/>
    <w:rsid w:val="0022420C"/>
    <w:rsid w:val="002242A7"/>
    <w:rsid w:val="00224315"/>
    <w:rsid w:val="0022434F"/>
    <w:rsid w:val="002243F9"/>
    <w:rsid w:val="002243FD"/>
    <w:rsid w:val="00224495"/>
    <w:rsid w:val="00224564"/>
    <w:rsid w:val="002245F4"/>
    <w:rsid w:val="0022473F"/>
    <w:rsid w:val="00224797"/>
    <w:rsid w:val="002247D2"/>
    <w:rsid w:val="002247F4"/>
    <w:rsid w:val="002249B5"/>
    <w:rsid w:val="00224AE8"/>
    <w:rsid w:val="00224B6A"/>
    <w:rsid w:val="00224B9C"/>
    <w:rsid w:val="00224BF4"/>
    <w:rsid w:val="00224C41"/>
    <w:rsid w:val="00224C9E"/>
    <w:rsid w:val="00224CBC"/>
    <w:rsid w:val="00224D17"/>
    <w:rsid w:val="00224D40"/>
    <w:rsid w:val="00224D84"/>
    <w:rsid w:val="00224F7F"/>
    <w:rsid w:val="00224F96"/>
    <w:rsid w:val="00225096"/>
    <w:rsid w:val="0022511D"/>
    <w:rsid w:val="00225274"/>
    <w:rsid w:val="00225296"/>
    <w:rsid w:val="002252EB"/>
    <w:rsid w:val="002252F8"/>
    <w:rsid w:val="00225300"/>
    <w:rsid w:val="00225386"/>
    <w:rsid w:val="002253E6"/>
    <w:rsid w:val="002253FC"/>
    <w:rsid w:val="00225454"/>
    <w:rsid w:val="00225502"/>
    <w:rsid w:val="0022574A"/>
    <w:rsid w:val="002257EA"/>
    <w:rsid w:val="00225A21"/>
    <w:rsid w:val="00225AF9"/>
    <w:rsid w:val="00225B52"/>
    <w:rsid w:val="00225B98"/>
    <w:rsid w:val="00225DBE"/>
    <w:rsid w:val="00225DE0"/>
    <w:rsid w:val="00225E12"/>
    <w:rsid w:val="00225E15"/>
    <w:rsid w:val="00225E33"/>
    <w:rsid w:val="00225EE9"/>
    <w:rsid w:val="00225F14"/>
    <w:rsid w:val="00225FB0"/>
    <w:rsid w:val="00226063"/>
    <w:rsid w:val="002260F7"/>
    <w:rsid w:val="0022616C"/>
    <w:rsid w:val="002262A3"/>
    <w:rsid w:val="002262AA"/>
    <w:rsid w:val="002263B1"/>
    <w:rsid w:val="002263E5"/>
    <w:rsid w:val="00226503"/>
    <w:rsid w:val="0022653B"/>
    <w:rsid w:val="0022654F"/>
    <w:rsid w:val="002265F5"/>
    <w:rsid w:val="0022664E"/>
    <w:rsid w:val="002266D2"/>
    <w:rsid w:val="00226704"/>
    <w:rsid w:val="002267B6"/>
    <w:rsid w:val="0022681B"/>
    <w:rsid w:val="0022688C"/>
    <w:rsid w:val="00226960"/>
    <w:rsid w:val="0022699B"/>
    <w:rsid w:val="002269F1"/>
    <w:rsid w:val="00226A5C"/>
    <w:rsid w:val="00226A8C"/>
    <w:rsid w:val="00226AA2"/>
    <w:rsid w:val="00226B0A"/>
    <w:rsid w:val="00226C66"/>
    <w:rsid w:val="00226CCB"/>
    <w:rsid w:val="00226D36"/>
    <w:rsid w:val="00226D90"/>
    <w:rsid w:val="00226DD5"/>
    <w:rsid w:val="00226DF5"/>
    <w:rsid w:val="00226E71"/>
    <w:rsid w:val="00226EE2"/>
    <w:rsid w:val="00226EFA"/>
    <w:rsid w:val="00226F6E"/>
    <w:rsid w:val="00226F7A"/>
    <w:rsid w:val="00226FAA"/>
    <w:rsid w:val="0022702E"/>
    <w:rsid w:val="00227034"/>
    <w:rsid w:val="00227066"/>
    <w:rsid w:val="002270DD"/>
    <w:rsid w:val="002270E6"/>
    <w:rsid w:val="00227163"/>
    <w:rsid w:val="0022717E"/>
    <w:rsid w:val="00227270"/>
    <w:rsid w:val="00227287"/>
    <w:rsid w:val="002272A7"/>
    <w:rsid w:val="002272DA"/>
    <w:rsid w:val="00227391"/>
    <w:rsid w:val="002274E1"/>
    <w:rsid w:val="0022768E"/>
    <w:rsid w:val="00227757"/>
    <w:rsid w:val="0022784E"/>
    <w:rsid w:val="0022785B"/>
    <w:rsid w:val="00227C0F"/>
    <w:rsid w:val="00227C98"/>
    <w:rsid w:val="00227CAB"/>
    <w:rsid w:val="00227D69"/>
    <w:rsid w:val="00227EBA"/>
    <w:rsid w:val="00227EF2"/>
    <w:rsid w:val="0022B336"/>
    <w:rsid w:val="0023000A"/>
    <w:rsid w:val="0023004E"/>
    <w:rsid w:val="002300BF"/>
    <w:rsid w:val="002301D1"/>
    <w:rsid w:val="00230212"/>
    <w:rsid w:val="002302C2"/>
    <w:rsid w:val="002303BD"/>
    <w:rsid w:val="002303FF"/>
    <w:rsid w:val="00230421"/>
    <w:rsid w:val="0023042A"/>
    <w:rsid w:val="00230475"/>
    <w:rsid w:val="0023047E"/>
    <w:rsid w:val="00230535"/>
    <w:rsid w:val="00230594"/>
    <w:rsid w:val="00230655"/>
    <w:rsid w:val="0023069A"/>
    <w:rsid w:val="002306FD"/>
    <w:rsid w:val="00230731"/>
    <w:rsid w:val="00230921"/>
    <w:rsid w:val="0023093D"/>
    <w:rsid w:val="002309C5"/>
    <w:rsid w:val="002309CA"/>
    <w:rsid w:val="00230AD6"/>
    <w:rsid w:val="00230B29"/>
    <w:rsid w:val="00230C13"/>
    <w:rsid w:val="00230C58"/>
    <w:rsid w:val="00230CA9"/>
    <w:rsid w:val="00230CC5"/>
    <w:rsid w:val="00230CEC"/>
    <w:rsid w:val="00230D17"/>
    <w:rsid w:val="00230D24"/>
    <w:rsid w:val="00230D8A"/>
    <w:rsid w:val="00230E12"/>
    <w:rsid w:val="00230F5D"/>
    <w:rsid w:val="00230FA7"/>
    <w:rsid w:val="00230FBC"/>
    <w:rsid w:val="00230FF4"/>
    <w:rsid w:val="0023120F"/>
    <w:rsid w:val="0023122E"/>
    <w:rsid w:val="00231276"/>
    <w:rsid w:val="00231332"/>
    <w:rsid w:val="0023154F"/>
    <w:rsid w:val="002319BF"/>
    <w:rsid w:val="00231A80"/>
    <w:rsid w:val="00231B9E"/>
    <w:rsid w:val="00231BBD"/>
    <w:rsid w:val="00231BD6"/>
    <w:rsid w:val="00231CFD"/>
    <w:rsid w:val="00231D30"/>
    <w:rsid w:val="00231D66"/>
    <w:rsid w:val="00231DF5"/>
    <w:rsid w:val="00231EDD"/>
    <w:rsid w:val="00231EEA"/>
    <w:rsid w:val="00231FE0"/>
    <w:rsid w:val="002320EB"/>
    <w:rsid w:val="00232147"/>
    <w:rsid w:val="0023222D"/>
    <w:rsid w:val="00232240"/>
    <w:rsid w:val="002322EF"/>
    <w:rsid w:val="00232338"/>
    <w:rsid w:val="00232381"/>
    <w:rsid w:val="002323C0"/>
    <w:rsid w:val="002323E9"/>
    <w:rsid w:val="00232437"/>
    <w:rsid w:val="00232446"/>
    <w:rsid w:val="002324A2"/>
    <w:rsid w:val="002324AE"/>
    <w:rsid w:val="00232501"/>
    <w:rsid w:val="0023252C"/>
    <w:rsid w:val="0023261C"/>
    <w:rsid w:val="00232621"/>
    <w:rsid w:val="0023270F"/>
    <w:rsid w:val="002327D8"/>
    <w:rsid w:val="0023280D"/>
    <w:rsid w:val="0023283A"/>
    <w:rsid w:val="00232857"/>
    <w:rsid w:val="00232999"/>
    <w:rsid w:val="002329BF"/>
    <w:rsid w:val="00232A88"/>
    <w:rsid w:val="00232A8C"/>
    <w:rsid w:val="00232ACC"/>
    <w:rsid w:val="00232AEC"/>
    <w:rsid w:val="00232BC1"/>
    <w:rsid w:val="00232C84"/>
    <w:rsid w:val="00232D7D"/>
    <w:rsid w:val="00232E1B"/>
    <w:rsid w:val="00232E2D"/>
    <w:rsid w:val="00232E34"/>
    <w:rsid w:val="00232FA7"/>
    <w:rsid w:val="002330FE"/>
    <w:rsid w:val="0023313F"/>
    <w:rsid w:val="00233143"/>
    <w:rsid w:val="0023318F"/>
    <w:rsid w:val="002331B7"/>
    <w:rsid w:val="002331BD"/>
    <w:rsid w:val="00233220"/>
    <w:rsid w:val="002332A2"/>
    <w:rsid w:val="002332BD"/>
    <w:rsid w:val="002333D1"/>
    <w:rsid w:val="00233544"/>
    <w:rsid w:val="0023360E"/>
    <w:rsid w:val="002336EC"/>
    <w:rsid w:val="0023370E"/>
    <w:rsid w:val="0023380C"/>
    <w:rsid w:val="00233823"/>
    <w:rsid w:val="00233880"/>
    <w:rsid w:val="002338EA"/>
    <w:rsid w:val="00233939"/>
    <w:rsid w:val="0023394B"/>
    <w:rsid w:val="00233956"/>
    <w:rsid w:val="002339A6"/>
    <w:rsid w:val="002339D8"/>
    <w:rsid w:val="00233A35"/>
    <w:rsid w:val="00233B47"/>
    <w:rsid w:val="00233C47"/>
    <w:rsid w:val="00233D30"/>
    <w:rsid w:val="00233D61"/>
    <w:rsid w:val="00233D68"/>
    <w:rsid w:val="00233D89"/>
    <w:rsid w:val="00233DE1"/>
    <w:rsid w:val="00233E2C"/>
    <w:rsid w:val="00233E4A"/>
    <w:rsid w:val="00233EE8"/>
    <w:rsid w:val="00233FAA"/>
    <w:rsid w:val="00233FBA"/>
    <w:rsid w:val="00233FC6"/>
    <w:rsid w:val="0023401C"/>
    <w:rsid w:val="002340D5"/>
    <w:rsid w:val="002340E9"/>
    <w:rsid w:val="00234117"/>
    <w:rsid w:val="0023417E"/>
    <w:rsid w:val="00234241"/>
    <w:rsid w:val="0023427E"/>
    <w:rsid w:val="00234294"/>
    <w:rsid w:val="002342A8"/>
    <w:rsid w:val="002342CA"/>
    <w:rsid w:val="00234357"/>
    <w:rsid w:val="00234417"/>
    <w:rsid w:val="00234481"/>
    <w:rsid w:val="002344B8"/>
    <w:rsid w:val="002344F3"/>
    <w:rsid w:val="0023453F"/>
    <w:rsid w:val="00234658"/>
    <w:rsid w:val="00234716"/>
    <w:rsid w:val="00234745"/>
    <w:rsid w:val="00234825"/>
    <w:rsid w:val="00234877"/>
    <w:rsid w:val="0023493C"/>
    <w:rsid w:val="0023494A"/>
    <w:rsid w:val="00234972"/>
    <w:rsid w:val="00234974"/>
    <w:rsid w:val="00234A10"/>
    <w:rsid w:val="00234A32"/>
    <w:rsid w:val="00234A4D"/>
    <w:rsid w:val="00234B15"/>
    <w:rsid w:val="00234C58"/>
    <w:rsid w:val="00234DEF"/>
    <w:rsid w:val="00234ED4"/>
    <w:rsid w:val="00234FE8"/>
    <w:rsid w:val="00234FED"/>
    <w:rsid w:val="00235046"/>
    <w:rsid w:val="00235122"/>
    <w:rsid w:val="00235172"/>
    <w:rsid w:val="00235332"/>
    <w:rsid w:val="00235352"/>
    <w:rsid w:val="002353F1"/>
    <w:rsid w:val="0023548E"/>
    <w:rsid w:val="002354DA"/>
    <w:rsid w:val="002354F9"/>
    <w:rsid w:val="00235549"/>
    <w:rsid w:val="00235611"/>
    <w:rsid w:val="0023568B"/>
    <w:rsid w:val="002356E3"/>
    <w:rsid w:val="00235705"/>
    <w:rsid w:val="00235787"/>
    <w:rsid w:val="002357AF"/>
    <w:rsid w:val="00235821"/>
    <w:rsid w:val="002358F9"/>
    <w:rsid w:val="00235955"/>
    <w:rsid w:val="0023596B"/>
    <w:rsid w:val="0023598D"/>
    <w:rsid w:val="00235A28"/>
    <w:rsid w:val="00235A52"/>
    <w:rsid w:val="00235AF1"/>
    <w:rsid w:val="00235C0B"/>
    <w:rsid w:val="00235C57"/>
    <w:rsid w:val="00235D27"/>
    <w:rsid w:val="00235D3C"/>
    <w:rsid w:val="00235E05"/>
    <w:rsid w:val="00235E07"/>
    <w:rsid w:val="00235E5A"/>
    <w:rsid w:val="00235F50"/>
    <w:rsid w:val="00235FDD"/>
    <w:rsid w:val="002360D1"/>
    <w:rsid w:val="002360E4"/>
    <w:rsid w:val="002360EB"/>
    <w:rsid w:val="00236112"/>
    <w:rsid w:val="00236230"/>
    <w:rsid w:val="002362CB"/>
    <w:rsid w:val="00236365"/>
    <w:rsid w:val="00236392"/>
    <w:rsid w:val="0023639B"/>
    <w:rsid w:val="002365D7"/>
    <w:rsid w:val="002365E5"/>
    <w:rsid w:val="002365E7"/>
    <w:rsid w:val="0023663B"/>
    <w:rsid w:val="002366BF"/>
    <w:rsid w:val="002366C5"/>
    <w:rsid w:val="00236852"/>
    <w:rsid w:val="002369C2"/>
    <w:rsid w:val="00236B4F"/>
    <w:rsid w:val="00236B60"/>
    <w:rsid w:val="00236C5B"/>
    <w:rsid w:val="00236CAF"/>
    <w:rsid w:val="00236CBC"/>
    <w:rsid w:val="00236D22"/>
    <w:rsid w:val="00236DB8"/>
    <w:rsid w:val="00236DF0"/>
    <w:rsid w:val="00236DF7"/>
    <w:rsid w:val="00237014"/>
    <w:rsid w:val="002370C3"/>
    <w:rsid w:val="002370FB"/>
    <w:rsid w:val="00237130"/>
    <w:rsid w:val="002371AC"/>
    <w:rsid w:val="0023725D"/>
    <w:rsid w:val="002372C0"/>
    <w:rsid w:val="002372E3"/>
    <w:rsid w:val="002372F7"/>
    <w:rsid w:val="0023737F"/>
    <w:rsid w:val="00237400"/>
    <w:rsid w:val="00237427"/>
    <w:rsid w:val="00237449"/>
    <w:rsid w:val="0023744D"/>
    <w:rsid w:val="00237452"/>
    <w:rsid w:val="002374B0"/>
    <w:rsid w:val="002374C1"/>
    <w:rsid w:val="002374DC"/>
    <w:rsid w:val="002374F8"/>
    <w:rsid w:val="002375D1"/>
    <w:rsid w:val="00237628"/>
    <w:rsid w:val="00237696"/>
    <w:rsid w:val="002376C3"/>
    <w:rsid w:val="002376C6"/>
    <w:rsid w:val="002376F8"/>
    <w:rsid w:val="00237778"/>
    <w:rsid w:val="00237795"/>
    <w:rsid w:val="00237823"/>
    <w:rsid w:val="00237840"/>
    <w:rsid w:val="002378AD"/>
    <w:rsid w:val="00237B14"/>
    <w:rsid w:val="00237BAC"/>
    <w:rsid w:val="00237C35"/>
    <w:rsid w:val="00237C6D"/>
    <w:rsid w:val="00237DC6"/>
    <w:rsid w:val="00237DCF"/>
    <w:rsid w:val="00237DE6"/>
    <w:rsid w:val="00237E7C"/>
    <w:rsid w:val="00237FB7"/>
    <w:rsid w:val="00237FE3"/>
    <w:rsid w:val="0024003F"/>
    <w:rsid w:val="002400B2"/>
    <w:rsid w:val="002400D3"/>
    <w:rsid w:val="002400FB"/>
    <w:rsid w:val="00240121"/>
    <w:rsid w:val="00240153"/>
    <w:rsid w:val="00240158"/>
    <w:rsid w:val="002401DD"/>
    <w:rsid w:val="0024024B"/>
    <w:rsid w:val="002402FC"/>
    <w:rsid w:val="0024035D"/>
    <w:rsid w:val="002403A1"/>
    <w:rsid w:val="002403E4"/>
    <w:rsid w:val="002405EF"/>
    <w:rsid w:val="00240621"/>
    <w:rsid w:val="00240636"/>
    <w:rsid w:val="00240735"/>
    <w:rsid w:val="0024074E"/>
    <w:rsid w:val="0024079E"/>
    <w:rsid w:val="002407C4"/>
    <w:rsid w:val="00240939"/>
    <w:rsid w:val="0024097B"/>
    <w:rsid w:val="0024099A"/>
    <w:rsid w:val="002409CD"/>
    <w:rsid w:val="00240BE6"/>
    <w:rsid w:val="00240C25"/>
    <w:rsid w:val="00240C49"/>
    <w:rsid w:val="00240C7E"/>
    <w:rsid w:val="00240D43"/>
    <w:rsid w:val="00240D4E"/>
    <w:rsid w:val="00240D56"/>
    <w:rsid w:val="00240D5A"/>
    <w:rsid w:val="00240DD4"/>
    <w:rsid w:val="00240F6C"/>
    <w:rsid w:val="00241092"/>
    <w:rsid w:val="002410CF"/>
    <w:rsid w:val="0024113A"/>
    <w:rsid w:val="00241189"/>
    <w:rsid w:val="0024133D"/>
    <w:rsid w:val="002413B8"/>
    <w:rsid w:val="00241407"/>
    <w:rsid w:val="002414E0"/>
    <w:rsid w:val="00241538"/>
    <w:rsid w:val="0024158E"/>
    <w:rsid w:val="002415D5"/>
    <w:rsid w:val="00241674"/>
    <w:rsid w:val="002416E3"/>
    <w:rsid w:val="002416E9"/>
    <w:rsid w:val="00241840"/>
    <w:rsid w:val="002418D0"/>
    <w:rsid w:val="00241932"/>
    <w:rsid w:val="00241BF7"/>
    <w:rsid w:val="00241C0D"/>
    <w:rsid w:val="00241C9B"/>
    <w:rsid w:val="00241CB8"/>
    <w:rsid w:val="00241CCC"/>
    <w:rsid w:val="00241D0C"/>
    <w:rsid w:val="00241DA5"/>
    <w:rsid w:val="00241DAB"/>
    <w:rsid w:val="00241DF3"/>
    <w:rsid w:val="00241E55"/>
    <w:rsid w:val="00241EB5"/>
    <w:rsid w:val="00241F3E"/>
    <w:rsid w:val="00241F5F"/>
    <w:rsid w:val="00241F83"/>
    <w:rsid w:val="00241FCC"/>
    <w:rsid w:val="00242079"/>
    <w:rsid w:val="0024230F"/>
    <w:rsid w:val="0024234B"/>
    <w:rsid w:val="0024234D"/>
    <w:rsid w:val="00242411"/>
    <w:rsid w:val="00242438"/>
    <w:rsid w:val="002424AE"/>
    <w:rsid w:val="002424E6"/>
    <w:rsid w:val="00242547"/>
    <w:rsid w:val="00242597"/>
    <w:rsid w:val="00242624"/>
    <w:rsid w:val="0024264F"/>
    <w:rsid w:val="002426BE"/>
    <w:rsid w:val="002426C3"/>
    <w:rsid w:val="00242759"/>
    <w:rsid w:val="002428CD"/>
    <w:rsid w:val="00242910"/>
    <w:rsid w:val="002429FF"/>
    <w:rsid w:val="00242AC1"/>
    <w:rsid w:val="00242B28"/>
    <w:rsid w:val="00242B7C"/>
    <w:rsid w:val="00242CA6"/>
    <w:rsid w:val="00242E54"/>
    <w:rsid w:val="00242EAC"/>
    <w:rsid w:val="00242F80"/>
    <w:rsid w:val="00242FB8"/>
    <w:rsid w:val="002430D6"/>
    <w:rsid w:val="0024310A"/>
    <w:rsid w:val="00243138"/>
    <w:rsid w:val="0024317C"/>
    <w:rsid w:val="002431DB"/>
    <w:rsid w:val="002431DF"/>
    <w:rsid w:val="00243257"/>
    <w:rsid w:val="00243329"/>
    <w:rsid w:val="002433C7"/>
    <w:rsid w:val="002433D2"/>
    <w:rsid w:val="002433DD"/>
    <w:rsid w:val="0024354A"/>
    <w:rsid w:val="00243597"/>
    <w:rsid w:val="00243627"/>
    <w:rsid w:val="0024362B"/>
    <w:rsid w:val="0024373A"/>
    <w:rsid w:val="002438C2"/>
    <w:rsid w:val="00243913"/>
    <w:rsid w:val="00243975"/>
    <w:rsid w:val="002439A1"/>
    <w:rsid w:val="002439C3"/>
    <w:rsid w:val="00243A32"/>
    <w:rsid w:val="00243AFB"/>
    <w:rsid w:val="00243BC9"/>
    <w:rsid w:val="00243BD0"/>
    <w:rsid w:val="00243BD9"/>
    <w:rsid w:val="00243C25"/>
    <w:rsid w:val="00243CC1"/>
    <w:rsid w:val="00243D6D"/>
    <w:rsid w:val="00243D93"/>
    <w:rsid w:val="00243DC6"/>
    <w:rsid w:val="00243E06"/>
    <w:rsid w:val="00243E19"/>
    <w:rsid w:val="00243EDF"/>
    <w:rsid w:val="00244115"/>
    <w:rsid w:val="00244466"/>
    <w:rsid w:val="00244492"/>
    <w:rsid w:val="0024455F"/>
    <w:rsid w:val="00244566"/>
    <w:rsid w:val="002445BC"/>
    <w:rsid w:val="002445C2"/>
    <w:rsid w:val="0024461B"/>
    <w:rsid w:val="002446B8"/>
    <w:rsid w:val="0024473D"/>
    <w:rsid w:val="00244783"/>
    <w:rsid w:val="002447DA"/>
    <w:rsid w:val="00244873"/>
    <w:rsid w:val="002449F3"/>
    <w:rsid w:val="00244A43"/>
    <w:rsid w:val="00244B05"/>
    <w:rsid w:val="00244B5B"/>
    <w:rsid w:val="00244BD8"/>
    <w:rsid w:val="00244C37"/>
    <w:rsid w:val="00244C53"/>
    <w:rsid w:val="00244D06"/>
    <w:rsid w:val="00244D27"/>
    <w:rsid w:val="00244D5A"/>
    <w:rsid w:val="00244D8E"/>
    <w:rsid w:val="00244E28"/>
    <w:rsid w:val="00244E3F"/>
    <w:rsid w:val="00244E71"/>
    <w:rsid w:val="00244ED9"/>
    <w:rsid w:val="00244EF6"/>
    <w:rsid w:val="00244F23"/>
    <w:rsid w:val="00244F35"/>
    <w:rsid w:val="00244F42"/>
    <w:rsid w:val="00244FC7"/>
    <w:rsid w:val="00244FD3"/>
    <w:rsid w:val="002450AC"/>
    <w:rsid w:val="002450F8"/>
    <w:rsid w:val="00245147"/>
    <w:rsid w:val="002451E7"/>
    <w:rsid w:val="00245272"/>
    <w:rsid w:val="002452C9"/>
    <w:rsid w:val="002452F0"/>
    <w:rsid w:val="00245416"/>
    <w:rsid w:val="0024544D"/>
    <w:rsid w:val="00245490"/>
    <w:rsid w:val="002455D0"/>
    <w:rsid w:val="00245620"/>
    <w:rsid w:val="0024568A"/>
    <w:rsid w:val="0024579F"/>
    <w:rsid w:val="002457AC"/>
    <w:rsid w:val="002457B2"/>
    <w:rsid w:val="002457B9"/>
    <w:rsid w:val="002457BD"/>
    <w:rsid w:val="002457D0"/>
    <w:rsid w:val="002457EA"/>
    <w:rsid w:val="0024583F"/>
    <w:rsid w:val="002458CB"/>
    <w:rsid w:val="002458F8"/>
    <w:rsid w:val="002459FA"/>
    <w:rsid w:val="00245A34"/>
    <w:rsid w:val="00245AA4"/>
    <w:rsid w:val="00245AF9"/>
    <w:rsid w:val="00245BF3"/>
    <w:rsid w:val="00245C19"/>
    <w:rsid w:val="00245C55"/>
    <w:rsid w:val="00245DA9"/>
    <w:rsid w:val="00245E6B"/>
    <w:rsid w:val="00245EDF"/>
    <w:rsid w:val="00246069"/>
    <w:rsid w:val="00246211"/>
    <w:rsid w:val="0024625A"/>
    <w:rsid w:val="002462E5"/>
    <w:rsid w:val="0024639C"/>
    <w:rsid w:val="002463E4"/>
    <w:rsid w:val="00246445"/>
    <w:rsid w:val="002464A3"/>
    <w:rsid w:val="002464C8"/>
    <w:rsid w:val="00246578"/>
    <w:rsid w:val="002465CC"/>
    <w:rsid w:val="00246602"/>
    <w:rsid w:val="0024685B"/>
    <w:rsid w:val="0024687D"/>
    <w:rsid w:val="002468AA"/>
    <w:rsid w:val="00246915"/>
    <w:rsid w:val="0024693B"/>
    <w:rsid w:val="00246952"/>
    <w:rsid w:val="0024695E"/>
    <w:rsid w:val="00246A09"/>
    <w:rsid w:val="00246A5F"/>
    <w:rsid w:val="00246A62"/>
    <w:rsid w:val="00246B0F"/>
    <w:rsid w:val="00246B50"/>
    <w:rsid w:val="00246D7E"/>
    <w:rsid w:val="00246E39"/>
    <w:rsid w:val="00246E5D"/>
    <w:rsid w:val="00246E5F"/>
    <w:rsid w:val="00246E9D"/>
    <w:rsid w:val="00246EAE"/>
    <w:rsid w:val="00246EBC"/>
    <w:rsid w:val="00246EE9"/>
    <w:rsid w:val="00246F91"/>
    <w:rsid w:val="002471D9"/>
    <w:rsid w:val="00247228"/>
    <w:rsid w:val="002472F6"/>
    <w:rsid w:val="0024731E"/>
    <w:rsid w:val="00247333"/>
    <w:rsid w:val="00247361"/>
    <w:rsid w:val="00247381"/>
    <w:rsid w:val="002474D3"/>
    <w:rsid w:val="002475E1"/>
    <w:rsid w:val="002475F0"/>
    <w:rsid w:val="0024775C"/>
    <w:rsid w:val="002477A0"/>
    <w:rsid w:val="002477E5"/>
    <w:rsid w:val="002477EA"/>
    <w:rsid w:val="0024796D"/>
    <w:rsid w:val="00247AA6"/>
    <w:rsid w:val="00247BD9"/>
    <w:rsid w:val="00247C09"/>
    <w:rsid w:val="00247C51"/>
    <w:rsid w:val="00247C53"/>
    <w:rsid w:val="00247D3A"/>
    <w:rsid w:val="00247D48"/>
    <w:rsid w:val="00247D8D"/>
    <w:rsid w:val="00247D9C"/>
    <w:rsid w:val="00247F15"/>
    <w:rsid w:val="00247FC2"/>
    <w:rsid w:val="0025002D"/>
    <w:rsid w:val="00250047"/>
    <w:rsid w:val="00250075"/>
    <w:rsid w:val="002500C9"/>
    <w:rsid w:val="00250158"/>
    <w:rsid w:val="00250276"/>
    <w:rsid w:val="00250282"/>
    <w:rsid w:val="00250342"/>
    <w:rsid w:val="00250345"/>
    <w:rsid w:val="0025037D"/>
    <w:rsid w:val="002503C9"/>
    <w:rsid w:val="00250430"/>
    <w:rsid w:val="00250489"/>
    <w:rsid w:val="0025048E"/>
    <w:rsid w:val="002504A4"/>
    <w:rsid w:val="00250579"/>
    <w:rsid w:val="00250600"/>
    <w:rsid w:val="0025067F"/>
    <w:rsid w:val="002506A6"/>
    <w:rsid w:val="002506D9"/>
    <w:rsid w:val="0025071E"/>
    <w:rsid w:val="0025087D"/>
    <w:rsid w:val="002508B8"/>
    <w:rsid w:val="002508F9"/>
    <w:rsid w:val="00250A93"/>
    <w:rsid w:val="00250A9A"/>
    <w:rsid w:val="00250AB6"/>
    <w:rsid w:val="00250B1D"/>
    <w:rsid w:val="00250C55"/>
    <w:rsid w:val="00250C7A"/>
    <w:rsid w:val="00250C94"/>
    <w:rsid w:val="00250D4A"/>
    <w:rsid w:val="00250EA0"/>
    <w:rsid w:val="00250EEE"/>
    <w:rsid w:val="00251092"/>
    <w:rsid w:val="002510AA"/>
    <w:rsid w:val="002510AB"/>
    <w:rsid w:val="002510CA"/>
    <w:rsid w:val="00251332"/>
    <w:rsid w:val="0025136B"/>
    <w:rsid w:val="00251384"/>
    <w:rsid w:val="00251389"/>
    <w:rsid w:val="00251391"/>
    <w:rsid w:val="0025142A"/>
    <w:rsid w:val="0025142D"/>
    <w:rsid w:val="00251456"/>
    <w:rsid w:val="00251494"/>
    <w:rsid w:val="002515EE"/>
    <w:rsid w:val="00251656"/>
    <w:rsid w:val="0025166E"/>
    <w:rsid w:val="00251691"/>
    <w:rsid w:val="002516C5"/>
    <w:rsid w:val="002516F4"/>
    <w:rsid w:val="00251855"/>
    <w:rsid w:val="00251A91"/>
    <w:rsid w:val="00251AB9"/>
    <w:rsid w:val="00251B2F"/>
    <w:rsid w:val="00251B46"/>
    <w:rsid w:val="00251C35"/>
    <w:rsid w:val="00251DBE"/>
    <w:rsid w:val="00251E15"/>
    <w:rsid w:val="00251E38"/>
    <w:rsid w:val="00251E48"/>
    <w:rsid w:val="00251E9E"/>
    <w:rsid w:val="00251EFB"/>
    <w:rsid w:val="00251F26"/>
    <w:rsid w:val="00252006"/>
    <w:rsid w:val="00252020"/>
    <w:rsid w:val="00252032"/>
    <w:rsid w:val="00252091"/>
    <w:rsid w:val="002520AE"/>
    <w:rsid w:val="00252155"/>
    <w:rsid w:val="002521B1"/>
    <w:rsid w:val="002521C2"/>
    <w:rsid w:val="002522CB"/>
    <w:rsid w:val="0025231A"/>
    <w:rsid w:val="00252347"/>
    <w:rsid w:val="002523B7"/>
    <w:rsid w:val="00252422"/>
    <w:rsid w:val="002524F9"/>
    <w:rsid w:val="00252555"/>
    <w:rsid w:val="002525BA"/>
    <w:rsid w:val="002526D6"/>
    <w:rsid w:val="0025278D"/>
    <w:rsid w:val="002527A6"/>
    <w:rsid w:val="0025294F"/>
    <w:rsid w:val="0025297D"/>
    <w:rsid w:val="002529AA"/>
    <w:rsid w:val="00252A35"/>
    <w:rsid w:val="00252AB9"/>
    <w:rsid w:val="00252B1A"/>
    <w:rsid w:val="00252B25"/>
    <w:rsid w:val="00252C31"/>
    <w:rsid w:val="00252CB5"/>
    <w:rsid w:val="00252D2F"/>
    <w:rsid w:val="00252DB2"/>
    <w:rsid w:val="00252FF6"/>
    <w:rsid w:val="002530AB"/>
    <w:rsid w:val="002530BD"/>
    <w:rsid w:val="002530CE"/>
    <w:rsid w:val="002530EB"/>
    <w:rsid w:val="00253109"/>
    <w:rsid w:val="00253149"/>
    <w:rsid w:val="002531C6"/>
    <w:rsid w:val="0025324B"/>
    <w:rsid w:val="00253312"/>
    <w:rsid w:val="00253324"/>
    <w:rsid w:val="00253390"/>
    <w:rsid w:val="00253460"/>
    <w:rsid w:val="002534FE"/>
    <w:rsid w:val="00253554"/>
    <w:rsid w:val="00253598"/>
    <w:rsid w:val="002535F0"/>
    <w:rsid w:val="00253640"/>
    <w:rsid w:val="00253671"/>
    <w:rsid w:val="002536C0"/>
    <w:rsid w:val="002536C5"/>
    <w:rsid w:val="0025376D"/>
    <w:rsid w:val="002537A6"/>
    <w:rsid w:val="002537ED"/>
    <w:rsid w:val="00253852"/>
    <w:rsid w:val="00253858"/>
    <w:rsid w:val="0025385F"/>
    <w:rsid w:val="0025395A"/>
    <w:rsid w:val="0025397C"/>
    <w:rsid w:val="002539A7"/>
    <w:rsid w:val="00253C8A"/>
    <w:rsid w:val="00253C9E"/>
    <w:rsid w:val="00253D5F"/>
    <w:rsid w:val="00253DAF"/>
    <w:rsid w:val="00254026"/>
    <w:rsid w:val="002541D0"/>
    <w:rsid w:val="00254217"/>
    <w:rsid w:val="00254221"/>
    <w:rsid w:val="00254232"/>
    <w:rsid w:val="00254249"/>
    <w:rsid w:val="002542CF"/>
    <w:rsid w:val="00254305"/>
    <w:rsid w:val="00254361"/>
    <w:rsid w:val="002544D9"/>
    <w:rsid w:val="002544DA"/>
    <w:rsid w:val="002545D1"/>
    <w:rsid w:val="00254782"/>
    <w:rsid w:val="00254897"/>
    <w:rsid w:val="002549D1"/>
    <w:rsid w:val="002549E9"/>
    <w:rsid w:val="00254A59"/>
    <w:rsid w:val="00254AFE"/>
    <w:rsid w:val="00254B9F"/>
    <w:rsid w:val="00254CA7"/>
    <w:rsid w:val="00254CE7"/>
    <w:rsid w:val="00254D1B"/>
    <w:rsid w:val="00254D5C"/>
    <w:rsid w:val="00254EC4"/>
    <w:rsid w:val="0025501B"/>
    <w:rsid w:val="0025502B"/>
    <w:rsid w:val="002550B1"/>
    <w:rsid w:val="0025519F"/>
    <w:rsid w:val="002551B9"/>
    <w:rsid w:val="002552B4"/>
    <w:rsid w:val="00255413"/>
    <w:rsid w:val="0025548E"/>
    <w:rsid w:val="002554E9"/>
    <w:rsid w:val="002554FA"/>
    <w:rsid w:val="0025558A"/>
    <w:rsid w:val="00255614"/>
    <w:rsid w:val="00255615"/>
    <w:rsid w:val="0025563A"/>
    <w:rsid w:val="00255683"/>
    <w:rsid w:val="00255698"/>
    <w:rsid w:val="00255813"/>
    <w:rsid w:val="00255875"/>
    <w:rsid w:val="002558A7"/>
    <w:rsid w:val="002558C9"/>
    <w:rsid w:val="0025593E"/>
    <w:rsid w:val="0025598C"/>
    <w:rsid w:val="00255993"/>
    <w:rsid w:val="00255996"/>
    <w:rsid w:val="0025599C"/>
    <w:rsid w:val="00255A33"/>
    <w:rsid w:val="00255A5C"/>
    <w:rsid w:val="00255A74"/>
    <w:rsid w:val="00255AC3"/>
    <w:rsid w:val="00255B95"/>
    <w:rsid w:val="00255C13"/>
    <w:rsid w:val="00255C53"/>
    <w:rsid w:val="00255CED"/>
    <w:rsid w:val="00255ED4"/>
    <w:rsid w:val="00255EE0"/>
    <w:rsid w:val="00255F21"/>
    <w:rsid w:val="00255FA4"/>
    <w:rsid w:val="0025625B"/>
    <w:rsid w:val="00256318"/>
    <w:rsid w:val="00256356"/>
    <w:rsid w:val="0025648E"/>
    <w:rsid w:val="002564CC"/>
    <w:rsid w:val="00256698"/>
    <w:rsid w:val="00256720"/>
    <w:rsid w:val="0025682C"/>
    <w:rsid w:val="00256930"/>
    <w:rsid w:val="002569E5"/>
    <w:rsid w:val="00256A0F"/>
    <w:rsid w:val="00256B2C"/>
    <w:rsid w:val="00256B7C"/>
    <w:rsid w:val="00256BEB"/>
    <w:rsid w:val="00256C84"/>
    <w:rsid w:val="00256CC3"/>
    <w:rsid w:val="00256CC9"/>
    <w:rsid w:val="00256DD0"/>
    <w:rsid w:val="00256EB1"/>
    <w:rsid w:val="00256F41"/>
    <w:rsid w:val="00257093"/>
    <w:rsid w:val="00257221"/>
    <w:rsid w:val="00257309"/>
    <w:rsid w:val="0025735A"/>
    <w:rsid w:val="0025736C"/>
    <w:rsid w:val="00257409"/>
    <w:rsid w:val="0025754C"/>
    <w:rsid w:val="00257614"/>
    <w:rsid w:val="00257637"/>
    <w:rsid w:val="00257651"/>
    <w:rsid w:val="002576FA"/>
    <w:rsid w:val="00257753"/>
    <w:rsid w:val="002577E4"/>
    <w:rsid w:val="00257840"/>
    <w:rsid w:val="0025789B"/>
    <w:rsid w:val="002578DB"/>
    <w:rsid w:val="00257A1C"/>
    <w:rsid w:val="00257B16"/>
    <w:rsid w:val="00257BD6"/>
    <w:rsid w:val="00257CB0"/>
    <w:rsid w:val="00257CF8"/>
    <w:rsid w:val="00257D96"/>
    <w:rsid w:val="00257E31"/>
    <w:rsid w:val="00257ECA"/>
    <w:rsid w:val="00257EF2"/>
    <w:rsid w:val="0026003E"/>
    <w:rsid w:val="0026006C"/>
    <w:rsid w:val="00260131"/>
    <w:rsid w:val="002601C0"/>
    <w:rsid w:val="002601EB"/>
    <w:rsid w:val="0026040A"/>
    <w:rsid w:val="00260488"/>
    <w:rsid w:val="00260553"/>
    <w:rsid w:val="00260653"/>
    <w:rsid w:val="002606DB"/>
    <w:rsid w:val="00260730"/>
    <w:rsid w:val="00260875"/>
    <w:rsid w:val="0026087F"/>
    <w:rsid w:val="00260897"/>
    <w:rsid w:val="002608A1"/>
    <w:rsid w:val="002608C0"/>
    <w:rsid w:val="00260AD8"/>
    <w:rsid w:val="00260AF2"/>
    <w:rsid w:val="00260B07"/>
    <w:rsid w:val="00260BDD"/>
    <w:rsid w:val="00260C48"/>
    <w:rsid w:val="00260C56"/>
    <w:rsid w:val="00260CA8"/>
    <w:rsid w:val="00260CAC"/>
    <w:rsid w:val="00260E8A"/>
    <w:rsid w:val="00260EA3"/>
    <w:rsid w:val="00260F00"/>
    <w:rsid w:val="00260F6B"/>
    <w:rsid w:val="00260F82"/>
    <w:rsid w:val="00260F84"/>
    <w:rsid w:val="00260F95"/>
    <w:rsid w:val="002610AA"/>
    <w:rsid w:val="002610DA"/>
    <w:rsid w:val="002610DD"/>
    <w:rsid w:val="0026122D"/>
    <w:rsid w:val="002613B5"/>
    <w:rsid w:val="00261421"/>
    <w:rsid w:val="00261541"/>
    <w:rsid w:val="00261575"/>
    <w:rsid w:val="002615A6"/>
    <w:rsid w:val="00261600"/>
    <w:rsid w:val="0026168C"/>
    <w:rsid w:val="00261698"/>
    <w:rsid w:val="002616CC"/>
    <w:rsid w:val="0026170D"/>
    <w:rsid w:val="00261774"/>
    <w:rsid w:val="002617D3"/>
    <w:rsid w:val="002617E3"/>
    <w:rsid w:val="00261896"/>
    <w:rsid w:val="002618A0"/>
    <w:rsid w:val="002618E9"/>
    <w:rsid w:val="002618F0"/>
    <w:rsid w:val="00261903"/>
    <w:rsid w:val="0026198A"/>
    <w:rsid w:val="002619F5"/>
    <w:rsid w:val="00261AA8"/>
    <w:rsid w:val="00261ABA"/>
    <w:rsid w:val="00261B31"/>
    <w:rsid w:val="00261B53"/>
    <w:rsid w:val="00261CCF"/>
    <w:rsid w:val="00261CD9"/>
    <w:rsid w:val="00261E04"/>
    <w:rsid w:val="00261EF5"/>
    <w:rsid w:val="00261FD9"/>
    <w:rsid w:val="002620B1"/>
    <w:rsid w:val="00262260"/>
    <w:rsid w:val="002623D8"/>
    <w:rsid w:val="002623FE"/>
    <w:rsid w:val="00262430"/>
    <w:rsid w:val="00262767"/>
    <w:rsid w:val="00262823"/>
    <w:rsid w:val="0026283B"/>
    <w:rsid w:val="002628D3"/>
    <w:rsid w:val="00262952"/>
    <w:rsid w:val="002629C8"/>
    <w:rsid w:val="002629DE"/>
    <w:rsid w:val="00262A91"/>
    <w:rsid w:val="00262BA1"/>
    <w:rsid w:val="00262BF4"/>
    <w:rsid w:val="00262C52"/>
    <w:rsid w:val="00262C63"/>
    <w:rsid w:val="00262D56"/>
    <w:rsid w:val="00262DBE"/>
    <w:rsid w:val="00262F71"/>
    <w:rsid w:val="00262F84"/>
    <w:rsid w:val="00262F98"/>
    <w:rsid w:val="00263008"/>
    <w:rsid w:val="0026305F"/>
    <w:rsid w:val="0026308B"/>
    <w:rsid w:val="00263101"/>
    <w:rsid w:val="00263174"/>
    <w:rsid w:val="002631F0"/>
    <w:rsid w:val="00263272"/>
    <w:rsid w:val="0026328C"/>
    <w:rsid w:val="002632B2"/>
    <w:rsid w:val="002632F4"/>
    <w:rsid w:val="002632FD"/>
    <w:rsid w:val="00263323"/>
    <w:rsid w:val="002633A5"/>
    <w:rsid w:val="0026352F"/>
    <w:rsid w:val="0026359A"/>
    <w:rsid w:val="00263616"/>
    <w:rsid w:val="00263690"/>
    <w:rsid w:val="0026369C"/>
    <w:rsid w:val="002636AA"/>
    <w:rsid w:val="002636B8"/>
    <w:rsid w:val="0026384D"/>
    <w:rsid w:val="0026386F"/>
    <w:rsid w:val="002638FC"/>
    <w:rsid w:val="0026391F"/>
    <w:rsid w:val="0026393A"/>
    <w:rsid w:val="0026393C"/>
    <w:rsid w:val="002639AC"/>
    <w:rsid w:val="00263A27"/>
    <w:rsid w:val="00263A7F"/>
    <w:rsid w:val="00263A86"/>
    <w:rsid w:val="00263ACA"/>
    <w:rsid w:val="00263B2A"/>
    <w:rsid w:val="00263B3F"/>
    <w:rsid w:val="00263BCD"/>
    <w:rsid w:val="00263DA9"/>
    <w:rsid w:val="00263E9C"/>
    <w:rsid w:val="00263F06"/>
    <w:rsid w:val="00263F25"/>
    <w:rsid w:val="00263F2A"/>
    <w:rsid w:val="00263FB3"/>
    <w:rsid w:val="00263FFE"/>
    <w:rsid w:val="002640EB"/>
    <w:rsid w:val="00264131"/>
    <w:rsid w:val="00264185"/>
    <w:rsid w:val="002642AD"/>
    <w:rsid w:val="002643D9"/>
    <w:rsid w:val="002643FE"/>
    <w:rsid w:val="00264400"/>
    <w:rsid w:val="002644D6"/>
    <w:rsid w:val="00264568"/>
    <w:rsid w:val="002645B6"/>
    <w:rsid w:val="00264638"/>
    <w:rsid w:val="00264686"/>
    <w:rsid w:val="0026473B"/>
    <w:rsid w:val="0026475F"/>
    <w:rsid w:val="002649F5"/>
    <w:rsid w:val="00264A3D"/>
    <w:rsid w:val="00264C8C"/>
    <w:rsid w:val="00264CEA"/>
    <w:rsid w:val="00264E03"/>
    <w:rsid w:val="00264F80"/>
    <w:rsid w:val="00264FE3"/>
    <w:rsid w:val="00265007"/>
    <w:rsid w:val="00265122"/>
    <w:rsid w:val="00265125"/>
    <w:rsid w:val="0026518C"/>
    <w:rsid w:val="0026530D"/>
    <w:rsid w:val="00265386"/>
    <w:rsid w:val="002653B0"/>
    <w:rsid w:val="0026541C"/>
    <w:rsid w:val="002654FD"/>
    <w:rsid w:val="00265582"/>
    <w:rsid w:val="002655B9"/>
    <w:rsid w:val="002655CF"/>
    <w:rsid w:val="002655E8"/>
    <w:rsid w:val="0026566F"/>
    <w:rsid w:val="00265691"/>
    <w:rsid w:val="002656A7"/>
    <w:rsid w:val="00265703"/>
    <w:rsid w:val="0026576A"/>
    <w:rsid w:val="00265851"/>
    <w:rsid w:val="0026588B"/>
    <w:rsid w:val="002659AE"/>
    <w:rsid w:val="00265A8C"/>
    <w:rsid w:val="00265B2F"/>
    <w:rsid w:val="00265B35"/>
    <w:rsid w:val="00265C81"/>
    <w:rsid w:val="00265C91"/>
    <w:rsid w:val="00265E3B"/>
    <w:rsid w:val="00266017"/>
    <w:rsid w:val="00266037"/>
    <w:rsid w:val="00266064"/>
    <w:rsid w:val="00266122"/>
    <w:rsid w:val="0026619B"/>
    <w:rsid w:val="00266215"/>
    <w:rsid w:val="00266312"/>
    <w:rsid w:val="0026639C"/>
    <w:rsid w:val="0026653C"/>
    <w:rsid w:val="002665F0"/>
    <w:rsid w:val="002665FE"/>
    <w:rsid w:val="00266608"/>
    <w:rsid w:val="00266642"/>
    <w:rsid w:val="0026667E"/>
    <w:rsid w:val="00266692"/>
    <w:rsid w:val="002666A9"/>
    <w:rsid w:val="002666FE"/>
    <w:rsid w:val="00266753"/>
    <w:rsid w:val="002668B5"/>
    <w:rsid w:val="00266934"/>
    <w:rsid w:val="0026694A"/>
    <w:rsid w:val="0026697C"/>
    <w:rsid w:val="0026698E"/>
    <w:rsid w:val="00266994"/>
    <w:rsid w:val="002669AC"/>
    <w:rsid w:val="002669D1"/>
    <w:rsid w:val="002669F1"/>
    <w:rsid w:val="00266B11"/>
    <w:rsid w:val="00266B24"/>
    <w:rsid w:val="00266B36"/>
    <w:rsid w:val="00266BC8"/>
    <w:rsid w:val="00266C7B"/>
    <w:rsid w:val="00266CEA"/>
    <w:rsid w:val="00266D43"/>
    <w:rsid w:val="00266D4D"/>
    <w:rsid w:val="00266D91"/>
    <w:rsid w:val="00266DA8"/>
    <w:rsid w:val="00266E2D"/>
    <w:rsid w:val="00266F26"/>
    <w:rsid w:val="00266F46"/>
    <w:rsid w:val="00266F9A"/>
    <w:rsid w:val="00266FDF"/>
    <w:rsid w:val="00267068"/>
    <w:rsid w:val="0026708B"/>
    <w:rsid w:val="002670FD"/>
    <w:rsid w:val="00267149"/>
    <w:rsid w:val="002671BA"/>
    <w:rsid w:val="002672C1"/>
    <w:rsid w:val="002673D5"/>
    <w:rsid w:val="002673EE"/>
    <w:rsid w:val="00267419"/>
    <w:rsid w:val="002674BE"/>
    <w:rsid w:val="002674C3"/>
    <w:rsid w:val="00267505"/>
    <w:rsid w:val="002676D5"/>
    <w:rsid w:val="00267735"/>
    <w:rsid w:val="00267738"/>
    <w:rsid w:val="00267799"/>
    <w:rsid w:val="00267892"/>
    <w:rsid w:val="0026797C"/>
    <w:rsid w:val="00267A2B"/>
    <w:rsid w:val="00267A6A"/>
    <w:rsid w:val="00267A78"/>
    <w:rsid w:val="00267B33"/>
    <w:rsid w:val="00267B9E"/>
    <w:rsid w:val="00267BB9"/>
    <w:rsid w:val="00267C25"/>
    <w:rsid w:val="00267C67"/>
    <w:rsid w:val="00267CE3"/>
    <w:rsid w:val="00267E05"/>
    <w:rsid w:val="00267EC6"/>
    <w:rsid w:val="00267FAE"/>
    <w:rsid w:val="0027011C"/>
    <w:rsid w:val="00270144"/>
    <w:rsid w:val="0027025C"/>
    <w:rsid w:val="00270358"/>
    <w:rsid w:val="002703AB"/>
    <w:rsid w:val="0027044B"/>
    <w:rsid w:val="00270452"/>
    <w:rsid w:val="002704BA"/>
    <w:rsid w:val="002704DC"/>
    <w:rsid w:val="002704EE"/>
    <w:rsid w:val="00270512"/>
    <w:rsid w:val="00270565"/>
    <w:rsid w:val="002705D8"/>
    <w:rsid w:val="002706B0"/>
    <w:rsid w:val="002706F1"/>
    <w:rsid w:val="002707CF"/>
    <w:rsid w:val="00270952"/>
    <w:rsid w:val="0027096B"/>
    <w:rsid w:val="002709DE"/>
    <w:rsid w:val="002709FD"/>
    <w:rsid w:val="00270A3F"/>
    <w:rsid w:val="00270A61"/>
    <w:rsid w:val="00270A94"/>
    <w:rsid w:val="00270B26"/>
    <w:rsid w:val="00270B55"/>
    <w:rsid w:val="00270B63"/>
    <w:rsid w:val="00270BC7"/>
    <w:rsid w:val="00270CB3"/>
    <w:rsid w:val="00270FAF"/>
    <w:rsid w:val="00270FB6"/>
    <w:rsid w:val="00270FE7"/>
    <w:rsid w:val="00271046"/>
    <w:rsid w:val="002710BF"/>
    <w:rsid w:val="002710D7"/>
    <w:rsid w:val="00271112"/>
    <w:rsid w:val="00271165"/>
    <w:rsid w:val="00271266"/>
    <w:rsid w:val="0027128D"/>
    <w:rsid w:val="0027129A"/>
    <w:rsid w:val="002712A2"/>
    <w:rsid w:val="0027130C"/>
    <w:rsid w:val="00271334"/>
    <w:rsid w:val="00271515"/>
    <w:rsid w:val="0027156F"/>
    <w:rsid w:val="00271626"/>
    <w:rsid w:val="0027191D"/>
    <w:rsid w:val="00271AD0"/>
    <w:rsid w:val="00271B19"/>
    <w:rsid w:val="00271B54"/>
    <w:rsid w:val="00271B86"/>
    <w:rsid w:val="00271C35"/>
    <w:rsid w:val="00271C86"/>
    <w:rsid w:val="00271CBC"/>
    <w:rsid w:val="00271D79"/>
    <w:rsid w:val="00271D9C"/>
    <w:rsid w:val="00271DAF"/>
    <w:rsid w:val="00271E8D"/>
    <w:rsid w:val="00271F41"/>
    <w:rsid w:val="0027208F"/>
    <w:rsid w:val="002720E0"/>
    <w:rsid w:val="002720F4"/>
    <w:rsid w:val="0027210E"/>
    <w:rsid w:val="00272145"/>
    <w:rsid w:val="0027216C"/>
    <w:rsid w:val="0027217D"/>
    <w:rsid w:val="00272355"/>
    <w:rsid w:val="00272379"/>
    <w:rsid w:val="00272459"/>
    <w:rsid w:val="002724B5"/>
    <w:rsid w:val="002724B8"/>
    <w:rsid w:val="00272539"/>
    <w:rsid w:val="00272566"/>
    <w:rsid w:val="00272581"/>
    <w:rsid w:val="002725C6"/>
    <w:rsid w:val="002726BD"/>
    <w:rsid w:val="0027283E"/>
    <w:rsid w:val="00272A49"/>
    <w:rsid w:val="00272B5F"/>
    <w:rsid w:val="00272B6E"/>
    <w:rsid w:val="00272C06"/>
    <w:rsid w:val="00272CA1"/>
    <w:rsid w:val="00272CF4"/>
    <w:rsid w:val="00272D8B"/>
    <w:rsid w:val="00272EBE"/>
    <w:rsid w:val="00272EDE"/>
    <w:rsid w:val="00272F43"/>
    <w:rsid w:val="00272F5F"/>
    <w:rsid w:val="00272FB9"/>
    <w:rsid w:val="00273014"/>
    <w:rsid w:val="002730DB"/>
    <w:rsid w:val="00273144"/>
    <w:rsid w:val="00273223"/>
    <w:rsid w:val="00273239"/>
    <w:rsid w:val="002733B3"/>
    <w:rsid w:val="00273454"/>
    <w:rsid w:val="00273570"/>
    <w:rsid w:val="0027375F"/>
    <w:rsid w:val="0027379F"/>
    <w:rsid w:val="002737DC"/>
    <w:rsid w:val="00273820"/>
    <w:rsid w:val="00273853"/>
    <w:rsid w:val="0027387F"/>
    <w:rsid w:val="00273881"/>
    <w:rsid w:val="00273882"/>
    <w:rsid w:val="002738C4"/>
    <w:rsid w:val="00273968"/>
    <w:rsid w:val="00273973"/>
    <w:rsid w:val="002739B1"/>
    <w:rsid w:val="002739D4"/>
    <w:rsid w:val="00273A2E"/>
    <w:rsid w:val="00273BEA"/>
    <w:rsid w:val="00273C25"/>
    <w:rsid w:val="00273C77"/>
    <w:rsid w:val="00273D68"/>
    <w:rsid w:val="00273DE0"/>
    <w:rsid w:val="00273E26"/>
    <w:rsid w:val="00273E3B"/>
    <w:rsid w:val="00273ED6"/>
    <w:rsid w:val="00274068"/>
    <w:rsid w:val="0027406A"/>
    <w:rsid w:val="0027407A"/>
    <w:rsid w:val="002740B2"/>
    <w:rsid w:val="00274119"/>
    <w:rsid w:val="002741C7"/>
    <w:rsid w:val="002741ED"/>
    <w:rsid w:val="00274207"/>
    <w:rsid w:val="0027428F"/>
    <w:rsid w:val="0027438E"/>
    <w:rsid w:val="00274484"/>
    <w:rsid w:val="002744B8"/>
    <w:rsid w:val="002744C8"/>
    <w:rsid w:val="0027481A"/>
    <w:rsid w:val="0027481B"/>
    <w:rsid w:val="00274831"/>
    <w:rsid w:val="00274838"/>
    <w:rsid w:val="0027483F"/>
    <w:rsid w:val="002748CA"/>
    <w:rsid w:val="0027491D"/>
    <w:rsid w:val="002749E7"/>
    <w:rsid w:val="002749E8"/>
    <w:rsid w:val="00274A40"/>
    <w:rsid w:val="00274B28"/>
    <w:rsid w:val="00274B88"/>
    <w:rsid w:val="00274CE8"/>
    <w:rsid w:val="00274D27"/>
    <w:rsid w:val="00274F37"/>
    <w:rsid w:val="00274F9B"/>
    <w:rsid w:val="0027513D"/>
    <w:rsid w:val="0027514C"/>
    <w:rsid w:val="002751C7"/>
    <w:rsid w:val="002751CF"/>
    <w:rsid w:val="002752CE"/>
    <w:rsid w:val="00275303"/>
    <w:rsid w:val="0027533C"/>
    <w:rsid w:val="00275495"/>
    <w:rsid w:val="0027549E"/>
    <w:rsid w:val="0027564C"/>
    <w:rsid w:val="0027570A"/>
    <w:rsid w:val="00275968"/>
    <w:rsid w:val="002759D8"/>
    <w:rsid w:val="002759FA"/>
    <w:rsid w:val="00275A9E"/>
    <w:rsid w:val="00275AE7"/>
    <w:rsid w:val="00275AF6"/>
    <w:rsid w:val="00275B20"/>
    <w:rsid w:val="00275B84"/>
    <w:rsid w:val="00275BB0"/>
    <w:rsid w:val="00275BE6"/>
    <w:rsid w:val="00275BF3"/>
    <w:rsid w:val="00275D19"/>
    <w:rsid w:val="00275D8D"/>
    <w:rsid w:val="00275FE0"/>
    <w:rsid w:val="0027600B"/>
    <w:rsid w:val="002760AA"/>
    <w:rsid w:val="002760EF"/>
    <w:rsid w:val="00276113"/>
    <w:rsid w:val="00276151"/>
    <w:rsid w:val="00276164"/>
    <w:rsid w:val="00276185"/>
    <w:rsid w:val="0027618E"/>
    <w:rsid w:val="002761EA"/>
    <w:rsid w:val="00276303"/>
    <w:rsid w:val="002763BA"/>
    <w:rsid w:val="002763FB"/>
    <w:rsid w:val="00276504"/>
    <w:rsid w:val="00276555"/>
    <w:rsid w:val="00276605"/>
    <w:rsid w:val="002766AC"/>
    <w:rsid w:val="002766CE"/>
    <w:rsid w:val="002768BE"/>
    <w:rsid w:val="0027699B"/>
    <w:rsid w:val="00276A01"/>
    <w:rsid w:val="00276A1E"/>
    <w:rsid w:val="00276A27"/>
    <w:rsid w:val="00276A7A"/>
    <w:rsid w:val="00276ADB"/>
    <w:rsid w:val="00276B67"/>
    <w:rsid w:val="00276B94"/>
    <w:rsid w:val="00276CAF"/>
    <w:rsid w:val="00276E53"/>
    <w:rsid w:val="00276E5B"/>
    <w:rsid w:val="00276E61"/>
    <w:rsid w:val="00276F43"/>
    <w:rsid w:val="00276F8B"/>
    <w:rsid w:val="00276FAF"/>
    <w:rsid w:val="00276FD3"/>
    <w:rsid w:val="00276FDE"/>
    <w:rsid w:val="00276FFA"/>
    <w:rsid w:val="00277033"/>
    <w:rsid w:val="00277073"/>
    <w:rsid w:val="00277078"/>
    <w:rsid w:val="0027719F"/>
    <w:rsid w:val="002771E1"/>
    <w:rsid w:val="002771F4"/>
    <w:rsid w:val="002772A0"/>
    <w:rsid w:val="002772C7"/>
    <w:rsid w:val="002773AD"/>
    <w:rsid w:val="002773B2"/>
    <w:rsid w:val="002773DC"/>
    <w:rsid w:val="002773EA"/>
    <w:rsid w:val="00277468"/>
    <w:rsid w:val="002774F1"/>
    <w:rsid w:val="002775C1"/>
    <w:rsid w:val="00277660"/>
    <w:rsid w:val="002776A0"/>
    <w:rsid w:val="002776C5"/>
    <w:rsid w:val="00277727"/>
    <w:rsid w:val="002778B5"/>
    <w:rsid w:val="00277924"/>
    <w:rsid w:val="002779EA"/>
    <w:rsid w:val="00277A79"/>
    <w:rsid w:val="00277C6E"/>
    <w:rsid w:val="00277DA7"/>
    <w:rsid w:val="00277DDB"/>
    <w:rsid w:val="00277EA1"/>
    <w:rsid w:val="00277F10"/>
    <w:rsid w:val="00277FB8"/>
    <w:rsid w:val="00278C7C"/>
    <w:rsid w:val="00280014"/>
    <w:rsid w:val="00280037"/>
    <w:rsid w:val="0028007F"/>
    <w:rsid w:val="0028009F"/>
    <w:rsid w:val="002800C0"/>
    <w:rsid w:val="0028014B"/>
    <w:rsid w:val="002802C6"/>
    <w:rsid w:val="002802F6"/>
    <w:rsid w:val="002803A9"/>
    <w:rsid w:val="002803AF"/>
    <w:rsid w:val="002803D1"/>
    <w:rsid w:val="002803DF"/>
    <w:rsid w:val="00280465"/>
    <w:rsid w:val="0028053E"/>
    <w:rsid w:val="00280553"/>
    <w:rsid w:val="00280577"/>
    <w:rsid w:val="0028057B"/>
    <w:rsid w:val="00280637"/>
    <w:rsid w:val="002806F8"/>
    <w:rsid w:val="0028070A"/>
    <w:rsid w:val="00280878"/>
    <w:rsid w:val="00280A8F"/>
    <w:rsid w:val="00280BFB"/>
    <w:rsid w:val="00280C09"/>
    <w:rsid w:val="00280C8F"/>
    <w:rsid w:val="00280CCE"/>
    <w:rsid w:val="00280DA4"/>
    <w:rsid w:val="00280DDF"/>
    <w:rsid w:val="00280EB4"/>
    <w:rsid w:val="00280FD1"/>
    <w:rsid w:val="00280FD2"/>
    <w:rsid w:val="0028101C"/>
    <w:rsid w:val="0028106B"/>
    <w:rsid w:val="00281092"/>
    <w:rsid w:val="002810E2"/>
    <w:rsid w:val="002811E4"/>
    <w:rsid w:val="002811EB"/>
    <w:rsid w:val="0028121A"/>
    <w:rsid w:val="00281257"/>
    <w:rsid w:val="002812A5"/>
    <w:rsid w:val="002812D6"/>
    <w:rsid w:val="00281300"/>
    <w:rsid w:val="00281400"/>
    <w:rsid w:val="00281408"/>
    <w:rsid w:val="0028150F"/>
    <w:rsid w:val="00281530"/>
    <w:rsid w:val="0028153A"/>
    <w:rsid w:val="0028156A"/>
    <w:rsid w:val="002817A0"/>
    <w:rsid w:val="002818B1"/>
    <w:rsid w:val="002818D4"/>
    <w:rsid w:val="00281908"/>
    <w:rsid w:val="00281918"/>
    <w:rsid w:val="0028194E"/>
    <w:rsid w:val="00281A0E"/>
    <w:rsid w:val="00281A4A"/>
    <w:rsid w:val="00281A5C"/>
    <w:rsid w:val="00281A5E"/>
    <w:rsid w:val="00281A95"/>
    <w:rsid w:val="00281ACC"/>
    <w:rsid w:val="00281B8C"/>
    <w:rsid w:val="00281C1A"/>
    <w:rsid w:val="00281C22"/>
    <w:rsid w:val="00281D90"/>
    <w:rsid w:val="00281DE8"/>
    <w:rsid w:val="00281E17"/>
    <w:rsid w:val="00281E68"/>
    <w:rsid w:val="00281E6F"/>
    <w:rsid w:val="00281E97"/>
    <w:rsid w:val="00281F6C"/>
    <w:rsid w:val="00281F8B"/>
    <w:rsid w:val="00281F9E"/>
    <w:rsid w:val="00281FBE"/>
    <w:rsid w:val="00281FC8"/>
    <w:rsid w:val="00281FF0"/>
    <w:rsid w:val="0028205C"/>
    <w:rsid w:val="0028214D"/>
    <w:rsid w:val="002821A3"/>
    <w:rsid w:val="00282216"/>
    <w:rsid w:val="0028224D"/>
    <w:rsid w:val="0028226C"/>
    <w:rsid w:val="00282318"/>
    <w:rsid w:val="00282400"/>
    <w:rsid w:val="00282429"/>
    <w:rsid w:val="00282433"/>
    <w:rsid w:val="00282471"/>
    <w:rsid w:val="00282485"/>
    <w:rsid w:val="0028249A"/>
    <w:rsid w:val="002824BD"/>
    <w:rsid w:val="00282566"/>
    <w:rsid w:val="00282660"/>
    <w:rsid w:val="002826A3"/>
    <w:rsid w:val="002826C1"/>
    <w:rsid w:val="002826E2"/>
    <w:rsid w:val="0028282B"/>
    <w:rsid w:val="00282830"/>
    <w:rsid w:val="0028283B"/>
    <w:rsid w:val="00282880"/>
    <w:rsid w:val="002828BD"/>
    <w:rsid w:val="002828CE"/>
    <w:rsid w:val="00282922"/>
    <w:rsid w:val="00282927"/>
    <w:rsid w:val="0028299D"/>
    <w:rsid w:val="002829B4"/>
    <w:rsid w:val="00282A92"/>
    <w:rsid w:val="00282C78"/>
    <w:rsid w:val="00282C8C"/>
    <w:rsid w:val="00282D10"/>
    <w:rsid w:val="00282D16"/>
    <w:rsid w:val="00282D73"/>
    <w:rsid w:val="00282E15"/>
    <w:rsid w:val="00282E9F"/>
    <w:rsid w:val="00282F2D"/>
    <w:rsid w:val="00283109"/>
    <w:rsid w:val="0028313B"/>
    <w:rsid w:val="0028314C"/>
    <w:rsid w:val="002831DC"/>
    <w:rsid w:val="00283286"/>
    <w:rsid w:val="0028332D"/>
    <w:rsid w:val="00283390"/>
    <w:rsid w:val="00283392"/>
    <w:rsid w:val="002833D6"/>
    <w:rsid w:val="00283445"/>
    <w:rsid w:val="0028346C"/>
    <w:rsid w:val="002834A1"/>
    <w:rsid w:val="0028350E"/>
    <w:rsid w:val="00283516"/>
    <w:rsid w:val="0028351F"/>
    <w:rsid w:val="00283536"/>
    <w:rsid w:val="002835E7"/>
    <w:rsid w:val="0028394F"/>
    <w:rsid w:val="002839BF"/>
    <w:rsid w:val="00283AF7"/>
    <w:rsid w:val="00283AF9"/>
    <w:rsid w:val="00283B50"/>
    <w:rsid w:val="00283B6B"/>
    <w:rsid w:val="00283BF3"/>
    <w:rsid w:val="00283C34"/>
    <w:rsid w:val="00283CC2"/>
    <w:rsid w:val="00283CC4"/>
    <w:rsid w:val="00283D0B"/>
    <w:rsid w:val="00283E51"/>
    <w:rsid w:val="00283E60"/>
    <w:rsid w:val="00283EC6"/>
    <w:rsid w:val="00283FB7"/>
    <w:rsid w:val="00283FC7"/>
    <w:rsid w:val="00284098"/>
    <w:rsid w:val="0028410F"/>
    <w:rsid w:val="0028417D"/>
    <w:rsid w:val="00284195"/>
    <w:rsid w:val="002842AE"/>
    <w:rsid w:val="002842D9"/>
    <w:rsid w:val="00284397"/>
    <w:rsid w:val="002843E1"/>
    <w:rsid w:val="00284404"/>
    <w:rsid w:val="00284431"/>
    <w:rsid w:val="00284496"/>
    <w:rsid w:val="00284636"/>
    <w:rsid w:val="00284664"/>
    <w:rsid w:val="002847DB"/>
    <w:rsid w:val="0028487C"/>
    <w:rsid w:val="002848B1"/>
    <w:rsid w:val="00284A3B"/>
    <w:rsid w:val="00284A79"/>
    <w:rsid w:val="00284A88"/>
    <w:rsid w:val="00284BAF"/>
    <w:rsid w:val="00284C6D"/>
    <w:rsid w:val="00284CA8"/>
    <w:rsid w:val="00284CC2"/>
    <w:rsid w:val="00284CF3"/>
    <w:rsid w:val="00284D59"/>
    <w:rsid w:val="00284EDE"/>
    <w:rsid w:val="00284F56"/>
    <w:rsid w:val="00284F78"/>
    <w:rsid w:val="00284F7F"/>
    <w:rsid w:val="0028517F"/>
    <w:rsid w:val="00285218"/>
    <w:rsid w:val="0028526B"/>
    <w:rsid w:val="002852C4"/>
    <w:rsid w:val="00285309"/>
    <w:rsid w:val="002853BB"/>
    <w:rsid w:val="002853D0"/>
    <w:rsid w:val="002853E9"/>
    <w:rsid w:val="00285449"/>
    <w:rsid w:val="002854A9"/>
    <w:rsid w:val="00285534"/>
    <w:rsid w:val="0028554A"/>
    <w:rsid w:val="0028557B"/>
    <w:rsid w:val="00285585"/>
    <w:rsid w:val="002855B2"/>
    <w:rsid w:val="00285621"/>
    <w:rsid w:val="0028566C"/>
    <w:rsid w:val="002856CB"/>
    <w:rsid w:val="00285779"/>
    <w:rsid w:val="00285801"/>
    <w:rsid w:val="002858CF"/>
    <w:rsid w:val="002858FD"/>
    <w:rsid w:val="002859BA"/>
    <w:rsid w:val="002859E6"/>
    <w:rsid w:val="00285AE5"/>
    <w:rsid w:val="00285B1F"/>
    <w:rsid w:val="00285B95"/>
    <w:rsid w:val="00285BC4"/>
    <w:rsid w:val="00285C1F"/>
    <w:rsid w:val="00285D2C"/>
    <w:rsid w:val="00285D6D"/>
    <w:rsid w:val="00285D75"/>
    <w:rsid w:val="00285DE1"/>
    <w:rsid w:val="00285E65"/>
    <w:rsid w:val="00285F41"/>
    <w:rsid w:val="00285F93"/>
    <w:rsid w:val="00286045"/>
    <w:rsid w:val="00286171"/>
    <w:rsid w:val="002861B6"/>
    <w:rsid w:val="002861E4"/>
    <w:rsid w:val="00286218"/>
    <w:rsid w:val="0028640B"/>
    <w:rsid w:val="0028643A"/>
    <w:rsid w:val="0028649E"/>
    <w:rsid w:val="0028650C"/>
    <w:rsid w:val="0028657C"/>
    <w:rsid w:val="0028659A"/>
    <w:rsid w:val="00286606"/>
    <w:rsid w:val="00286657"/>
    <w:rsid w:val="0028667C"/>
    <w:rsid w:val="0028669F"/>
    <w:rsid w:val="00286700"/>
    <w:rsid w:val="00286711"/>
    <w:rsid w:val="002868DA"/>
    <w:rsid w:val="00286959"/>
    <w:rsid w:val="002869FA"/>
    <w:rsid w:val="00286A4D"/>
    <w:rsid w:val="00286A66"/>
    <w:rsid w:val="00286AEE"/>
    <w:rsid w:val="00286BAA"/>
    <w:rsid w:val="00286C69"/>
    <w:rsid w:val="00286E07"/>
    <w:rsid w:val="00286EC7"/>
    <w:rsid w:val="00286F53"/>
    <w:rsid w:val="00286F8B"/>
    <w:rsid w:val="00287025"/>
    <w:rsid w:val="002870CE"/>
    <w:rsid w:val="002870DB"/>
    <w:rsid w:val="00287135"/>
    <w:rsid w:val="00287147"/>
    <w:rsid w:val="0028715E"/>
    <w:rsid w:val="00287210"/>
    <w:rsid w:val="0028721E"/>
    <w:rsid w:val="00287254"/>
    <w:rsid w:val="00287280"/>
    <w:rsid w:val="002872D5"/>
    <w:rsid w:val="002872E8"/>
    <w:rsid w:val="0028735C"/>
    <w:rsid w:val="00287366"/>
    <w:rsid w:val="00287399"/>
    <w:rsid w:val="00287475"/>
    <w:rsid w:val="002874F6"/>
    <w:rsid w:val="00287508"/>
    <w:rsid w:val="002876AC"/>
    <w:rsid w:val="0028779D"/>
    <w:rsid w:val="00287830"/>
    <w:rsid w:val="002878E2"/>
    <w:rsid w:val="002878F8"/>
    <w:rsid w:val="00287965"/>
    <w:rsid w:val="00287A46"/>
    <w:rsid w:val="00287B96"/>
    <w:rsid w:val="00287C24"/>
    <w:rsid w:val="00287C4A"/>
    <w:rsid w:val="00287CFB"/>
    <w:rsid w:val="00287CFE"/>
    <w:rsid w:val="00287DD6"/>
    <w:rsid w:val="00287E30"/>
    <w:rsid w:val="00287E7B"/>
    <w:rsid w:val="00287F87"/>
    <w:rsid w:val="00287FB9"/>
    <w:rsid w:val="00290061"/>
    <w:rsid w:val="00290183"/>
    <w:rsid w:val="00290222"/>
    <w:rsid w:val="00290252"/>
    <w:rsid w:val="00290261"/>
    <w:rsid w:val="00290282"/>
    <w:rsid w:val="002902C0"/>
    <w:rsid w:val="0029036D"/>
    <w:rsid w:val="0029049C"/>
    <w:rsid w:val="002904AC"/>
    <w:rsid w:val="00290569"/>
    <w:rsid w:val="002905FC"/>
    <w:rsid w:val="0029060A"/>
    <w:rsid w:val="002906E6"/>
    <w:rsid w:val="0029084E"/>
    <w:rsid w:val="002908AB"/>
    <w:rsid w:val="002908FD"/>
    <w:rsid w:val="00290A36"/>
    <w:rsid w:val="00290A4E"/>
    <w:rsid w:val="00290ACE"/>
    <w:rsid w:val="00290B10"/>
    <w:rsid w:val="00290B7E"/>
    <w:rsid w:val="00290C0D"/>
    <w:rsid w:val="00290C88"/>
    <w:rsid w:val="00290DF3"/>
    <w:rsid w:val="00290E95"/>
    <w:rsid w:val="00290EDE"/>
    <w:rsid w:val="00290F28"/>
    <w:rsid w:val="00290F58"/>
    <w:rsid w:val="002910ED"/>
    <w:rsid w:val="00291110"/>
    <w:rsid w:val="0029114F"/>
    <w:rsid w:val="0029124F"/>
    <w:rsid w:val="00291477"/>
    <w:rsid w:val="00291516"/>
    <w:rsid w:val="0029156B"/>
    <w:rsid w:val="0029163A"/>
    <w:rsid w:val="0029167A"/>
    <w:rsid w:val="0029183F"/>
    <w:rsid w:val="00291994"/>
    <w:rsid w:val="002919E8"/>
    <w:rsid w:val="00291A49"/>
    <w:rsid w:val="00291A76"/>
    <w:rsid w:val="00291C0F"/>
    <w:rsid w:val="00291CAA"/>
    <w:rsid w:val="00291D72"/>
    <w:rsid w:val="00291DA1"/>
    <w:rsid w:val="00291DCC"/>
    <w:rsid w:val="00291DD7"/>
    <w:rsid w:val="00291E40"/>
    <w:rsid w:val="00291E4D"/>
    <w:rsid w:val="00291E5E"/>
    <w:rsid w:val="00292030"/>
    <w:rsid w:val="002920D0"/>
    <w:rsid w:val="002920F3"/>
    <w:rsid w:val="002921C8"/>
    <w:rsid w:val="0029225E"/>
    <w:rsid w:val="00292262"/>
    <w:rsid w:val="002922D1"/>
    <w:rsid w:val="002923A0"/>
    <w:rsid w:val="002923FE"/>
    <w:rsid w:val="00292480"/>
    <w:rsid w:val="002924C2"/>
    <w:rsid w:val="00292551"/>
    <w:rsid w:val="002925C7"/>
    <w:rsid w:val="0029268E"/>
    <w:rsid w:val="00292725"/>
    <w:rsid w:val="00292799"/>
    <w:rsid w:val="002927B2"/>
    <w:rsid w:val="00292804"/>
    <w:rsid w:val="002929DF"/>
    <w:rsid w:val="00292AA6"/>
    <w:rsid w:val="00292B72"/>
    <w:rsid w:val="00292D0C"/>
    <w:rsid w:val="00292DA4"/>
    <w:rsid w:val="00292F56"/>
    <w:rsid w:val="00292F5F"/>
    <w:rsid w:val="0029302A"/>
    <w:rsid w:val="00293088"/>
    <w:rsid w:val="00293095"/>
    <w:rsid w:val="002931AD"/>
    <w:rsid w:val="002931F3"/>
    <w:rsid w:val="0029327D"/>
    <w:rsid w:val="00293300"/>
    <w:rsid w:val="00293354"/>
    <w:rsid w:val="00293375"/>
    <w:rsid w:val="00293398"/>
    <w:rsid w:val="00293414"/>
    <w:rsid w:val="0029346A"/>
    <w:rsid w:val="002934A2"/>
    <w:rsid w:val="002934B5"/>
    <w:rsid w:val="00293556"/>
    <w:rsid w:val="00293564"/>
    <w:rsid w:val="00293586"/>
    <w:rsid w:val="0029366B"/>
    <w:rsid w:val="002936DE"/>
    <w:rsid w:val="00293805"/>
    <w:rsid w:val="00293850"/>
    <w:rsid w:val="002938A8"/>
    <w:rsid w:val="00293971"/>
    <w:rsid w:val="002939D9"/>
    <w:rsid w:val="00293A4A"/>
    <w:rsid w:val="00293AED"/>
    <w:rsid w:val="00293B37"/>
    <w:rsid w:val="00293B71"/>
    <w:rsid w:val="00293BDE"/>
    <w:rsid w:val="00293BE2"/>
    <w:rsid w:val="00293C1B"/>
    <w:rsid w:val="00293E09"/>
    <w:rsid w:val="00293E0D"/>
    <w:rsid w:val="00293E28"/>
    <w:rsid w:val="00293E96"/>
    <w:rsid w:val="00293F10"/>
    <w:rsid w:val="0029407F"/>
    <w:rsid w:val="00294149"/>
    <w:rsid w:val="002941BF"/>
    <w:rsid w:val="00294214"/>
    <w:rsid w:val="00294422"/>
    <w:rsid w:val="002945A4"/>
    <w:rsid w:val="00294742"/>
    <w:rsid w:val="002947C7"/>
    <w:rsid w:val="00294873"/>
    <w:rsid w:val="0029490B"/>
    <w:rsid w:val="0029494E"/>
    <w:rsid w:val="0029495A"/>
    <w:rsid w:val="00294A50"/>
    <w:rsid w:val="00294A67"/>
    <w:rsid w:val="00294A9F"/>
    <w:rsid w:val="00294DD2"/>
    <w:rsid w:val="00294F88"/>
    <w:rsid w:val="002950C2"/>
    <w:rsid w:val="00295169"/>
    <w:rsid w:val="0029519D"/>
    <w:rsid w:val="0029523A"/>
    <w:rsid w:val="00295256"/>
    <w:rsid w:val="0029533D"/>
    <w:rsid w:val="0029538C"/>
    <w:rsid w:val="00295438"/>
    <w:rsid w:val="00295554"/>
    <w:rsid w:val="002955D7"/>
    <w:rsid w:val="002955DD"/>
    <w:rsid w:val="00295703"/>
    <w:rsid w:val="0029572C"/>
    <w:rsid w:val="00295738"/>
    <w:rsid w:val="00295836"/>
    <w:rsid w:val="00295911"/>
    <w:rsid w:val="00295984"/>
    <w:rsid w:val="002959BF"/>
    <w:rsid w:val="00295A26"/>
    <w:rsid w:val="00295A5D"/>
    <w:rsid w:val="00295AEE"/>
    <w:rsid w:val="00295B32"/>
    <w:rsid w:val="00295B5A"/>
    <w:rsid w:val="00295B7C"/>
    <w:rsid w:val="00295BC5"/>
    <w:rsid w:val="00295D0B"/>
    <w:rsid w:val="00295D24"/>
    <w:rsid w:val="00295DB1"/>
    <w:rsid w:val="00295E8F"/>
    <w:rsid w:val="00295F8A"/>
    <w:rsid w:val="00295FA1"/>
    <w:rsid w:val="00295FAB"/>
    <w:rsid w:val="00295FB6"/>
    <w:rsid w:val="00296037"/>
    <w:rsid w:val="002960A6"/>
    <w:rsid w:val="00296140"/>
    <w:rsid w:val="002961A3"/>
    <w:rsid w:val="002961BF"/>
    <w:rsid w:val="00296223"/>
    <w:rsid w:val="00296252"/>
    <w:rsid w:val="002962F3"/>
    <w:rsid w:val="00296361"/>
    <w:rsid w:val="00296362"/>
    <w:rsid w:val="0029645A"/>
    <w:rsid w:val="002964DB"/>
    <w:rsid w:val="00296535"/>
    <w:rsid w:val="0029653F"/>
    <w:rsid w:val="00296595"/>
    <w:rsid w:val="002966AB"/>
    <w:rsid w:val="002966C9"/>
    <w:rsid w:val="0029682D"/>
    <w:rsid w:val="00296831"/>
    <w:rsid w:val="00296912"/>
    <w:rsid w:val="002969D3"/>
    <w:rsid w:val="00296B5E"/>
    <w:rsid w:val="00296BAC"/>
    <w:rsid w:val="00296C03"/>
    <w:rsid w:val="00296CD1"/>
    <w:rsid w:val="00296D72"/>
    <w:rsid w:val="00296EBD"/>
    <w:rsid w:val="00296F0B"/>
    <w:rsid w:val="00296FAF"/>
    <w:rsid w:val="00296FFB"/>
    <w:rsid w:val="00297013"/>
    <w:rsid w:val="00297039"/>
    <w:rsid w:val="002970A2"/>
    <w:rsid w:val="0029710D"/>
    <w:rsid w:val="002972D0"/>
    <w:rsid w:val="002972F2"/>
    <w:rsid w:val="00297419"/>
    <w:rsid w:val="0029748C"/>
    <w:rsid w:val="002974F7"/>
    <w:rsid w:val="00297546"/>
    <w:rsid w:val="00297564"/>
    <w:rsid w:val="0029757B"/>
    <w:rsid w:val="002975B2"/>
    <w:rsid w:val="002975BC"/>
    <w:rsid w:val="0029772B"/>
    <w:rsid w:val="00297817"/>
    <w:rsid w:val="0029781F"/>
    <w:rsid w:val="00297891"/>
    <w:rsid w:val="00297990"/>
    <w:rsid w:val="00297A07"/>
    <w:rsid w:val="00297A9C"/>
    <w:rsid w:val="00297B2C"/>
    <w:rsid w:val="00297B8D"/>
    <w:rsid w:val="00297BA2"/>
    <w:rsid w:val="00297BC9"/>
    <w:rsid w:val="00297D52"/>
    <w:rsid w:val="00297D54"/>
    <w:rsid w:val="00297E12"/>
    <w:rsid w:val="00297E19"/>
    <w:rsid w:val="00297E20"/>
    <w:rsid w:val="00297F27"/>
    <w:rsid w:val="00297F76"/>
    <w:rsid w:val="002A0028"/>
    <w:rsid w:val="002A0060"/>
    <w:rsid w:val="002A0079"/>
    <w:rsid w:val="002A00CA"/>
    <w:rsid w:val="002A0160"/>
    <w:rsid w:val="002A01CF"/>
    <w:rsid w:val="002A0227"/>
    <w:rsid w:val="002A030F"/>
    <w:rsid w:val="002A03BF"/>
    <w:rsid w:val="002A04CE"/>
    <w:rsid w:val="002A051C"/>
    <w:rsid w:val="002A0544"/>
    <w:rsid w:val="002A06D9"/>
    <w:rsid w:val="002A0877"/>
    <w:rsid w:val="002A0A57"/>
    <w:rsid w:val="002A0AB6"/>
    <w:rsid w:val="002A0BF7"/>
    <w:rsid w:val="002A0C76"/>
    <w:rsid w:val="002A0D42"/>
    <w:rsid w:val="002A0D5D"/>
    <w:rsid w:val="002A0DB3"/>
    <w:rsid w:val="002A0DF6"/>
    <w:rsid w:val="002A0EB6"/>
    <w:rsid w:val="002A1082"/>
    <w:rsid w:val="002A109B"/>
    <w:rsid w:val="002A10BD"/>
    <w:rsid w:val="002A1333"/>
    <w:rsid w:val="002A1498"/>
    <w:rsid w:val="002A1535"/>
    <w:rsid w:val="002A155E"/>
    <w:rsid w:val="002A15BC"/>
    <w:rsid w:val="002A160F"/>
    <w:rsid w:val="002A1649"/>
    <w:rsid w:val="002A167F"/>
    <w:rsid w:val="002A1683"/>
    <w:rsid w:val="002A1779"/>
    <w:rsid w:val="002A178E"/>
    <w:rsid w:val="002A17DC"/>
    <w:rsid w:val="002A1805"/>
    <w:rsid w:val="002A1AA1"/>
    <w:rsid w:val="002A1AFD"/>
    <w:rsid w:val="002A1B16"/>
    <w:rsid w:val="002A1B7A"/>
    <w:rsid w:val="002A1D33"/>
    <w:rsid w:val="002A1D5D"/>
    <w:rsid w:val="002A1D61"/>
    <w:rsid w:val="002A1DA7"/>
    <w:rsid w:val="002A1E20"/>
    <w:rsid w:val="002A1E85"/>
    <w:rsid w:val="002A1F84"/>
    <w:rsid w:val="002A1F8B"/>
    <w:rsid w:val="002A1FBE"/>
    <w:rsid w:val="002A200E"/>
    <w:rsid w:val="002A2015"/>
    <w:rsid w:val="002A20D9"/>
    <w:rsid w:val="002A211F"/>
    <w:rsid w:val="002A2125"/>
    <w:rsid w:val="002A2160"/>
    <w:rsid w:val="002A2261"/>
    <w:rsid w:val="002A2434"/>
    <w:rsid w:val="002A2471"/>
    <w:rsid w:val="002A2483"/>
    <w:rsid w:val="002A2506"/>
    <w:rsid w:val="002A251F"/>
    <w:rsid w:val="002A25D8"/>
    <w:rsid w:val="002A2620"/>
    <w:rsid w:val="002A26B7"/>
    <w:rsid w:val="002A26FC"/>
    <w:rsid w:val="002A2746"/>
    <w:rsid w:val="002A275F"/>
    <w:rsid w:val="002A280A"/>
    <w:rsid w:val="002A28C1"/>
    <w:rsid w:val="002A29D7"/>
    <w:rsid w:val="002A2B57"/>
    <w:rsid w:val="002A2B8A"/>
    <w:rsid w:val="002A2D35"/>
    <w:rsid w:val="002A2E83"/>
    <w:rsid w:val="002A2E8E"/>
    <w:rsid w:val="002A3182"/>
    <w:rsid w:val="002A3318"/>
    <w:rsid w:val="002A339F"/>
    <w:rsid w:val="002A3454"/>
    <w:rsid w:val="002A3544"/>
    <w:rsid w:val="002A361C"/>
    <w:rsid w:val="002A3684"/>
    <w:rsid w:val="002A36F6"/>
    <w:rsid w:val="002A3880"/>
    <w:rsid w:val="002A38A3"/>
    <w:rsid w:val="002A38B3"/>
    <w:rsid w:val="002A3B0A"/>
    <w:rsid w:val="002A3B63"/>
    <w:rsid w:val="002A3BE4"/>
    <w:rsid w:val="002A3C50"/>
    <w:rsid w:val="002A3DEC"/>
    <w:rsid w:val="002A3DEF"/>
    <w:rsid w:val="002A409A"/>
    <w:rsid w:val="002A4130"/>
    <w:rsid w:val="002A4175"/>
    <w:rsid w:val="002A420A"/>
    <w:rsid w:val="002A42DD"/>
    <w:rsid w:val="002A4301"/>
    <w:rsid w:val="002A43F0"/>
    <w:rsid w:val="002A443C"/>
    <w:rsid w:val="002A4533"/>
    <w:rsid w:val="002A4672"/>
    <w:rsid w:val="002A4734"/>
    <w:rsid w:val="002A4785"/>
    <w:rsid w:val="002A480B"/>
    <w:rsid w:val="002A482A"/>
    <w:rsid w:val="002A4872"/>
    <w:rsid w:val="002A4898"/>
    <w:rsid w:val="002A4A3F"/>
    <w:rsid w:val="002A4A51"/>
    <w:rsid w:val="002A4B78"/>
    <w:rsid w:val="002A4BBF"/>
    <w:rsid w:val="002A4C0B"/>
    <w:rsid w:val="002A4C21"/>
    <w:rsid w:val="002A4C80"/>
    <w:rsid w:val="002A4D01"/>
    <w:rsid w:val="002A4F3A"/>
    <w:rsid w:val="002A4FEA"/>
    <w:rsid w:val="002A5044"/>
    <w:rsid w:val="002A5154"/>
    <w:rsid w:val="002A52D2"/>
    <w:rsid w:val="002A52FD"/>
    <w:rsid w:val="002A5366"/>
    <w:rsid w:val="002A5393"/>
    <w:rsid w:val="002A53D3"/>
    <w:rsid w:val="002A5416"/>
    <w:rsid w:val="002A549C"/>
    <w:rsid w:val="002A5621"/>
    <w:rsid w:val="002A5671"/>
    <w:rsid w:val="002A5690"/>
    <w:rsid w:val="002A56B1"/>
    <w:rsid w:val="002A5713"/>
    <w:rsid w:val="002A576D"/>
    <w:rsid w:val="002A57EE"/>
    <w:rsid w:val="002A586C"/>
    <w:rsid w:val="002A590F"/>
    <w:rsid w:val="002A594B"/>
    <w:rsid w:val="002A5953"/>
    <w:rsid w:val="002A59E0"/>
    <w:rsid w:val="002A5A56"/>
    <w:rsid w:val="002A5A8A"/>
    <w:rsid w:val="002A5AA2"/>
    <w:rsid w:val="002A5BBB"/>
    <w:rsid w:val="002A5CB9"/>
    <w:rsid w:val="002A5CD0"/>
    <w:rsid w:val="002A5D59"/>
    <w:rsid w:val="002A5D9C"/>
    <w:rsid w:val="002A5DB0"/>
    <w:rsid w:val="002A5E29"/>
    <w:rsid w:val="002A5E2F"/>
    <w:rsid w:val="002A5E4D"/>
    <w:rsid w:val="002A5E77"/>
    <w:rsid w:val="002A5E9C"/>
    <w:rsid w:val="002A5F0E"/>
    <w:rsid w:val="002A5F22"/>
    <w:rsid w:val="002A60E9"/>
    <w:rsid w:val="002A616A"/>
    <w:rsid w:val="002A6229"/>
    <w:rsid w:val="002A62E3"/>
    <w:rsid w:val="002A6433"/>
    <w:rsid w:val="002A6458"/>
    <w:rsid w:val="002A6496"/>
    <w:rsid w:val="002A656C"/>
    <w:rsid w:val="002A661E"/>
    <w:rsid w:val="002A6894"/>
    <w:rsid w:val="002A68AE"/>
    <w:rsid w:val="002A68C7"/>
    <w:rsid w:val="002A68EB"/>
    <w:rsid w:val="002A693E"/>
    <w:rsid w:val="002A6943"/>
    <w:rsid w:val="002A69A3"/>
    <w:rsid w:val="002A6AC1"/>
    <w:rsid w:val="002A6B10"/>
    <w:rsid w:val="002A6BB0"/>
    <w:rsid w:val="002A6BDF"/>
    <w:rsid w:val="002A6C65"/>
    <w:rsid w:val="002A6C94"/>
    <w:rsid w:val="002A6DBF"/>
    <w:rsid w:val="002A6DC4"/>
    <w:rsid w:val="002A6DD0"/>
    <w:rsid w:val="002A6E40"/>
    <w:rsid w:val="002A6E7F"/>
    <w:rsid w:val="002A6F3B"/>
    <w:rsid w:val="002A6F6D"/>
    <w:rsid w:val="002A70E2"/>
    <w:rsid w:val="002A711D"/>
    <w:rsid w:val="002A7269"/>
    <w:rsid w:val="002A72C0"/>
    <w:rsid w:val="002A72E6"/>
    <w:rsid w:val="002A73C6"/>
    <w:rsid w:val="002A747D"/>
    <w:rsid w:val="002A75AF"/>
    <w:rsid w:val="002A7651"/>
    <w:rsid w:val="002A77A9"/>
    <w:rsid w:val="002A7831"/>
    <w:rsid w:val="002A7840"/>
    <w:rsid w:val="002A7843"/>
    <w:rsid w:val="002A789E"/>
    <w:rsid w:val="002A791E"/>
    <w:rsid w:val="002A79F6"/>
    <w:rsid w:val="002A7A38"/>
    <w:rsid w:val="002A7A48"/>
    <w:rsid w:val="002A7B56"/>
    <w:rsid w:val="002A7B80"/>
    <w:rsid w:val="002A7B89"/>
    <w:rsid w:val="002A7CC7"/>
    <w:rsid w:val="002A7D2D"/>
    <w:rsid w:val="002A7D83"/>
    <w:rsid w:val="002A7E38"/>
    <w:rsid w:val="002A7EA5"/>
    <w:rsid w:val="002A7F94"/>
    <w:rsid w:val="002A7FD9"/>
    <w:rsid w:val="002B0103"/>
    <w:rsid w:val="002B0165"/>
    <w:rsid w:val="002B01AA"/>
    <w:rsid w:val="002B01E0"/>
    <w:rsid w:val="002B03D1"/>
    <w:rsid w:val="002B049E"/>
    <w:rsid w:val="002B05F2"/>
    <w:rsid w:val="002B0794"/>
    <w:rsid w:val="002B07C8"/>
    <w:rsid w:val="002B085D"/>
    <w:rsid w:val="002B09BF"/>
    <w:rsid w:val="002B09C1"/>
    <w:rsid w:val="002B0A5C"/>
    <w:rsid w:val="002B0AA9"/>
    <w:rsid w:val="002B0C39"/>
    <w:rsid w:val="002B0C81"/>
    <w:rsid w:val="002B0CA8"/>
    <w:rsid w:val="002B0CDD"/>
    <w:rsid w:val="002B0DDE"/>
    <w:rsid w:val="002B0E02"/>
    <w:rsid w:val="002B0E16"/>
    <w:rsid w:val="002B0E4E"/>
    <w:rsid w:val="002B0E6D"/>
    <w:rsid w:val="002B0F31"/>
    <w:rsid w:val="002B0F9D"/>
    <w:rsid w:val="002B1121"/>
    <w:rsid w:val="002B113F"/>
    <w:rsid w:val="002B1149"/>
    <w:rsid w:val="002B1155"/>
    <w:rsid w:val="002B1166"/>
    <w:rsid w:val="002B1176"/>
    <w:rsid w:val="002B129B"/>
    <w:rsid w:val="002B12A3"/>
    <w:rsid w:val="002B13CF"/>
    <w:rsid w:val="002B1435"/>
    <w:rsid w:val="002B147C"/>
    <w:rsid w:val="002B1489"/>
    <w:rsid w:val="002B14D1"/>
    <w:rsid w:val="002B1526"/>
    <w:rsid w:val="002B15B9"/>
    <w:rsid w:val="002B1614"/>
    <w:rsid w:val="002B16AF"/>
    <w:rsid w:val="002B16B1"/>
    <w:rsid w:val="002B16CE"/>
    <w:rsid w:val="002B16FA"/>
    <w:rsid w:val="002B174E"/>
    <w:rsid w:val="002B1847"/>
    <w:rsid w:val="002B18A4"/>
    <w:rsid w:val="002B1987"/>
    <w:rsid w:val="002B19EC"/>
    <w:rsid w:val="002B1BAD"/>
    <w:rsid w:val="002B1BF6"/>
    <w:rsid w:val="002B1CD4"/>
    <w:rsid w:val="002B1D32"/>
    <w:rsid w:val="002B1D6E"/>
    <w:rsid w:val="002B1D87"/>
    <w:rsid w:val="002B1DF4"/>
    <w:rsid w:val="002B1DFB"/>
    <w:rsid w:val="002B1E2B"/>
    <w:rsid w:val="002B1E45"/>
    <w:rsid w:val="002B1FDD"/>
    <w:rsid w:val="002B216C"/>
    <w:rsid w:val="002B22B1"/>
    <w:rsid w:val="002B22DB"/>
    <w:rsid w:val="002B22F8"/>
    <w:rsid w:val="002B236E"/>
    <w:rsid w:val="002B24C0"/>
    <w:rsid w:val="002B256A"/>
    <w:rsid w:val="002B2667"/>
    <w:rsid w:val="002B2A18"/>
    <w:rsid w:val="002B2A35"/>
    <w:rsid w:val="002B2A57"/>
    <w:rsid w:val="002B2A59"/>
    <w:rsid w:val="002B2A9E"/>
    <w:rsid w:val="002B2E3C"/>
    <w:rsid w:val="002B2E3D"/>
    <w:rsid w:val="002B2F30"/>
    <w:rsid w:val="002B2F39"/>
    <w:rsid w:val="002B2F72"/>
    <w:rsid w:val="002B3051"/>
    <w:rsid w:val="002B306D"/>
    <w:rsid w:val="002B307C"/>
    <w:rsid w:val="002B30CD"/>
    <w:rsid w:val="002B3182"/>
    <w:rsid w:val="002B31DF"/>
    <w:rsid w:val="002B32BB"/>
    <w:rsid w:val="002B32C3"/>
    <w:rsid w:val="002B32DD"/>
    <w:rsid w:val="002B339D"/>
    <w:rsid w:val="002B33A0"/>
    <w:rsid w:val="002B3492"/>
    <w:rsid w:val="002B35E8"/>
    <w:rsid w:val="002B35F4"/>
    <w:rsid w:val="002B367D"/>
    <w:rsid w:val="002B3730"/>
    <w:rsid w:val="002B37C3"/>
    <w:rsid w:val="002B38FD"/>
    <w:rsid w:val="002B390D"/>
    <w:rsid w:val="002B396C"/>
    <w:rsid w:val="002B3997"/>
    <w:rsid w:val="002B39A9"/>
    <w:rsid w:val="002B39AF"/>
    <w:rsid w:val="002B39DB"/>
    <w:rsid w:val="002B3AAA"/>
    <w:rsid w:val="002B3B89"/>
    <w:rsid w:val="002B3C41"/>
    <w:rsid w:val="002B3CDF"/>
    <w:rsid w:val="002B3E2B"/>
    <w:rsid w:val="002B3E97"/>
    <w:rsid w:val="002B3EF4"/>
    <w:rsid w:val="002B3F8F"/>
    <w:rsid w:val="002B3F97"/>
    <w:rsid w:val="002B4136"/>
    <w:rsid w:val="002B4152"/>
    <w:rsid w:val="002B4176"/>
    <w:rsid w:val="002B4210"/>
    <w:rsid w:val="002B426A"/>
    <w:rsid w:val="002B428A"/>
    <w:rsid w:val="002B4476"/>
    <w:rsid w:val="002B448C"/>
    <w:rsid w:val="002B449D"/>
    <w:rsid w:val="002B450D"/>
    <w:rsid w:val="002B457A"/>
    <w:rsid w:val="002B4665"/>
    <w:rsid w:val="002B469C"/>
    <w:rsid w:val="002B46EA"/>
    <w:rsid w:val="002B472F"/>
    <w:rsid w:val="002B47C4"/>
    <w:rsid w:val="002B47D2"/>
    <w:rsid w:val="002B488A"/>
    <w:rsid w:val="002B494D"/>
    <w:rsid w:val="002B4A73"/>
    <w:rsid w:val="002B4AAB"/>
    <w:rsid w:val="002B4C41"/>
    <w:rsid w:val="002B4C5F"/>
    <w:rsid w:val="002B4CEC"/>
    <w:rsid w:val="002B4CF2"/>
    <w:rsid w:val="002B4D23"/>
    <w:rsid w:val="002B4D36"/>
    <w:rsid w:val="002B4D8B"/>
    <w:rsid w:val="002B4DC0"/>
    <w:rsid w:val="002B4F55"/>
    <w:rsid w:val="002B5138"/>
    <w:rsid w:val="002B538D"/>
    <w:rsid w:val="002B54FE"/>
    <w:rsid w:val="002B550E"/>
    <w:rsid w:val="002B5522"/>
    <w:rsid w:val="002B55B9"/>
    <w:rsid w:val="002B55D2"/>
    <w:rsid w:val="002B5629"/>
    <w:rsid w:val="002B5643"/>
    <w:rsid w:val="002B57B0"/>
    <w:rsid w:val="002B57F0"/>
    <w:rsid w:val="002B5816"/>
    <w:rsid w:val="002B589E"/>
    <w:rsid w:val="002B59E2"/>
    <w:rsid w:val="002B5A3F"/>
    <w:rsid w:val="002B5A5C"/>
    <w:rsid w:val="002B5A96"/>
    <w:rsid w:val="002B5ABE"/>
    <w:rsid w:val="002B5AD2"/>
    <w:rsid w:val="002B5EAC"/>
    <w:rsid w:val="002B5EC7"/>
    <w:rsid w:val="002B5F9A"/>
    <w:rsid w:val="002B5FAE"/>
    <w:rsid w:val="002B5FC2"/>
    <w:rsid w:val="002B600E"/>
    <w:rsid w:val="002B6020"/>
    <w:rsid w:val="002B606E"/>
    <w:rsid w:val="002B6128"/>
    <w:rsid w:val="002B61BF"/>
    <w:rsid w:val="002B61D1"/>
    <w:rsid w:val="002B637F"/>
    <w:rsid w:val="002B63D1"/>
    <w:rsid w:val="002B63FC"/>
    <w:rsid w:val="002B6424"/>
    <w:rsid w:val="002B64CE"/>
    <w:rsid w:val="002B6504"/>
    <w:rsid w:val="002B6586"/>
    <w:rsid w:val="002B65BC"/>
    <w:rsid w:val="002B668D"/>
    <w:rsid w:val="002B66E1"/>
    <w:rsid w:val="002B67CB"/>
    <w:rsid w:val="002B6804"/>
    <w:rsid w:val="002B6814"/>
    <w:rsid w:val="002B685E"/>
    <w:rsid w:val="002B6879"/>
    <w:rsid w:val="002B68BC"/>
    <w:rsid w:val="002B68D1"/>
    <w:rsid w:val="002B690A"/>
    <w:rsid w:val="002B690F"/>
    <w:rsid w:val="002B69C2"/>
    <w:rsid w:val="002B6AE4"/>
    <w:rsid w:val="002B6B89"/>
    <w:rsid w:val="002B6BFD"/>
    <w:rsid w:val="002B6C64"/>
    <w:rsid w:val="002B6CF3"/>
    <w:rsid w:val="002B6CF6"/>
    <w:rsid w:val="002B6E2C"/>
    <w:rsid w:val="002B6E9C"/>
    <w:rsid w:val="002B6F05"/>
    <w:rsid w:val="002B6F0D"/>
    <w:rsid w:val="002B715B"/>
    <w:rsid w:val="002B71C2"/>
    <w:rsid w:val="002B71C6"/>
    <w:rsid w:val="002B722B"/>
    <w:rsid w:val="002B728D"/>
    <w:rsid w:val="002B72F7"/>
    <w:rsid w:val="002B73B8"/>
    <w:rsid w:val="002B73C0"/>
    <w:rsid w:val="002B74CE"/>
    <w:rsid w:val="002B7542"/>
    <w:rsid w:val="002B7543"/>
    <w:rsid w:val="002B754B"/>
    <w:rsid w:val="002B7560"/>
    <w:rsid w:val="002B7612"/>
    <w:rsid w:val="002B7788"/>
    <w:rsid w:val="002B7862"/>
    <w:rsid w:val="002B78F8"/>
    <w:rsid w:val="002B797A"/>
    <w:rsid w:val="002B7A4D"/>
    <w:rsid w:val="002B7A4F"/>
    <w:rsid w:val="002B7A58"/>
    <w:rsid w:val="002B7AF9"/>
    <w:rsid w:val="002B7C1F"/>
    <w:rsid w:val="002B7C83"/>
    <w:rsid w:val="002B7CC2"/>
    <w:rsid w:val="002B7CE5"/>
    <w:rsid w:val="002B7D1D"/>
    <w:rsid w:val="002B7EC8"/>
    <w:rsid w:val="002C0029"/>
    <w:rsid w:val="002C0148"/>
    <w:rsid w:val="002C0169"/>
    <w:rsid w:val="002C022D"/>
    <w:rsid w:val="002C023D"/>
    <w:rsid w:val="002C0284"/>
    <w:rsid w:val="002C0464"/>
    <w:rsid w:val="002C04C8"/>
    <w:rsid w:val="002C0566"/>
    <w:rsid w:val="002C05AA"/>
    <w:rsid w:val="002C05C0"/>
    <w:rsid w:val="002C0602"/>
    <w:rsid w:val="002C062E"/>
    <w:rsid w:val="002C0639"/>
    <w:rsid w:val="002C064B"/>
    <w:rsid w:val="002C0660"/>
    <w:rsid w:val="002C068F"/>
    <w:rsid w:val="002C06B3"/>
    <w:rsid w:val="002C06C8"/>
    <w:rsid w:val="002C0789"/>
    <w:rsid w:val="002C07CC"/>
    <w:rsid w:val="002C0810"/>
    <w:rsid w:val="002C0813"/>
    <w:rsid w:val="002C088A"/>
    <w:rsid w:val="002C0891"/>
    <w:rsid w:val="002C08DC"/>
    <w:rsid w:val="002C08DF"/>
    <w:rsid w:val="002C09EC"/>
    <w:rsid w:val="002C0A45"/>
    <w:rsid w:val="002C0A6D"/>
    <w:rsid w:val="002C0ABD"/>
    <w:rsid w:val="002C0AFA"/>
    <w:rsid w:val="002C0B45"/>
    <w:rsid w:val="002C0B53"/>
    <w:rsid w:val="002C0B8F"/>
    <w:rsid w:val="002C0CF9"/>
    <w:rsid w:val="002C0D2B"/>
    <w:rsid w:val="002C0D6E"/>
    <w:rsid w:val="002C0D7E"/>
    <w:rsid w:val="002C0DAB"/>
    <w:rsid w:val="002C0DE8"/>
    <w:rsid w:val="002C0E99"/>
    <w:rsid w:val="002C0EDF"/>
    <w:rsid w:val="002C0FB9"/>
    <w:rsid w:val="002C0FF9"/>
    <w:rsid w:val="002C1033"/>
    <w:rsid w:val="002C1045"/>
    <w:rsid w:val="002C113F"/>
    <w:rsid w:val="002C118C"/>
    <w:rsid w:val="002C11CB"/>
    <w:rsid w:val="002C11E2"/>
    <w:rsid w:val="002C12B8"/>
    <w:rsid w:val="002C1375"/>
    <w:rsid w:val="002C13CD"/>
    <w:rsid w:val="002C13F5"/>
    <w:rsid w:val="002C142E"/>
    <w:rsid w:val="002C1526"/>
    <w:rsid w:val="002C15F2"/>
    <w:rsid w:val="002C160F"/>
    <w:rsid w:val="002C1667"/>
    <w:rsid w:val="002C183E"/>
    <w:rsid w:val="002C1904"/>
    <w:rsid w:val="002C1947"/>
    <w:rsid w:val="002C1954"/>
    <w:rsid w:val="002C19AC"/>
    <w:rsid w:val="002C19F9"/>
    <w:rsid w:val="002C1A17"/>
    <w:rsid w:val="002C1A57"/>
    <w:rsid w:val="002C1A9C"/>
    <w:rsid w:val="002C1B0B"/>
    <w:rsid w:val="002C1B0E"/>
    <w:rsid w:val="002C1B3C"/>
    <w:rsid w:val="002C1CF3"/>
    <w:rsid w:val="002C1D12"/>
    <w:rsid w:val="002C1E3C"/>
    <w:rsid w:val="002C1EA8"/>
    <w:rsid w:val="002C1EA9"/>
    <w:rsid w:val="002C1EB5"/>
    <w:rsid w:val="002C1ED4"/>
    <w:rsid w:val="002C1EFD"/>
    <w:rsid w:val="002C1F16"/>
    <w:rsid w:val="002C1F44"/>
    <w:rsid w:val="002C1F50"/>
    <w:rsid w:val="002C2023"/>
    <w:rsid w:val="002C2034"/>
    <w:rsid w:val="002C205C"/>
    <w:rsid w:val="002C206D"/>
    <w:rsid w:val="002C20C3"/>
    <w:rsid w:val="002C2191"/>
    <w:rsid w:val="002C228E"/>
    <w:rsid w:val="002C2339"/>
    <w:rsid w:val="002C23B1"/>
    <w:rsid w:val="002C2524"/>
    <w:rsid w:val="002C255D"/>
    <w:rsid w:val="002C256A"/>
    <w:rsid w:val="002C2578"/>
    <w:rsid w:val="002C26FA"/>
    <w:rsid w:val="002C2703"/>
    <w:rsid w:val="002C2716"/>
    <w:rsid w:val="002C2762"/>
    <w:rsid w:val="002C27F8"/>
    <w:rsid w:val="002C27FC"/>
    <w:rsid w:val="002C28A2"/>
    <w:rsid w:val="002C2969"/>
    <w:rsid w:val="002C2972"/>
    <w:rsid w:val="002C297F"/>
    <w:rsid w:val="002C29AC"/>
    <w:rsid w:val="002C29DC"/>
    <w:rsid w:val="002C2B74"/>
    <w:rsid w:val="002C2BAA"/>
    <w:rsid w:val="002C2CA6"/>
    <w:rsid w:val="002C2CAB"/>
    <w:rsid w:val="002C2CB6"/>
    <w:rsid w:val="002C2CC2"/>
    <w:rsid w:val="002C2CCD"/>
    <w:rsid w:val="002C2E29"/>
    <w:rsid w:val="002C2F06"/>
    <w:rsid w:val="002C2F1E"/>
    <w:rsid w:val="002C2F7C"/>
    <w:rsid w:val="002C2FE1"/>
    <w:rsid w:val="002C3092"/>
    <w:rsid w:val="002C30C3"/>
    <w:rsid w:val="002C30EA"/>
    <w:rsid w:val="002C3117"/>
    <w:rsid w:val="002C31DD"/>
    <w:rsid w:val="002C3235"/>
    <w:rsid w:val="002C32D9"/>
    <w:rsid w:val="002C33A5"/>
    <w:rsid w:val="002C3416"/>
    <w:rsid w:val="002C34A1"/>
    <w:rsid w:val="002C3567"/>
    <w:rsid w:val="002C3620"/>
    <w:rsid w:val="002C3632"/>
    <w:rsid w:val="002C367D"/>
    <w:rsid w:val="002C36E0"/>
    <w:rsid w:val="002C379F"/>
    <w:rsid w:val="002C37A3"/>
    <w:rsid w:val="002C38CB"/>
    <w:rsid w:val="002C3954"/>
    <w:rsid w:val="002C396D"/>
    <w:rsid w:val="002C39FF"/>
    <w:rsid w:val="002C3A00"/>
    <w:rsid w:val="002C3A92"/>
    <w:rsid w:val="002C3A9B"/>
    <w:rsid w:val="002C3AE6"/>
    <w:rsid w:val="002C3B1D"/>
    <w:rsid w:val="002C3B4B"/>
    <w:rsid w:val="002C3C99"/>
    <w:rsid w:val="002C3CE9"/>
    <w:rsid w:val="002C3DDF"/>
    <w:rsid w:val="002C3E65"/>
    <w:rsid w:val="002C3E80"/>
    <w:rsid w:val="002C3E94"/>
    <w:rsid w:val="002C3EEE"/>
    <w:rsid w:val="002C3F0A"/>
    <w:rsid w:val="002C3F40"/>
    <w:rsid w:val="002C3FC0"/>
    <w:rsid w:val="002C3FF0"/>
    <w:rsid w:val="002C40B6"/>
    <w:rsid w:val="002C40F8"/>
    <w:rsid w:val="002C411D"/>
    <w:rsid w:val="002C41A9"/>
    <w:rsid w:val="002C428B"/>
    <w:rsid w:val="002C42B9"/>
    <w:rsid w:val="002C433A"/>
    <w:rsid w:val="002C4359"/>
    <w:rsid w:val="002C4374"/>
    <w:rsid w:val="002C4439"/>
    <w:rsid w:val="002C44F3"/>
    <w:rsid w:val="002C456B"/>
    <w:rsid w:val="002C464B"/>
    <w:rsid w:val="002C4651"/>
    <w:rsid w:val="002C4964"/>
    <w:rsid w:val="002C49FA"/>
    <w:rsid w:val="002C4ADD"/>
    <w:rsid w:val="002C4B00"/>
    <w:rsid w:val="002C4B05"/>
    <w:rsid w:val="002C4C32"/>
    <w:rsid w:val="002C4C9E"/>
    <w:rsid w:val="002C4DF1"/>
    <w:rsid w:val="002C4DF7"/>
    <w:rsid w:val="002C4EB5"/>
    <w:rsid w:val="002C4F12"/>
    <w:rsid w:val="002C4FB2"/>
    <w:rsid w:val="002C505E"/>
    <w:rsid w:val="002C50BB"/>
    <w:rsid w:val="002C519E"/>
    <w:rsid w:val="002C5299"/>
    <w:rsid w:val="002C5336"/>
    <w:rsid w:val="002C53B4"/>
    <w:rsid w:val="002C545F"/>
    <w:rsid w:val="002C5472"/>
    <w:rsid w:val="002C5484"/>
    <w:rsid w:val="002C5504"/>
    <w:rsid w:val="002C55BA"/>
    <w:rsid w:val="002C55CB"/>
    <w:rsid w:val="002C56AA"/>
    <w:rsid w:val="002C5746"/>
    <w:rsid w:val="002C57AB"/>
    <w:rsid w:val="002C586A"/>
    <w:rsid w:val="002C5876"/>
    <w:rsid w:val="002C5888"/>
    <w:rsid w:val="002C58C6"/>
    <w:rsid w:val="002C5928"/>
    <w:rsid w:val="002C5982"/>
    <w:rsid w:val="002C59D4"/>
    <w:rsid w:val="002C5A0F"/>
    <w:rsid w:val="002C5A66"/>
    <w:rsid w:val="002C5A8A"/>
    <w:rsid w:val="002C5B79"/>
    <w:rsid w:val="002C5BCC"/>
    <w:rsid w:val="002C5D14"/>
    <w:rsid w:val="002C5D42"/>
    <w:rsid w:val="002C5E38"/>
    <w:rsid w:val="002C5E68"/>
    <w:rsid w:val="002C5EB1"/>
    <w:rsid w:val="002C5EBD"/>
    <w:rsid w:val="002C6071"/>
    <w:rsid w:val="002C6145"/>
    <w:rsid w:val="002C61F8"/>
    <w:rsid w:val="002C6278"/>
    <w:rsid w:val="002C628E"/>
    <w:rsid w:val="002C6347"/>
    <w:rsid w:val="002C644C"/>
    <w:rsid w:val="002C644E"/>
    <w:rsid w:val="002C650C"/>
    <w:rsid w:val="002C6510"/>
    <w:rsid w:val="002C65F5"/>
    <w:rsid w:val="002C6672"/>
    <w:rsid w:val="002C6724"/>
    <w:rsid w:val="002C6753"/>
    <w:rsid w:val="002C6771"/>
    <w:rsid w:val="002C67D5"/>
    <w:rsid w:val="002C683F"/>
    <w:rsid w:val="002C685C"/>
    <w:rsid w:val="002C688D"/>
    <w:rsid w:val="002C68A8"/>
    <w:rsid w:val="002C6984"/>
    <w:rsid w:val="002C6989"/>
    <w:rsid w:val="002C69F9"/>
    <w:rsid w:val="002C6A40"/>
    <w:rsid w:val="002C6B12"/>
    <w:rsid w:val="002C6D28"/>
    <w:rsid w:val="002C6E39"/>
    <w:rsid w:val="002C6F60"/>
    <w:rsid w:val="002C6F98"/>
    <w:rsid w:val="002C6FC7"/>
    <w:rsid w:val="002C7014"/>
    <w:rsid w:val="002C708B"/>
    <w:rsid w:val="002C7117"/>
    <w:rsid w:val="002C7158"/>
    <w:rsid w:val="002C7245"/>
    <w:rsid w:val="002C732F"/>
    <w:rsid w:val="002C744E"/>
    <w:rsid w:val="002C757C"/>
    <w:rsid w:val="002C7580"/>
    <w:rsid w:val="002C75F7"/>
    <w:rsid w:val="002C77E7"/>
    <w:rsid w:val="002C78BE"/>
    <w:rsid w:val="002C79BE"/>
    <w:rsid w:val="002C7A8D"/>
    <w:rsid w:val="002C7AA2"/>
    <w:rsid w:val="002C7ACB"/>
    <w:rsid w:val="002C7B20"/>
    <w:rsid w:val="002C7BC0"/>
    <w:rsid w:val="002C7C0E"/>
    <w:rsid w:val="002C7C9C"/>
    <w:rsid w:val="002C7CEB"/>
    <w:rsid w:val="002C7D01"/>
    <w:rsid w:val="002C7F04"/>
    <w:rsid w:val="002C7F94"/>
    <w:rsid w:val="002D002F"/>
    <w:rsid w:val="002D0051"/>
    <w:rsid w:val="002D00D7"/>
    <w:rsid w:val="002D01B7"/>
    <w:rsid w:val="002D020F"/>
    <w:rsid w:val="002D0238"/>
    <w:rsid w:val="002D0252"/>
    <w:rsid w:val="002D0297"/>
    <w:rsid w:val="002D0403"/>
    <w:rsid w:val="002D0444"/>
    <w:rsid w:val="002D0446"/>
    <w:rsid w:val="002D045F"/>
    <w:rsid w:val="002D05EE"/>
    <w:rsid w:val="002D0627"/>
    <w:rsid w:val="002D0631"/>
    <w:rsid w:val="002D0643"/>
    <w:rsid w:val="002D0699"/>
    <w:rsid w:val="002D06C9"/>
    <w:rsid w:val="002D0766"/>
    <w:rsid w:val="002D08C5"/>
    <w:rsid w:val="002D09E4"/>
    <w:rsid w:val="002D0A49"/>
    <w:rsid w:val="002D0A7A"/>
    <w:rsid w:val="002D0AC0"/>
    <w:rsid w:val="002D0BD6"/>
    <w:rsid w:val="002D0C27"/>
    <w:rsid w:val="002D0DD5"/>
    <w:rsid w:val="002D0E44"/>
    <w:rsid w:val="002D0E5E"/>
    <w:rsid w:val="002D0EAF"/>
    <w:rsid w:val="002D0EE5"/>
    <w:rsid w:val="002D0F51"/>
    <w:rsid w:val="002D0FC8"/>
    <w:rsid w:val="002D10BF"/>
    <w:rsid w:val="002D10D0"/>
    <w:rsid w:val="002D122B"/>
    <w:rsid w:val="002D12D8"/>
    <w:rsid w:val="002D1369"/>
    <w:rsid w:val="002D1371"/>
    <w:rsid w:val="002D137C"/>
    <w:rsid w:val="002D138D"/>
    <w:rsid w:val="002D1399"/>
    <w:rsid w:val="002D14E4"/>
    <w:rsid w:val="002D1509"/>
    <w:rsid w:val="002D151F"/>
    <w:rsid w:val="002D1591"/>
    <w:rsid w:val="002D15FA"/>
    <w:rsid w:val="002D166F"/>
    <w:rsid w:val="002D16F8"/>
    <w:rsid w:val="002D173F"/>
    <w:rsid w:val="002D17C4"/>
    <w:rsid w:val="002D189A"/>
    <w:rsid w:val="002D18AC"/>
    <w:rsid w:val="002D1961"/>
    <w:rsid w:val="002D1A25"/>
    <w:rsid w:val="002D1AEE"/>
    <w:rsid w:val="002D1B88"/>
    <w:rsid w:val="002D1BB7"/>
    <w:rsid w:val="002D1C48"/>
    <w:rsid w:val="002D1C61"/>
    <w:rsid w:val="002D1D87"/>
    <w:rsid w:val="002D1EC7"/>
    <w:rsid w:val="002D1F4D"/>
    <w:rsid w:val="002D1F8B"/>
    <w:rsid w:val="002D1FA2"/>
    <w:rsid w:val="002D1FB2"/>
    <w:rsid w:val="002D1FE9"/>
    <w:rsid w:val="002D202C"/>
    <w:rsid w:val="002D205D"/>
    <w:rsid w:val="002D208C"/>
    <w:rsid w:val="002D20A5"/>
    <w:rsid w:val="002D20C7"/>
    <w:rsid w:val="002D21DD"/>
    <w:rsid w:val="002D2222"/>
    <w:rsid w:val="002D2338"/>
    <w:rsid w:val="002D234C"/>
    <w:rsid w:val="002D2438"/>
    <w:rsid w:val="002D24EE"/>
    <w:rsid w:val="002D2567"/>
    <w:rsid w:val="002D25DE"/>
    <w:rsid w:val="002D25F7"/>
    <w:rsid w:val="002D2633"/>
    <w:rsid w:val="002D2853"/>
    <w:rsid w:val="002D2AC5"/>
    <w:rsid w:val="002D2B7C"/>
    <w:rsid w:val="002D2BDD"/>
    <w:rsid w:val="002D2C1D"/>
    <w:rsid w:val="002D2C85"/>
    <w:rsid w:val="002D2CFB"/>
    <w:rsid w:val="002D2D0F"/>
    <w:rsid w:val="002D2D22"/>
    <w:rsid w:val="002D2D91"/>
    <w:rsid w:val="002D2E1B"/>
    <w:rsid w:val="002D2E1C"/>
    <w:rsid w:val="002D2E82"/>
    <w:rsid w:val="002D2F1D"/>
    <w:rsid w:val="002D2FF2"/>
    <w:rsid w:val="002D3019"/>
    <w:rsid w:val="002D3119"/>
    <w:rsid w:val="002D3172"/>
    <w:rsid w:val="002D3275"/>
    <w:rsid w:val="002D32D4"/>
    <w:rsid w:val="002D330D"/>
    <w:rsid w:val="002D332B"/>
    <w:rsid w:val="002D34C6"/>
    <w:rsid w:val="002D3557"/>
    <w:rsid w:val="002D355B"/>
    <w:rsid w:val="002D35C6"/>
    <w:rsid w:val="002D363B"/>
    <w:rsid w:val="002D37FE"/>
    <w:rsid w:val="002D384C"/>
    <w:rsid w:val="002D3882"/>
    <w:rsid w:val="002D38B1"/>
    <w:rsid w:val="002D3A2E"/>
    <w:rsid w:val="002D3B1A"/>
    <w:rsid w:val="002D3B2C"/>
    <w:rsid w:val="002D3B71"/>
    <w:rsid w:val="002D3B97"/>
    <w:rsid w:val="002D3CD7"/>
    <w:rsid w:val="002D3D2F"/>
    <w:rsid w:val="002D3D50"/>
    <w:rsid w:val="002D3D6B"/>
    <w:rsid w:val="002D3DED"/>
    <w:rsid w:val="002D3F04"/>
    <w:rsid w:val="002D3F1D"/>
    <w:rsid w:val="002D3F26"/>
    <w:rsid w:val="002D3FE0"/>
    <w:rsid w:val="002D4057"/>
    <w:rsid w:val="002D413C"/>
    <w:rsid w:val="002D41A4"/>
    <w:rsid w:val="002D4236"/>
    <w:rsid w:val="002D4298"/>
    <w:rsid w:val="002D4323"/>
    <w:rsid w:val="002D4329"/>
    <w:rsid w:val="002D432B"/>
    <w:rsid w:val="002D4373"/>
    <w:rsid w:val="002D4499"/>
    <w:rsid w:val="002D452D"/>
    <w:rsid w:val="002D455F"/>
    <w:rsid w:val="002D4595"/>
    <w:rsid w:val="002D45D2"/>
    <w:rsid w:val="002D46D9"/>
    <w:rsid w:val="002D472A"/>
    <w:rsid w:val="002D4751"/>
    <w:rsid w:val="002D47BD"/>
    <w:rsid w:val="002D47DE"/>
    <w:rsid w:val="002D4886"/>
    <w:rsid w:val="002D4A1E"/>
    <w:rsid w:val="002D4A53"/>
    <w:rsid w:val="002D4ABB"/>
    <w:rsid w:val="002D4C21"/>
    <w:rsid w:val="002D4CC8"/>
    <w:rsid w:val="002D4D38"/>
    <w:rsid w:val="002D4DD6"/>
    <w:rsid w:val="002D4DE3"/>
    <w:rsid w:val="002D4EC7"/>
    <w:rsid w:val="002D4FA6"/>
    <w:rsid w:val="002D4FDE"/>
    <w:rsid w:val="002D500C"/>
    <w:rsid w:val="002D50AC"/>
    <w:rsid w:val="002D50F4"/>
    <w:rsid w:val="002D518A"/>
    <w:rsid w:val="002D5289"/>
    <w:rsid w:val="002D532A"/>
    <w:rsid w:val="002D53BC"/>
    <w:rsid w:val="002D5447"/>
    <w:rsid w:val="002D555A"/>
    <w:rsid w:val="002D55AB"/>
    <w:rsid w:val="002D55C0"/>
    <w:rsid w:val="002D5672"/>
    <w:rsid w:val="002D56CB"/>
    <w:rsid w:val="002D58A3"/>
    <w:rsid w:val="002D592D"/>
    <w:rsid w:val="002D5993"/>
    <w:rsid w:val="002D59B8"/>
    <w:rsid w:val="002D5BD7"/>
    <w:rsid w:val="002D5C55"/>
    <w:rsid w:val="002D5CBC"/>
    <w:rsid w:val="002D5F3A"/>
    <w:rsid w:val="002D5F5A"/>
    <w:rsid w:val="002D6061"/>
    <w:rsid w:val="002D6096"/>
    <w:rsid w:val="002D6141"/>
    <w:rsid w:val="002D6197"/>
    <w:rsid w:val="002D61A0"/>
    <w:rsid w:val="002D626E"/>
    <w:rsid w:val="002D6316"/>
    <w:rsid w:val="002D6386"/>
    <w:rsid w:val="002D63EF"/>
    <w:rsid w:val="002D647F"/>
    <w:rsid w:val="002D653C"/>
    <w:rsid w:val="002D6541"/>
    <w:rsid w:val="002D66A9"/>
    <w:rsid w:val="002D66C3"/>
    <w:rsid w:val="002D670D"/>
    <w:rsid w:val="002D675A"/>
    <w:rsid w:val="002D691F"/>
    <w:rsid w:val="002D6969"/>
    <w:rsid w:val="002D699A"/>
    <w:rsid w:val="002D69EE"/>
    <w:rsid w:val="002D6A3B"/>
    <w:rsid w:val="002D6A4A"/>
    <w:rsid w:val="002D6C28"/>
    <w:rsid w:val="002D6CBA"/>
    <w:rsid w:val="002D6CBB"/>
    <w:rsid w:val="002D6D28"/>
    <w:rsid w:val="002D6D6E"/>
    <w:rsid w:val="002D6F71"/>
    <w:rsid w:val="002D700D"/>
    <w:rsid w:val="002D7044"/>
    <w:rsid w:val="002D7113"/>
    <w:rsid w:val="002D71AB"/>
    <w:rsid w:val="002D71C2"/>
    <w:rsid w:val="002D7272"/>
    <w:rsid w:val="002D72CB"/>
    <w:rsid w:val="002D72D0"/>
    <w:rsid w:val="002D7309"/>
    <w:rsid w:val="002D7355"/>
    <w:rsid w:val="002D7396"/>
    <w:rsid w:val="002D7416"/>
    <w:rsid w:val="002D7480"/>
    <w:rsid w:val="002D74B8"/>
    <w:rsid w:val="002D7676"/>
    <w:rsid w:val="002D774B"/>
    <w:rsid w:val="002D775A"/>
    <w:rsid w:val="002D782E"/>
    <w:rsid w:val="002D78F4"/>
    <w:rsid w:val="002D7A4E"/>
    <w:rsid w:val="002D7A9B"/>
    <w:rsid w:val="002D7C55"/>
    <w:rsid w:val="002D7CFA"/>
    <w:rsid w:val="002D7D5C"/>
    <w:rsid w:val="002D7DBC"/>
    <w:rsid w:val="002D7DE9"/>
    <w:rsid w:val="002D7E04"/>
    <w:rsid w:val="002D7E25"/>
    <w:rsid w:val="002D7E3E"/>
    <w:rsid w:val="002D7E5B"/>
    <w:rsid w:val="002D7ECE"/>
    <w:rsid w:val="002D7F11"/>
    <w:rsid w:val="002D7F2B"/>
    <w:rsid w:val="002D7F73"/>
    <w:rsid w:val="002D7FE3"/>
    <w:rsid w:val="002E001D"/>
    <w:rsid w:val="002E00BE"/>
    <w:rsid w:val="002E0114"/>
    <w:rsid w:val="002E016E"/>
    <w:rsid w:val="002E0175"/>
    <w:rsid w:val="002E026C"/>
    <w:rsid w:val="002E0319"/>
    <w:rsid w:val="002E03C1"/>
    <w:rsid w:val="002E03E3"/>
    <w:rsid w:val="002E03F9"/>
    <w:rsid w:val="002E05F4"/>
    <w:rsid w:val="002E0603"/>
    <w:rsid w:val="002E062C"/>
    <w:rsid w:val="002E06AC"/>
    <w:rsid w:val="002E070E"/>
    <w:rsid w:val="002E0795"/>
    <w:rsid w:val="002E07D8"/>
    <w:rsid w:val="002E07E3"/>
    <w:rsid w:val="002E081D"/>
    <w:rsid w:val="002E0837"/>
    <w:rsid w:val="002E0887"/>
    <w:rsid w:val="002E0926"/>
    <w:rsid w:val="002E0A42"/>
    <w:rsid w:val="002E0A82"/>
    <w:rsid w:val="002E0AAF"/>
    <w:rsid w:val="002E0BAE"/>
    <w:rsid w:val="002E0C28"/>
    <w:rsid w:val="002E0CB1"/>
    <w:rsid w:val="002E0D15"/>
    <w:rsid w:val="002E0E20"/>
    <w:rsid w:val="002E0E4C"/>
    <w:rsid w:val="002E0ED6"/>
    <w:rsid w:val="002E0EF2"/>
    <w:rsid w:val="002E0F49"/>
    <w:rsid w:val="002E10CE"/>
    <w:rsid w:val="002E114C"/>
    <w:rsid w:val="002E116F"/>
    <w:rsid w:val="002E11BF"/>
    <w:rsid w:val="002E12D5"/>
    <w:rsid w:val="002E1324"/>
    <w:rsid w:val="002E145D"/>
    <w:rsid w:val="002E16BF"/>
    <w:rsid w:val="002E16F0"/>
    <w:rsid w:val="002E17AD"/>
    <w:rsid w:val="002E18BA"/>
    <w:rsid w:val="002E1ADD"/>
    <w:rsid w:val="002E1B1C"/>
    <w:rsid w:val="002E1C92"/>
    <w:rsid w:val="002E1D5F"/>
    <w:rsid w:val="002E1DD7"/>
    <w:rsid w:val="002E1E8D"/>
    <w:rsid w:val="002E1F19"/>
    <w:rsid w:val="002E1F3E"/>
    <w:rsid w:val="002E204A"/>
    <w:rsid w:val="002E218C"/>
    <w:rsid w:val="002E219E"/>
    <w:rsid w:val="002E242E"/>
    <w:rsid w:val="002E2493"/>
    <w:rsid w:val="002E24CF"/>
    <w:rsid w:val="002E2685"/>
    <w:rsid w:val="002E26BC"/>
    <w:rsid w:val="002E26E9"/>
    <w:rsid w:val="002E2712"/>
    <w:rsid w:val="002E27AC"/>
    <w:rsid w:val="002E280D"/>
    <w:rsid w:val="002E2954"/>
    <w:rsid w:val="002E2B18"/>
    <w:rsid w:val="002E2D13"/>
    <w:rsid w:val="002E2D8B"/>
    <w:rsid w:val="002E2DB3"/>
    <w:rsid w:val="002E2DD3"/>
    <w:rsid w:val="002E2DE9"/>
    <w:rsid w:val="002E2DEF"/>
    <w:rsid w:val="002E2EF4"/>
    <w:rsid w:val="002E2F25"/>
    <w:rsid w:val="002E3113"/>
    <w:rsid w:val="002E3269"/>
    <w:rsid w:val="002E32BC"/>
    <w:rsid w:val="002E34CC"/>
    <w:rsid w:val="002E354D"/>
    <w:rsid w:val="002E365E"/>
    <w:rsid w:val="002E36C1"/>
    <w:rsid w:val="002E36C7"/>
    <w:rsid w:val="002E36D8"/>
    <w:rsid w:val="002E37EA"/>
    <w:rsid w:val="002E3859"/>
    <w:rsid w:val="002E38CE"/>
    <w:rsid w:val="002E38E9"/>
    <w:rsid w:val="002E39A5"/>
    <w:rsid w:val="002E3A31"/>
    <w:rsid w:val="002E3A67"/>
    <w:rsid w:val="002E3A6F"/>
    <w:rsid w:val="002E3B37"/>
    <w:rsid w:val="002E3C6C"/>
    <w:rsid w:val="002E3C90"/>
    <w:rsid w:val="002E3CDF"/>
    <w:rsid w:val="002E3EE5"/>
    <w:rsid w:val="002E3F7F"/>
    <w:rsid w:val="002E4019"/>
    <w:rsid w:val="002E401C"/>
    <w:rsid w:val="002E4036"/>
    <w:rsid w:val="002E403B"/>
    <w:rsid w:val="002E4117"/>
    <w:rsid w:val="002E41C6"/>
    <w:rsid w:val="002E41E2"/>
    <w:rsid w:val="002E4409"/>
    <w:rsid w:val="002E441D"/>
    <w:rsid w:val="002E445D"/>
    <w:rsid w:val="002E447A"/>
    <w:rsid w:val="002E4483"/>
    <w:rsid w:val="002E44A9"/>
    <w:rsid w:val="002E44CF"/>
    <w:rsid w:val="002E450B"/>
    <w:rsid w:val="002E458E"/>
    <w:rsid w:val="002E45AA"/>
    <w:rsid w:val="002E45E7"/>
    <w:rsid w:val="002E46DA"/>
    <w:rsid w:val="002E47EE"/>
    <w:rsid w:val="002E47F1"/>
    <w:rsid w:val="002E4867"/>
    <w:rsid w:val="002E4940"/>
    <w:rsid w:val="002E4A2C"/>
    <w:rsid w:val="002E4A53"/>
    <w:rsid w:val="002E4B8B"/>
    <w:rsid w:val="002E4CC3"/>
    <w:rsid w:val="002E4CFD"/>
    <w:rsid w:val="002E4DE0"/>
    <w:rsid w:val="002E4F65"/>
    <w:rsid w:val="002E4FC3"/>
    <w:rsid w:val="002E5056"/>
    <w:rsid w:val="002E5163"/>
    <w:rsid w:val="002E518A"/>
    <w:rsid w:val="002E519F"/>
    <w:rsid w:val="002E51CA"/>
    <w:rsid w:val="002E51CC"/>
    <w:rsid w:val="002E5277"/>
    <w:rsid w:val="002E52A7"/>
    <w:rsid w:val="002E5364"/>
    <w:rsid w:val="002E542F"/>
    <w:rsid w:val="002E54CD"/>
    <w:rsid w:val="002E54E0"/>
    <w:rsid w:val="002E54F5"/>
    <w:rsid w:val="002E55D3"/>
    <w:rsid w:val="002E5640"/>
    <w:rsid w:val="002E5649"/>
    <w:rsid w:val="002E564E"/>
    <w:rsid w:val="002E56E6"/>
    <w:rsid w:val="002E5790"/>
    <w:rsid w:val="002E5873"/>
    <w:rsid w:val="002E59AE"/>
    <w:rsid w:val="002E59F8"/>
    <w:rsid w:val="002E5A53"/>
    <w:rsid w:val="002E5C00"/>
    <w:rsid w:val="002E5C2A"/>
    <w:rsid w:val="002E5C37"/>
    <w:rsid w:val="002E5F47"/>
    <w:rsid w:val="002E602F"/>
    <w:rsid w:val="002E61D6"/>
    <w:rsid w:val="002E6240"/>
    <w:rsid w:val="002E6371"/>
    <w:rsid w:val="002E63FB"/>
    <w:rsid w:val="002E642B"/>
    <w:rsid w:val="002E6472"/>
    <w:rsid w:val="002E64F7"/>
    <w:rsid w:val="002E65F9"/>
    <w:rsid w:val="002E6608"/>
    <w:rsid w:val="002E6647"/>
    <w:rsid w:val="002E66FE"/>
    <w:rsid w:val="002E685F"/>
    <w:rsid w:val="002E68D9"/>
    <w:rsid w:val="002E694C"/>
    <w:rsid w:val="002E69F2"/>
    <w:rsid w:val="002E69F8"/>
    <w:rsid w:val="002E6A2C"/>
    <w:rsid w:val="002E6B61"/>
    <w:rsid w:val="002E6B96"/>
    <w:rsid w:val="002E6BD7"/>
    <w:rsid w:val="002E6C70"/>
    <w:rsid w:val="002E6CC9"/>
    <w:rsid w:val="002E6E5D"/>
    <w:rsid w:val="002E6EE1"/>
    <w:rsid w:val="002E6F77"/>
    <w:rsid w:val="002E6FC2"/>
    <w:rsid w:val="002E703E"/>
    <w:rsid w:val="002E70F1"/>
    <w:rsid w:val="002E7237"/>
    <w:rsid w:val="002E738C"/>
    <w:rsid w:val="002E7390"/>
    <w:rsid w:val="002E7672"/>
    <w:rsid w:val="002E76C4"/>
    <w:rsid w:val="002E774F"/>
    <w:rsid w:val="002E775B"/>
    <w:rsid w:val="002E786F"/>
    <w:rsid w:val="002E78D1"/>
    <w:rsid w:val="002E79B1"/>
    <w:rsid w:val="002E79DF"/>
    <w:rsid w:val="002E7AC7"/>
    <w:rsid w:val="002E7ACC"/>
    <w:rsid w:val="002E7B19"/>
    <w:rsid w:val="002E7B33"/>
    <w:rsid w:val="002E7B44"/>
    <w:rsid w:val="002E7B4F"/>
    <w:rsid w:val="002E7C65"/>
    <w:rsid w:val="002E7C8B"/>
    <w:rsid w:val="002E7C9A"/>
    <w:rsid w:val="002E7C9E"/>
    <w:rsid w:val="002E7D65"/>
    <w:rsid w:val="002E7DE2"/>
    <w:rsid w:val="002E7E96"/>
    <w:rsid w:val="002E7F06"/>
    <w:rsid w:val="002F0053"/>
    <w:rsid w:val="002F0074"/>
    <w:rsid w:val="002F01DC"/>
    <w:rsid w:val="002F0208"/>
    <w:rsid w:val="002F0224"/>
    <w:rsid w:val="002F0351"/>
    <w:rsid w:val="002F03BF"/>
    <w:rsid w:val="002F03F1"/>
    <w:rsid w:val="002F040C"/>
    <w:rsid w:val="002F0561"/>
    <w:rsid w:val="002F056D"/>
    <w:rsid w:val="002F0722"/>
    <w:rsid w:val="002F073A"/>
    <w:rsid w:val="002F07B2"/>
    <w:rsid w:val="002F082F"/>
    <w:rsid w:val="002F08B6"/>
    <w:rsid w:val="002F0999"/>
    <w:rsid w:val="002F09BA"/>
    <w:rsid w:val="002F09D7"/>
    <w:rsid w:val="002F0AC5"/>
    <w:rsid w:val="002F0B58"/>
    <w:rsid w:val="002F0BA1"/>
    <w:rsid w:val="002F0BE6"/>
    <w:rsid w:val="002F0C02"/>
    <w:rsid w:val="002F0C2D"/>
    <w:rsid w:val="002F0D60"/>
    <w:rsid w:val="002F0E63"/>
    <w:rsid w:val="002F0EC7"/>
    <w:rsid w:val="002F0F0F"/>
    <w:rsid w:val="002F0F8D"/>
    <w:rsid w:val="002F0FEE"/>
    <w:rsid w:val="002F1066"/>
    <w:rsid w:val="002F10B4"/>
    <w:rsid w:val="002F10CF"/>
    <w:rsid w:val="002F10E9"/>
    <w:rsid w:val="002F11C7"/>
    <w:rsid w:val="002F1263"/>
    <w:rsid w:val="002F1270"/>
    <w:rsid w:val="002F13BB"/>
    <w:rsid w:val="002F14B3"/>
    <w:rsid w:val="002F14C7"/>
    <w:rsid w:val="002F14C9"/>
    <w:rsid w:val="002F14EA"/>
    <w:rsid w:val="002F1559"/>
    <w:rsid w:val="002F157B"/>
    <w:rsid w:val="002F1747"/>
    <w:rsid w:val="002F1851"/>
    <w:rsid w:val="002F1871"/>
    <w:rsid w:val="002F1886"/>
    <w:rsid w:val="002F189A"/>
    <w:rsid w:val="002F18E3"/>
    <w:rsid w:val="002F196A"/>
    <w:rsid w:val="002F1A61"/>
    <w:rsid w:val="002F1A62"/>
    <w:rsid w:val="002F1C45"/>
    <w:rsid w:val="002F1C50"/>
    <w:rsid w:val="002F1CB2"/>
    <w:rsid w:val="002F1D4F"/>
    <w:rsid w:val="002F1DB2"/>
    <w:rsid w:val="002F1EA2"/>
    <w:rsid w:val="002F1ECF"/>
    <w:rsid w:val="002F1EFF"/>
    <w:rsid w:val="002F1FA3"/>
    <w:rsid w:val="002F1FA6"/>
    <w:rsid w:val="002F1FC3"/>
    <w:rsid w:val="002F1FCE"/>
    <w:rsid w:val="002F2061"/>
    <w:rsid w:val="002F2064"/>
    <w:rsid w:val="002F229B"/>
    <w:rsid w:val="002F2300"/>
    <w:rsid w:val="002F2340"/>
    <w:rsid w:val="002F237B"/>
    <w:rsid w:val="002F238F"/>
    <w:rsid w:val="002F23E3"/>
    <w:rsid w:val="002F243B"/>
    <w:rsid w:val="002F2476"/>
    <w:rsid w:val="002F25A0"/>
    <w:rsid w:val="002F2636"/>
    <w:rsid w:val="002F263C"/>
    <w:rsid w:val="002F2666"/>
    <w:rsid w:val="002F268A"/>
    <w:rsid w:val="002F27EC"/>
    <w:rsid w:val="002F28C2"/>
    <w:rsid w:val="002F28F2"/>
    <w:rsid w:val="002F2915"/>
    <w:rsid w:val="002F2A3C"/>
    <w:rsid w:val="002F2AF5"/>
    <w:rsid w:val="002F2AFA"/>
    <w:rsid w:val="002F2AFD"/>
    <w:rsid w:val="002F2B19"/>
    <w:rsid w:val="002F2B34"/>
    <w:rsid w:val="002F2B62"/>
    <w:rsid w:val="002F2BCC"/>
    <w:rsid w:val="002F2C76"/>
    <w:rsid w:val="002F2DCD"/>
    <w:rsid w:val="002F30C1"/>
    <w:rsid w:val="002F31C1"/>
    <w:rsid w:val="002F31D2"/>
    <w:rsid w:val="002F3225"/>
    <w:rsid w:val="002F3388"/>
    <w:rsid w:val="002F33F1"/>
    <w:rsid w:val="002F3401"/>
    <w:rsid w:val="002F340C"/>
    <w:rsid w:val="002F35B8"/>
    <w:rsid w:val="002F35D4"/>
    <w:rsid w:val="002F377A"/>
    <w:rsid w:val="002F37F0"/>
    <w:rsid w:val="002F380E"/>
    <w:rsid w:val="002F3841"/>
    <w:rsid w:val="002F38E1"/>
    <w:rsid w:val="002F39D5"/>
    <w:rsid w:val="002F39DF"/>
    <w:rsid w:val="002F3A20"/>
    <w:rsid w:val="002F3A46"/>
    <w:rsid w:val="002F3A99"/>
    <w:rsid w:val="002F3AEF"/>
    <w:rsid w:val="002F3B12"/>
    <w:rsid w:val="002F3BC2"/>
    <w:rsid w:val="002F3D26"/>
    <w:rsid w:val="002F3DDC"/>
    <w:rsid w:val="002F3E94"/>
    <w:rsid w:val="002F3F12"/>
    <w:rsid w:val="002F3FCD"/>
    <w:rsid w:val="002F4014"/>
    <w:rsid w:val="002F4084"/>
    <w:rsid w:val="002F410A"/>
    <w:rsid w:val="002F4328"/>
    <w:rsid w:val="002F4346"/>
    <w:rsid w:val="002F4562"/>
    <w:rsid w:val="002F4568"/>
    <w:rsid w:val="002F4581"/>
    <w:rsid w:val="002F4691"/>
    <w:rsid w:val="002F469D"/>
    <w:rsid w:val="002F46FC"/>
    <w:rsid w:val="002F4717"/>
    <w:rsid w:val="002F4753"/>
    <w:rsid w:val="002F48C1"/>
    <w:rsid w:val="002F49B5"/>
    <w:rsid w:val="002F49FE"/>
    <w:rsid w:val="002F4A56"/>
    <w:rsid w:val="002F4A89"/>
    <w:rsid w:val="002F4A8F"/>
    <w:rsid w:val="002F4AFC"/>
    <w:rsid w:val="002F4B3B"/>
    <w:rsid w:val="002F4B93"/>
    <w:rsid w:val="002F4BA4"/>
    <w:rsid w:val="002F4BC5"/>
    <w:rsid w:val="002F4C5D"/>
    <w:rsid w:val="002F4CBB"/>
    <w:rsid w:val="002F4DE6"/>
    <w:rsid w:val="002F4DEB"/>
    <w:rsid w:val="002F4E2B"/>
    <w:rsid w:val="002F4E4C"/>
    <w:rsid w:val="002F4E9F"/>
    <w:rsid w:val="002F4EEB"/>
    <w:rsid w:val="002F4FA9"/>
    <w:rsid w:val="002F4FB9"/>
    <w:rsid w:val="002F50F8"/>
    <w:rsid w:val="002F519D"/>
    <w:rsid w:val="002F51F1"/>
    <w:rsid w:val="002F5296"/>
    <w:rsid w:val="002F53F7"/>
    <w:rsid w:val="002F547D"/>
    <w:rsid w:val="002F54AE"/>
    <w:rsid w:val="002F5543"/>
    <w:rsid w:val="002F555E"/>
    <w:rsid w:val="002F55A7"/>
    <w:rsid w:val="002F561B"/>
    <w:rsid w:val="002F5755"/>
    <w:rsid w:val="002F5761"/>
    <w:rsid w:val="002F57F2"/>
    <w:rsid w:val="002F5968"/>
    <w:rsid w:val="002F596F"/>
    <w:rsid w:val="002F597E"/>
    <w:rsid w:val="002F59E8"/>
    <w:rsid w:val="002F5AC8"/>
    <w:rsid w:val="002F5AE9"/>
    <w:rsid w:val="002F5AFB"/>
    <w:rsid w:val="002F5B47"/>
    <w:rsid w:val="002F5B4B"/>
    <w:rsid w:val="002F5BDD"/>
    <w:rsid w:val="002F5C1B"/>
    <w:rsid w:val="002F5D03"/>
    <w:rsid w:val="002F5EC3"/>
    <w:rsid w:val="002F5EFA"/>
    <w:rsid w:val="002F5F8E"/>
    <w:rsid w:val="002F5FBB"/>
    <w:rsid w:val="002F5FCA"/>
    <w:rsid w:val="002F606E"/>
    <w:rsid w:val="002F60E6"/>
    <w:rsid w:val="002F618C"/>
    <w:rsid w:val="002F63B5"/>
    <w:rsid w:val="002F644E"/>
    <w:rsid w:val="002F65E0"/>
    <w:rsid w:val="002F6671"/>
    <w:rsid w:val="002F6691"/>
    <w:rsid w:val="002F66BA"/>
    <w:rsid w:val="002F6702"/>
    <w:rsid w:val="002F68A3"/>
    <w:rsid w:val="002F6913"/>
    <w:rsid w:val="002F697B"/>
    <w:rsid w:val="002F6BCC"/>
    <w:rsid w:val="002F6CF0"/>
    <w:rsid w:val="002F6D3E"/>
    <w:rsid w:val="002F6D9F"/>
    <w:rsid w:val="002F6E11"/>
    <w:rsid w:val="002F6E28"/>
    <w:rsid w:val="002F6E8E"/>
    <w:rsid w:val="002F6F4D"/>
    <w:rsid w:val="002F703C"/>
    <w:rsid w:val="002F703E"/>
    <w:rsid w:val="002F70D4"/>
    <w:rsid w:val="002F71B9"/>
    <w:rsid w:val="002F73E4"/>
    <w:rsid w:val="002F747E"/>
    <w:rsid w:val="002F74BC"/>
    <w:rsid w:val="002F750B"/>
    <w:rsid w:val="002F761F"/>
    <w:rsid w:val="002F7648"/>
    <w:rsid w:val="002F791B"/>
    <w:rsid w:val="002F7A2A"/>
    <w:rsid w:val="002F7AA2"/>
    <w:rsid w:val="002F7B3A"/>
    <w:rsid w:val="002F7B5F"/>
    <w:rsid w:val="002F7D77"/>
    <w:rsid w:val="002F7E69"/>
    <w:rsid w:val="002F7EA6"/>
    <w:rsid w:val="002F7EB2"/>
    <w:rsid w:val="002F7F05"/>
    <w:rsid w:val="002F7F10"/>
    <w:rsid w:val="002F7F58"/>
    <w:rsid w:val="002F7F78"/>
    <w:rsid w:val="00300012"/>
    <w:rsid w:val="00300058"/>
    <w:rsid w:val="00300090"/>
    <w:rsid w:val="00300106"/>
    <w:rsid w:val="00300115"/>
    <w:rsid w:val="0030017E"/>
    <w:rsid w:val="0030020A"/>
    <w:rsid w:val="00300244"/>
    <w:rsid w:val="003002AE"/>
    <w:rsid w:val="003002B6"/>
    <w:rsid w:val="003002F9"/>
    <w:rsid w:val="003003D2"/>
    <w:rsid w:val="00300417"/>
    <w:rsid w:val="003004C5"/>
    <w:rsid w:val="0030057D"/>
    <w:rsid w:val="00300630"/>
    <w:rsid w:val="003006D9"/>
    <w:rsid w:val="003006DA"/>
    <w:rsid w:val="00300824"/>
    <w:rsid w:val="00300829"/>
    <w:rsid w:val="0030091C"/>
    <w:rsid w:val="0030091F"/>
    <w:rsid w:val="0030096A"/>
    <w:rsid w:val="00300996"/>
    <w:rsid w:val="003009AF"/>
    <w:rsid w:val="003009D5"/>
    <w:rsid w:val="003009DF"/>
    <w:rsid w:val="00300A7A"/>
    <w:rsid w:val="00300ABA"/>
    <w:rsid w:val="00300B0C"/>
    <w:rsid w:val="00300B14"/>
    <w:rsid w:val="00300B61"/>
    <w:rsid w:val="00300BEB"/>
    <w:rsid w:val="00300EA0"/>
    <w:rsid w:val="00300EB7"/>
    <w:rsid w:val="00301089"/>
    <w:rsid w:val="003010B8"/>
    <w:rsid w:val="003010BB"/>
    <w:rsid w:val="00301132"/>
    <w:rsid w:val="00301143"/>
    <w:rsid w:val="003011FD"/>
    <w:rsid w:val="00301263"/>
    <w:rsid w:val="0030144D"/>
    <w:rsid w:val="00301471"/>
    <w:rsid w:val="00301489"/>
    <w:rsid w:val="00301580"/>
    <w:rsid w:val="00301592"/>
    <w:rsid w:val="0030178F"/>
    <w:rsid w:val="003017AC"/>
    <w:rsid w:val="003017F7"/>
    <w:rsid w:val="003018A3"/>
    <w:rsid w:val="003018AD"/>
    <w:rsid w:val="00301934"/>
    <w:rsid w:val="00301A6C"/>
    <w:rsid w:val="00301A97"/>
    <w:rsid w:val="00301AA0"/>
    <w:rsid w:val="00301B39"/>
    <w:rsid w:val="00301BAE"/>
    <w:rsid w:val="00301BC3"/>
    <w:rsid w:val="00301CA8"/>
    <w:rsid w:val="00301CBC"/>
    <w:rsid w:val="00301CF0"/>
    <w:rsid w:val="00301D39"/>
    <w:rsid w:val="00301D91"/>
    <w:rsid w:val="00301D92"/>
    <w:rsid w:val="00301E1B"/>
    <w:rsid w:val="00301E85"/>
    <w:rsid w:val="00301EBD"/>
    <w:rsid w:val="00301EDF"/>
    <w:rsid w:val="00301EE3"/>
    <w:rsid w:val="00301F2E"/>
    <w:rsid w:val="00302005"/>
    <w:rsid w:val="0030204A"/>
    <w:rsid w:val="0030208C"/>
    <w:rsid w:val="00302109"/>
    <w:rsid w:val="0030212D"/>
    <w:rsid w:val="00302172"/>
    <w:rsid w:val="0030218F"/>
    <w:rsid w:val="003021DC"/>
    <w:rsid w:val="00302241"/>
    <w:rsid w:val="0030226F"/>
    <w:rsid w:val="00302348"/>
    <w:rsid w:val="00302466"/>
    <w:rsid w:val="003025D2"/>
    <w:rsid w:val="00302600"/>
    <w:rsid w:val="0030260A"/>
    <w:rsid w:val="003026DB"/>
    <w:rsid w:val="003026DE"/>
    <w:rsid w:val="0030272B"/>
    <w:rsid w:val="00302768"/>
    <w:rsid w:val="003027CB"/>
    <w:rsid w:val="00302A60"/>
    <w:rsid w:val="00302A6E"/>
    <w:rsid w:val="00302BA2"/>
    <w:rsid w:val="00302C35"/>
    <w:rsid w:val="00302C61"/>
    <w:rsid w:val="00302D40"/>
    <w:rsid w:val="00302D50"/>
    <w:rsid w:val="00302D71"/>
    <w:rsid w:val="00302E1E"/>
    <w:rsid w:val="00302E4D"/>
    <w:rsid w:val="00302EB6"/>
    <w:rsid w:val="00302EC5"/>
    <w:rsid w:val="00302F7C"/>
    <w:rsid w:val="00302FBA"/>
    <w:rsid w:val="003030A8"/>
    <w:rsid w:val="0030314F"/>
    <w:rsid w:val="0030332C"/>
    <w:rsid w:val="00303341"/>
    <w:rsid w:val="003033F4"/>
    <w:rsid w:val="00303507"/>
    <w:rsid w:val="00303526"/>
    <w:rsid w:val="003036E9"/>
    <w:rsid w:val="00303908"/>
    <w:rsid w:val="00303914"/>
    <w:rsid w:val="00303947"/>
    <w:rsid w:val="00303956"/>
    <w:rsid w:val="0030398B"/>
    <w:rsid w:val="00303B7B"/>
    <w:rsid w:val="00303B99"/>
    <w:rsid w:val="00303C25"/>
    <w:rsid w:val="00303C2A"/>
    <w:rsid w:val="00303C93"/>
    <w:rsid w:val="00303DE2"/>
    <w:rsid w:val="00303E5A"/>
    <w:rsid w:val="00303E74"/>
    <w:rsid w:val="00303EEE"/>
    <w:rsid w:val="00303F10"/>
    <w:rsid w:val="00303F1F"/>
    <w:rsid w:val="00303F8C"/>
    <w:rsid w:val="00303FD7"/>
    <w:rsid w:val="0030406F"/>
    <w:rsid w:val="00304081"/>
    <w:rsid w:val="0030412D"/>
    <w:rsid w:val="00304176"/>
    <w:rsid w:val="0030425B"/>
    <w:rsid w:val="003042CB"/>
    <w:rsid w:val="0030437D"/>
    <w:rsid w:val="00304408"/>
    <w:rsid w:val="003044C9"/>
    <w:rsid w:val="003047A6"/>
    <w:rsid w:val="00304818"/>
    <w:rsid w:val="003048C8"/>
    <w:rsid w:val="0030491F"/>
    <w:rsid w:val="00304958"/>
    <w:rsid w:val="0030495C"/>
    <w:rsid w:val="0030497E"/>
    <w:rsid w:val="00304A44"/>
    <w:rsid w:val="00304AC5"/>
    <w:rsid w:val="00304B5D"/>
    <w:rsid w:val="00304BC4"/>
    <w:rsid w:val="00304D0E"/>
    <w:rsid w:val="00304D56"/>
    <w:rsid w:val="00304DA8"/>
    <w:rsid w:val="00304E02"/>
    <w:rsid w:val="00304E10"/>
    <w:rsid w:val="00304E31"/>
    <w:rsid w:val="00304ECF"/>
    <w:rsid w:val="00304F9B"/>
    <w:rsid w:val="003050E2"/>
    <w:rsid w:val="0030524B"/>
    <w:rsid w:val="0030537E"/>
    <w:rsid w:val="003053B5"/>
    <w:rsid w:val="003054A3"/>
    <w:rsid w:val="00305500"/>
    <w:rsid w:val="0030551F"/>
    <w:rsid w:val="0030555D"/>
    <w:rsid w:val="00305587"/>
    <w:rsid w:val="00305689"/>
    <w:rsid w:val="003056D4"/>
    <w:rsid w:val="003056FB"/>
    <w:rsid w:val="003057E0"/>
    <w:rsid w:val="00305816"/>
    <w:rsid w:val="00305863"/>
    <w:rsid w:val="00305927"/>
    <w:rsid w:val="00305947"/>
    <w:rsid w:val="00305961"/>
    <w:rsid w:val="003059EE"/>
    <w:rsid w:val="003059F9"/>
    <w:rsid w:val="00305A7B"/>
    <w:rsid w:val="00305A85"/>
    <w:rsid w:val="00305AB4"/>
    <w:rsid w:val="00305B5D"/>
    <w:rsid w:val="00305C61"/>
    <w:rsid w:val="00305CB9"/>
    <w:rsid w:val="00305D3A"/>
    <w:rsid w:val="00305EEC"/>
    <w:rsid w:val="00305F66"/>
    <w:rsid w:val="003060B9"/>
    <w:rsid w:val="003060CB"/>
    <w:rsid w:val="0030613E"/>
    <w:rsid w:val="00306200"/>
    <w:rsid w:val="00306412"/>
    <w:rsid w:val="00306442"/>
    <w:rsid w:val="00306483"/>
    <w:rsid w:val="003064F0"/>
    <w:rsid w:val="0030652B"/>
    <w:rsid w:val="00306596"/>
    <w:rsid w:val="0030663A"/>
    <w:rsid w:val="0030667C"/>
    <w:rsid w:val="003066C1"/>
    <w:rsid w:val="0030676B"/>
    <w:rsid w:val="003067BC"/>
    <w:rsid w:val="003067CE"/>
    <w:rsid w:val="003067D3"/>
    <w:rsid w:val="00306819"/>
    <w:rsid w:val="00306836"/>
    <w:rsid w:val="0030694C"/>
    <w:rsid w:val="00306AFA"/>
    <w:rsid w:val="00306B24"/>
    <w:rsid w:val="00306BAA"/>
    <w:rsid w:val="00306C4D"/>
    <w:rsid w:val="00306D6D"/>
    <w:rsid w:val="00306EF1"/>
    <w:rsid w:val="00306EF5"/>
    <w:rsid w:val="00306EFD"/>
    <w:rsid w:val="00306F6F"/>
    <w:rsid w:val="00307017"/>
    <w:rsid w:val="0030704B"/>
    <w:rsid w:val="0030707A"/>
    <w:rsid w:val="00307099"/>
    <w:rsid w:val="003070B1"/>
    <w:rsid w:val="003071A7"/>
    <w:rsid w:val="003071ED"/>
    <w:rsid w:val="00307202"/>
    <w:rsid w:val="00307219"/>
    <w:rsid w:val="003072BD"/>
    <w:rsid w:val="00307334"/>
    <w:rsid w:val="0030736E"/>
    <w:rsid w:val="003074B6"/>
    <w:rsid w:val="00307671"/>
    <w:rsid w:val="003076C7"/>
    <w:rsid w:val="0030772E"/>
    <w:rsid w:val="003077D2"/>
    <w:rsid w:val="00307816"/>
    <w:rsid w:val="00307861"/>
    <w:rsid w:val="00307963"/>
    <w:rsid w:val="0030796B"/>
    <w:rsid w:val="003079BD"/>
    <w:rsid w:val="00307A0B"/>
    <w:rsid w:val="00307A92"/>
    <w:rsid w:val="00307B53"/>
    <w:rsid w:val="00307C10"/>
    <w:rsid w:val="00307C8D"/>
    <w:rsid w:val="00307D61"/>
    <w:rsid w:val="00307EBE"/>
    <w:rsid w:val="00307EDA"/>
    <w:rsid w:val="00307EF4"/>
    <w:rsid w:val="00307F3D"/>
    <w:rsid w:val="00307F3E"/>
    <w:rsid w:val="00307FA5"/>
    <w:rsid w:val="00310012"/>
    <w:rsid w:val="0031008A"/>
    <w:rsid w:val="003100FE"/>
    <w:rsid w:val="00310193"/>
    <w:rsid w:val="0031021F"/>
    <w:rsid w:val="0031027B"/>
    <w:rsid w:val="00310473"/>
    <w:rsid w:val="003104F9"/>
    <w:rsid w:val="00310533"/>
    <w:rsid w:val="00310579"/>
    <w:rsid w:val="00310591"/>
    <w:rsid w:val="0031062F"/>
    <w:rsid w:val="00310647"/>
    <w:rsid w:val="00310648"/>
    <w:rsid w:val="00310837"/>
    <w:rsid w:val="0031085D"/>
    <w:rsid w:val="0031090F"/>
    <w:rsid w:val="003109C3"/>
    <w:rsid w:val="00310A44"/>
    <w:rsid w:val="00310A84"/>
    <w:rsid w:val="00310B2E"/>
    <w:rsid w:val="00310B9E"/>
    <w:rsid w:val="00310BA6"/>
    <w:rsid w:val="00310BB1"/>
    <w:rsid w:val="00310BE4"/>
    <w:rsid w:val="00310C61"/>
    <w:rsid w:val="00310CE2"/>
    <w:rsid w:val="00310D45"/>
    <w:rsid w:val="00310D8C"/>
    <w:rsid w:val="00310D99"/>
    <w:rsid w:val="00310DA6"/>
    <w:rsid w:val="00310DF1"/>
    <w:rsid w:val="00310E00"/>
    <w:rsid w:val="00310E7F"/>
    <w:rsid w:val="00310EA4"/>
    <w:rsid w:val="00310F47"/>
    <w:rsid w:val="00311108"/>
    <w:rsid w:val="00311113"/>
    <w:rsid w:val="00311152"/>
    <w:rsid w:val="0031115A"/>
    <w:rsid w:val="0031115C"/>
    <w:rsid w:val="00311241"/>
    <w:rsid w:val="0031124B"/>
    <w:rsid w:val="00311304"/>
    <w:rsid w:val="003114C0"/>
    <w:rsid w:val="0031154C"/>
    <w:rsid w:val="003115DF"/>
    <w:rsid w:val="00311622"/>
    <w:rsid w:val="003116B4"/>
    <w:rsid w:val="003116C0"/>
    <w:rsid w:val="003116DF"/>
    <w:rsid w:val="0031178A"/>
    <w:rsid w:val="003117F7"/>
    <w:rsid w:val="003118CC"/>
    <w:rsid w:val="003119E8"/>
    <w:rsid w:val="00311B2E"/>
    <w:rsid w:val="00311B36"/>
    <w:rsid w:val="00311B57"/>
    <w:rsid w:val="00311B6E"/>
    <w:rsid w:val="00311B71"/>
    <w:rsid w:val="00311EE3"/>
    <w:rsid w:val="00311F41"/>
    <w:rsid w:val="00311FF6"/>
    <w:rsid w:val="003120B1"/>
    <w:rsid w:val="0031214B"/>
    <w:rsid w:val="00312167"/>
    <w:rsid w:val="003121D7"/>
    <w:rsid w:val="00312202"/>
    <w:rsid w:val="003122B6"/>
    <w:rsid w:val="003122D3"/>
    <w:rsid w:val="003123D4"/>
    <w:rsid w:val="0031243B"/>
    <w:rsid w:val="0031243E"/>
    <w:rsid w:val="00312562"/>
    <w:rsid w:val="003125A6"/>
    <w:rsid w:val="003125C8"/>
    <w:rsid w:val="00312692"/>
    <w:rsid w:val="003127BA"/>
    <w:rsid w:val="0031281E"/>
    <w:rsid w:val="003129D5"/>
    <w:rsid w:val="003129DC"/>
    <w:rsid w:val="003129E5"/>
    <w:rsid w:val="00312A38"/>
    <w:rsid w:val="00312AA8"/>
    <w:rsid w:val="00312ABC"/>
    <w:rsid w:val="00312AE5"/>
    <w:rsid w:val="00312BAD"/>
    <w:rsid w:val="00312C7A"/>
    <w:rsid w:val="00312C98"/>
    <w:rsid w:val="00312CE6"/>
    <w:rsid w:val="00312E7C"/>
    <w:rsid w:val="00312F59"/>
    <w:rsid w:val="00312F71"/>
    <w:rsid w:val="00312F8F"/>
    <w:rsid w:val="0031301A"/>
    <w:rsid w:val="003132B2"/>
    <w:rsid w:val="003132EB"/>
    <w:rsid w:val="003132FE"/>
    <w:rsid w:val="00313354"/>
    <w:rsid w:val="0031339C"/>
    <w:rsid w:val="00313425"/>
    <w:rsid w:val="00313440"/>
    <w:rsid w:val="0031351C"/>
    <w:rsid w:val="003135AD"/>
    <w:rsid w:val="003135FC"/>
    <w:rsid w:val="00313655"/>
    <w:rsid w:val="003136E4"/>
    <w:rsid w:val="00313765"/>
    <w:rsid w:val="003138B3"/>
    <w:rsid w:val="003138FB"/>
    <w:rsid w:val="00313AC8"/>
    <w:rsid w:val="00313B2B"/>
    <w:rsid w:val="00313B49"/>
    <w:rsid w:val="00313B7C"/>
    <w:rsid w:val="00313B8F"/>
    <w:rsid w:val="00313BC7"/>
    <w:rsid w:val="00313BE3"/>
    <w:rsid w:val="00313C11"/>
    <w:rsid w:val="00313C87"/>
    <w:rsid w:val="00313DC6"/>
    <w:rsid w:val="00313E33"/>
    <w:rsid w:val="00313F7D"/>
    <w:rsid w:val="003140E1"/>
    <w:rsid w:val="00314296"/>
    <w:rsid w:val="003142B6"/>
    <w:rsid w:val="003142D7"/>
    <w:rsid w:val="00314409"/>
    <w:rsid w:val="00314466"/>
    <w:rsid w:val="0031446B"/>
    <w:rsid w:val="0031448F"/>
    <w:rsid w:val="00314508"/>
    <w:rsid w:val="00314528"/>
    <w:rsid w:val="00314540"/>
    <w:rsid w:val="003145BD"/>
    <w:rsid w:val="0031466C"/>
    <w:rsid w:val="003146F3"/>
    <w:rsid w:val="0031485D"/>
    <w:rsid w:val="0031486B"/>
    <w:rsid w:val="003148D6"/>
    <w:rsid w:val="003149E9"/>
    <w:rsid w:val="00314AC4"/>
    <w:rsid w:val="00314AE4"/>
    <w:rsid w:val="00314B46"/>
    <w:rsid w:val="00314CBE"/>
    <w:rsid w:val="00314D2B"/>
    <w:rsid w:val="00314D39"/>
    <w:rsid w:val="00314D63"/>
    <w:rsid w:val="00315063"/>
    <w:rsid w:val="003150D4"/>
    <w:rsid w:val="003150D5"/>
    <w:rsid w:val="003150E4"/>
    <w:rsid w:val="00315131"/>
    <w:rsid w:val="0031515B"/>
    <w:rsid w:val="00315170"/>
    <w:rsid w:val="0031518C"/>
    <w:rsid w:val="003151BC"/>
    <w:rsid w:val="003152D9"/>
    <w:rsid w:val="00315610"/>
    <w:rsid w:val="0031568C"/>
    <w:rsid w:val="003156DC"/>
    <w:rsid w:val="003156FE"/>
    <w:rsid w:val="0031572B"/>
    <w:rsid w:val="00315774"/>
    <w:rsid w:val="003157ED"/>
    <w:rsid w:val="0031593A"/>
    <w:rsid w:val="003159A6"/>
    <w:rsid w:val="00315A34"/>
    <w:rsid w:val="00315B19"/>
    <w:rsid w:val="00315B2A"/>
    <w:rsid w:val="00315BE2"/>
    <w:rsid w:val="00315C1F"/>
    <w:rsid w:val="00315C61"/>
    <w:rsid w:val="00315D25"/>
    <w:rsid w:val="00315D26"/>
    <w:rsid w:val="00315D9F"/>
    <w:rsid w:val="00315DD3"/>
    <w:rsid w:val="00315DFE"/>
    <w:rsid w:val="00315FC1"/>
    <w:rsid w:val="00316029"/>
    <w:rsid w:val="00316182"/>
    <w:rsid w:val="00316246"/>
    <w:rsid w:val="00316253"/>
    <w:rsid w:val="00316391"/>
    <w:rsid w:val="003164A1"/>
    <w:rsid w:val="00316586"/>
    <w:rsid w:val="00316596"/>
    <w:rsid w:val="0031659D"/>
    <w:rsid w:val="00316609"/>
    <w:rsid w:val="0031666B"/>
    <w:rsid w:val="00316737"/>
    <w:rsid w:val="0031678D"/>
    <w:rsid w:val="003167AA"/>
    <w:rsid w:val="003167AE"/>
    <w:rsid w:val="003167F3"/>
    <w:rsid w:val="0031687B"/>
    <w:rsid w:val="0031690B"/>
    <w:rsid w:val="00316A1D"/>
    <w:rsid w:val="00316A61"/>
    <w:rsid w:val="00316B54"/>
    <w:rsid w:val="00316D44"/>
    <w:rsid w:val="00316D48"/>
    <w:rsid w:val="00316D4C"/>
    <w:rsid w:val="00316D53"/>
    <w:rsid w:val="00316D69"/>
    <w:rsid w:val="00316E1D"/>
    <w:rsid w:val="00316E8F"/>
    <w:rsid w:val="0031703B"/>
    <w:rsid w:val="003170D1"/>
    <w:rsid w:val="003170E8"/>
    <w:rsid w:val="0031712D"/>
    <w:rsid w:val="00317130"/>
    <w:rsid w:val="00317170"/>
    <w:rsid w:val="0031740D"/>
    <w:rsid w:val="00317526"/>
    <w:rsid w:val="00317545"/>
    <w:rsid w:val="003175F2"/>
    <w:rsid w:val="0031763F"/>
    <w:rsid w:val="003176C8"/>
    <w:rsid w:val="003177EB"/>
    <w:rsid w:val="003178FE"/>
    <w:rsid w:val="0031797E"/>
    <w:rsid w:val="00317C23"/>
    <w:rsid w:val="00317C3A"/>
    <w:rsid w:val="00317C8D"/>
    <w:rsid w:val="00317CAD"/>
    <w:rsid w:val="00317E21"/>
    <w:rsid w:val="00317E5F"/>
    <w:rsid w:val="00317F81"/>
    <w:rsid w:val="00317FAF"/>
    <w:rsid w:val="0032017A"/>
    <w:rsid w:val="00320209"/>
    <w:rsid w:val="00320287"/>
    <w:rsid w:val="003202B8"/>
    <w:rsid w:val="003202D5"/>
    <w:rsid w:val="003203A6"/>
    <w:rsid w:val="003203B1"/>
    <w:rsid w:val="00320413"/>
    <w:rsid w:val="003205DF"/>
    <w:rsid w:val="003206F8"/>
    <w:rsid w:val="00320794"/>
    <w:rsid w:val="003208D0"/>
    <w:rsid w:val="003208FE"/>
    <w:rsid w:val="00320973"/>
    <w:rsid w:val="003209AE"/>
    <w:rsid w:val="003209F6"/>
    <w:rsid w:val="00320A80"/>
    <w:rsid w:val="00320AF1"/>
    <w:rsid w:val="00320B52"/>
    <w:rsid w:val="00320C43"/>
    <w:rsid w:val="00320C4B"/>
    <w:rsid w:val="00320CA5"/>
    <w:rsid w:val="00320CB0"/>
    <w:rsid w:val="00320D46"/>
    <w:rsid w:val="00320DE1"/>
    <w:rsid w:val="00320EDE"/>
    <w:rsid w:val="00320F0F"/>
    <w:rsid w:val="00320F91"/>
    <w:rsid w:val="00321057"/>
    <w:rsid w:val="003210A1"/>
    <w:rsid w:val="00321191"/>
    <w:rsid w:val="003211F2"/>
    <w:rsid w:val="003212EE"/>
    <w:rsid w:val="0032131D"/>
    <w:rsid w:val="00321321"/>
    <w:rsid w:val="0032137D"/>
    <w:rsid w:val="00321423"/>
    <w:rsid w:val="003215D7"/>
    <w:rsid w:val="0032160C"/>
    <w:rsid w:val="00321780"/>
    <w:rsid w:val="00321810"/>
    <w:rsid w:val="00321863"/>
    <w:rsid w:val="0032196D"/>
    <w:rsid w:val="003219C9"/>
    <w:rsid w:val="00321A15"/>
    <w:rsid w:val="00321A1D"/>
    <w:rsid w:val="00321AAE"/>
    <w:rsid w:val="00321C2B"/>
    <w:rsid w:val="00321C3C"/>
    <w:rsid w:val="00321C4A"/>
    <w:rsid w:val="00321C67"/>
    <w:rsid w:val="00321D02"/>
    <w:rsid w:val="00321D56"/>
    <w:rsid w:val="00321DB0"/>
    <w:rsid w:val="00321DED"/>
    <w:rsid w:val="00321E39"/>
    <w:rsid w:val="00321E6D"/>
    <w:rsid w:val="00321E77"/>
    <w:rsid w:val="00321EBA"/>
    <w:rsid w:val="00321F44"/>
    <w:rsid w:val="00322105"/>
    <w:rsid w:val="00322110"/>
    <w:rsid w:val="00322139"/>
    <w:rsid w:val="00322167"/>
    <w:rsid w:val="00322177"/>
    <w:rsid w:val="00322210"/>
    <w:rsid w:val="003223A4"/>
    <w:rsid w:val="00322446"/>
    <w:rsid w:val="003224A3"/>
    <w:rsid w:val="00322526"/>
    <w:rsid w:val="003226C1"/>
    <w:rsid w:val="0032270B"/>
    <w:rsid w:val="00322910"/>
    <w:rsid w:val="003229D3"/>
    <w:rsid w:val="00322A19"/>
    <w:rsid w:val="00322A80"/>
    <w:rsid w:val="00322ABF"/>
    <w:rsid w:val="00322BF2"/>
    <w:rsid w:val="00322C2F"/>
    <w:rsid w:val="00322C4B"/>
    <w:rsid w:val="00322CE5"/>
    <w:rsid w:val="00322CEA"/>
    <w:rsid w:val="00322CF1"/>
    <w:rsid w:val="00322D89"/>
    <w:rsid w:val="00322E3D"/>
    <w:rsid w:val="00322E4C"/>
    <w:rsid w:val="00322F97"/>
    <w:rsid w:val="0032300F"/>
    <w:rsid w:val="00323039"/>
    <w:rsid w:val="00323070"/>
    <w:rsid w:val="0032307C"/>
    <w:rsid w:val="00323086"/>
    <w:rsid w:val="003230C1"/>
    <w:rsid w:val="00323134"/>
    <w:rsid w:val="003231A4"/>
    <w:rsid w:val="003231F1"/>
    <w:rsid w:val="003234A5"/>
    <w:rsid w:val="003234B5"/>
    <w:rsid w:val="00323515"/>
    <w:rsid w:val="0032366D"/>
    <w:rsid w:val="00323759"/>
    <w:rsid w:val="0032377C"/>
    <w:rsid w:val="003237AE"/>
    <w:rsid w:val="003239B8"/>
    <w:rsid w:val="003239E3"/>
    <w:rsid w:val="00323A89"/>
    <w:rsid w:val="00323ADF"/>
    <w:rsid w:val="00323B59"/>
    <w:rsid w:val="00323B87"/>
    <w:rsid w:val="00323CAD"/>
    <w:rsid w:val="00323D8E"/>
    <w:rsid w:val="00323D90"/>
    <w:rsid w:val="00323E77"/>
    <w:rsid w:val="00323ED1"/>
    <w:rsid w:val="00324006"/>
    <w:rsid w:val="00324105"/>
    <w:rsid w:val="0032413A"/>
    <w:rsid w:val="00324165"/>
    <w:rsid w:val="003241C1"/>
    <w:rsid w:val="003241CE"/>
    <w:rsid w:val="003241E2"/>
    <w:rsid w:val="00324231"/>
    <w:rsid w:val="003243A7"/>
    <w:rsid w:val="003243B4"/>
    <w:rsid w:val="00324419"/>
    <w:rsid w:val="003244AB"/>
    <w:rsid w:val="0032450B"/>
    <w:rsid w:val="00324556"/>
    <w:rsid w:val="003246AC"/>
    <w:rsid w:val="0032488E"/>
    <w:rsid w:val="0032498C"/>
    <w:rsid w:val="003249BC"/>
    <w:rsid w:val="00324B37"/>
    <w:rsid w:val="00324B38"/>
    <w:rsid w:val="00324C75"/>
    <w:rsid w:val="00324DCC"/>
    <w:rsid w:val="00324E42"/>
    <w:rsid w:val="00324F01"/>
    <w:rsid w:val="00324F0F"/>
    <w:rsid w:val="00324F48"/>
    <w:rsid w:val="00324F80"/>
    <w:rsid w:val="00324FA2"/>
    <w:rsid w:val="00324FF5"/>
    <w:rsid w:val="00325024"/>
    <w:rsid w:val="00325054"/>
    <w:rsid w:val="00325073"/>
    <w:rsid w:val="003252EC"/>
    <w:rsid w:val="00325338"/>
    <w:rsid w:val="003253BA"/>
    <w:rsid w:val="003253BF"/>
    <w:rsid w:val="00325425"/>
    <w:rsid w:val="0032544F"/>
    <w:rsid w:val="0032549C"/>
    <w:rsid w:val="00325579"/>
    <w:rsid w:val="003255AA"/>
    <w:rsid w:val="003256C1"/>
    <w:rsid w:val="0032575F"/>
    <w:rsid w:val="003257F6"/>
    <w:rsid w:val="0032580B"/>
    <w:rsid w:val="003258BE"/>
    <w:rsid w:val="00325918"/>
    <w:rsid w:val="00325951"/>
    <w:rsid w:val="0032598E"/>
    <w:rsid w:val="00325A34"/>
    <w:rsid w:val="00325B23"/>
    <w:rsid w:val="00325B85"/>
    <w:rsid w:val="00325B8B"/>
    <w:rsid w:val="00325BBD"/>
    <w:rsid w:val="00325BF7"/>
    <w:rsid w:val="00325D04"/>
    <w:rsid w:val="00325E3A"/>
    <w:rsid w:val="00325EA4"/>
    <w:rsid w:val="00325FFA"/>
    <w:rsid w:val="0032602D"/>
    <w:rsid w:val="00326097"/>
    <w:rsid w:val="003260B1"/>
    <w:rsid w:val="0032621D"/>
    <w:rsid w:val="0032622A"/>
    <w:rsid w:val="00326270"/>
    <w:rsid w:val="003263F9"/>
    <w:rsid w:val="00326421"/>
    <w:rsid w:val="0032647D"/>
    <w:rsid w:val="003264F7"/>
    <w:rsid w:val="003264FD"/>
    <w:rsid w:val="00326547"/>
    <w:rsid w:val="0032656E"/>
    <w:rsid w:val="00326578"/>
    <w:rsid w:val="00326582"/>
    <w:rsid w:val="003265C7"/>
    <w:rsid w:val="0032661B"/>
    <w:rsid w:val="0032661F"/>
    <w:rsid w:val="00326667"/>
    <w:rsid w:val="003266C2"/>
    <w:rsid w:val="0032682A"/>
    <w:rsid w:val="0032699D"/>
    <w:rsid w:val="00326A89"/>
    <w:rsid w:val="00326AA2"/>
    <w:rsid w:val="00326B18"/>
    <w:rsid w:val="00326C03"/>
    <w:rsid w:val="00326C2A"/>
    <w:rsid w:val="00326C44"/>
    <w:rsid w:val="00326CF4"/>
    <w:rsid w:val="00326DA8"/>
    <w:rsid w:val="00326DEF"/>
    <w:rsid w:val="00326E63"/>
    <w:rsid w:val="00326EF3"/>
    <w:rsid w:val="00326F65"/>
    <w:rsid w:val="00326FAF"/>
    <w:rsid w:val="00326FBB"/>
    <w:rsid w:val="00327105"/>
    <w:rsid w:val="0032711D"/>
    <w:rsid w:val="003271A4"/>
    <w:rsid w:val="003271E0"/>
    <w:rsid w:val="003272DC"/>
    <w:rsid w:val="00327375"/>
    <w:rsid w:val="00327436"/>
    <w:rsid w:val="003274D9"/>
    <w:rsid w:val="0032758A"/>
    <w:rsid w:val="003275A6"/>
    <w:rsid w:val="003275B2"/>
    <w:rsid w:val="003275BD"/>
    <w:rsid w:val="003275D5"/>
    <w:rsid w:val="00327622"/>
    <w:rsid w:val="00327706"/>
    <w:rsid w:val="0032780C"/>
    <w:rsid w:val="00327966"/>
    <w:rsid w:val="003279AE"/>
    <w:rsid w:val="003279EE"/>
    <w:rsid w:val="00327A38"/>
    <w:rsid w:val="00327A68"/>
    <w:rsid w:val="00327A71"/>
    <w:rsid w:val="00327A7E"/>
    <w:rsid w:val="00327A87"/>
    <w:rsid w:val="00327B83"/>
    <w:rsid w:val="00327C3B"/>
    <w:rsid w:val="00327EC7"/>
    <w:rsid w:val="00327EF4"/>
    <w:rsid w:val="00327F18"/>
    <w:rsid w:val="00327F1A"/>
    <w:rsid w:val="00327F67"/>
    <w:rsid w:val="00327F79"/>
    <w:rsid w:val="00327FAC"/>
    <w:rsid w:val="00327FB7"/>
    <w:rsid w:val="00327FE5"/>
    <w:rsid w:val="0033005D"/>
    <w:rsid w:val="0033006D"/>
    <w:rsid w:val="00330094"/>
    <w:rsid w:val="003300AA"/>
    <w:rsid w:val="003300C4"/>
    <w:rsid w:val="00330203"/>
    <w:rsid w:val="00330262"/>
    <w:rsid w:val="0033026D"/>
    <w:rsid w:val="003302AC"/>
    <w:rsid w:val="003302EC"/>
    <w:rsid w:val="00330342"/>
    <w:rsid w:val="003303F2"/>
    <w:rsid w:val="00330502"/>
    <w:rsid w:val="00330551"/>
    <w:rsid w:val="00330558"/>
    <w:rsid w:val="0033068B"/>
    <w:rsid w:val="003306F3"/>
    <w:rsid w:val="003307C2"/>
    <w:rsid w:val="00330872"/>
    <w:rsid w:val="00330962"/>
    <w:rsid w:val="003309F2"/>
    <w:rsid w:val="00330A51"/>
    <w:rsid w:val="00330A7D"/>
    <w:rsid w:val="00330ABC"/>
    <w:rsid w:val="00330B27"/>
    <w:rsid w:val="00330B98"/>
    <w:rsid w:val="00330CA6"/>
    <w:rsid w:val="00330CC1"/>
    <w:rsid w:val="00330CE0"/>
    <w:rsid w:val="00330D53"/>
    <w:rsid w:val="00330D78"/>
    <w:rsid w:val="00330DC3"/>
    <w:rsid w:val="00330DFD"/>
    <w:rsid w:val="00330F6D"/>
    <w:rsid w:val="00330F99"/>
    <w:rsid w:val="00330FD2"/>
    <w:rsid w:val="0033103A"/>
    <w:rsid w:val="00331069"/>
    <w:rsid w:val="0033106A"/>
    <w:rsid w:val="003310DD"/>
    <w:rsid w:val="003310E9"/>
    <w:rsid w:val="0033112E"/>
    <w:rsid w:val="00331182"/>
    <w:rsid w:val="00331226"/>
    <w:rsid w:val="0033131C"/>
    <w:rsid w:val="003313A0"/>
    <w:rsid w:val="0033146B"/>
    <w:rsid w:val="003314DD"/>
    <w:rsid w:val="00331600"/>
    <w:rsid w:val="0033162B"/>
    <w:rsid w:val="0033167E"/>
    <w:rsid w:val="00331766"/>
    <w:rsid w:val="00331866"/>
    <w:rsid w:val="003318FC"/>
    <w:rsid w:val="00331968"/>
    <w:rsid w:val="00331A94"/>
    <w:rsid w:val="00331AF4"/>
    <w:rsid w:val="00331B42"/>
    <w:rsid w:val="00331B51"/>
    <w:rsid w:val="00331C5A"/>
    <w:rsid w:val="00331C5F"/>
    <w:rsid w:val="00331C68"/>
    <w:rsid w:val="00331C8A"/>
    <w:rsid w:val="00331E54"/>
    <w:rsid w:val="00331F2E"/>
    <w:rsid w:val="00331F31"/>
    <w:rsid w:val="00331F78"/>
    <w:rsid w:val="00331FBA"/>
    <w:rsid w:val="0033215F"/>
    <w:rsid w:val="00332245"/>
    <w:rsid w:val="0033233C"/>
    <w:rsid w:val="00332368"/>
    <w:rsid w:val="003323D8"/>
    <w:rsid w:val="00332493"/>
    <w:rsid w:val="0033273A"/>
    <w:rsid w:val="00332740"/>
    <w:rsid w:val="00332A40"/>
    <w:rsid w:val="00332AC5"/>
    <w:rsid w:val="00332B5D"/>
    <w:rsid w:val="00332D07"/>
    <w:rsid w:val="00332D3D"/>
    <w:rsid w:val="00332DC3"/>
    <w:rsid w:val="00332F2C"/>
    <w:rsid w:val="00333054"/>
    <w:rsid w:val="0033309A"/>
    <w:rsid w:val="003330BC"/>
    <w:rsid w:val="003330F6"/>
    <w:rsid w:val="003331A8"/>
    <w:rsid w:val="0033325B"/>
    <w:rsid w:val="003332E8"/>
    <w:rsid w:val="00333387"/>
    <w:rsid w:val="0033345F"/>
    <w:rsid w:val="00333526"/>
    <w:rsid w:val="00333622"/>
    <w:rsid w:val="00333663"/>
    <w:rsid w:val="00333718"/>
    <w:rsid w:val="003338EC"/>
    <w:rsid w:val="00333907"/>
    <w:rsid w:val="003339E5"/>
    <w:rsid w:val="00333A4A"/>
    <w:rsid w:val="00333AE0"/>
    <w:rsid w:val="00333B0C"/>
    <w:rsid w:val="00333B0D"/>
    <w:rsid w:val="00333B8A"/>
    <w:rsid w:val="00333B9F"/>
    <w:rsid w:val="00333BBA"/>
    <w:rsid w:val="00333BE1"/>
    <w:rsid w:val="00333C83"/>
    <w:rsid w:val="00333D93"/>
    <w:rsid w:val="00333E42"/>
    <w:rsid w:val="00333EF7"/>
    <w:rsid w:val="00333F69"/>
    <w:rsid w:val="00334002"/>
    <w:rsid w:val="0033413E"/>
    <w:rsid w:val="003341AE"/>
    <w:rsid w:val="003341B5"/>
    <w:rsid w:val="0033421C"/>
    <w:rsid w:val="0033421E"/>
    <w:rsid w:val="003342BD"/>
    <w:rsid w:val="00334309"/>
    <w:rsid w:val="00334404"/>
    <w:rsid w:val="0033447A"/>
    <w:rsid w:val="00334487"/>
    <w:rsid w:val="003344C3"/>
    <w:rsid w:val="00334603"/>
    <w:rsid w:val="003346F1"/>
    <w:rsid w:val="003347E5"/>
    <w:rsid w:val="0033489C"/>
    <w:rsid w:val="00334966"/>
    <w:rsid w:val="00334971"/>
    <w:rsid w:val="003349F0"/>
    <w:rsid w:val="00334B45"/>
    <w:rsid w:val="00334BC4"/>
    <w:rsid w:val="00334C6B"/>
    <w:rsid w:val="00334C92"/>
    <w:rsid w:val="00334CAF"/>
    <w:rsid w:val="00334CCF"/>
    <w:rsid w:val="00334CF9"/>
    <w:rsid w:val="00334D38"/>
    <w:rsid w:val="00334D74"/>
    <w:rsid w:val="00334E3A"/>
    <w:rsid w:val="00334ECE"/>
    <w:rsid w:val="00334F48"/>
    <w:rsid w:val="00335017"/>
    <w:rsid w:val="00335169"/>
    <w:rsid w:val="0033524E"/>
    <w:rsid w:val="0033526C"/>
    <w:rsid w:val="00335270"/>
    <w:rsid w:val="00335408"/>
    <w:rsid w:val="0033543A"/>
    <w:rsid w:val="003354A5"/>
    <w:rsid w:val="003354FC"/>
    <w:rsid w:val="00335530"/>
    <w:rsid w:val="00335677"/>
    <w:rsid w:val="0033572C"/>
    <w:rsid w:val="0033581B"/>
    <w:rsid w:val="003358AC"/>
    <w:rsid w:val="003358FB"/>
    <w:rsid w:val="00335900"/>
    <w:rsid w:val="00335BF3"/>
    <w:rsid w:val="00335C0F"/>
    <w:rsid w:val="00335C47"/>
    <w:rsid w:val="00335CBD"/>
    <w:rsid w:val="00335E18"/>
    <w:rsid w:val="00335EF3"/>
    <w:rsid w:val="00335F7A"/>
    <w:rsid w:val="00335FC7"/>
    <w:rsid w:val="00336063"/>
    <w:rsid w:val="003360AB"/>
    <w:rsid w:val="003360BE"/>
    <w:rsid w:val="00336123"/>
    <w:rsid w:val="0033619B"/>
    <w:rsid w:val="003364C7"/>
    <w:rsid w:val="003364F5"/>
    <w:rsid w:val="0033653B"/>
    <w:rsid w:val="00336634"/>
    <w:rsid w:val="0033666A"/>
    <w:rsid w:val="003367A1"/>
    <w:rsid w:val="003367D6"/>
    <w:rsid w:val="00336816"/>
    <w:rsid w:val="0033683C"/>
    <w:rsid w:val="003368F1"/>
    <w:rsid w:val="00336945"/>
    <w:rsid w:val="00336A88"/>
    <w:rsid w:val="00336AC0"/>
    <w:rsid w:val="00336B66"/>
    <w:rsid w:val="00336BEC"/>
    <w:rsid w:val="00336E00"/>
    <w:rsid w:val="00337079"/>
    <w:rsid w:val="003370BC"/>
    <w:rsid w:val="003371CE"/>
    <w:rsid w:val="003371EF"/>
    <w:rsid w:val="0033724C"/>
    <w:rsid w:val="003372A0"/>
    <w:rsid w:val="003372DA"/>
    <w:rsid w:val="00337321"/>
    <w:rsid w:val="00337418"/>
    <w:rsid w:val="0033742B"/>
    <w:rsid w:val="0033744E"/>
    <w:rsid w:val="00337454"/>
    <w:rsid w:val="003374E6"/>
    <w:rsid w:val="00337522"/>
    <w:rsid w:val="003375A9"/>
    <w:rsid w:val="003375B8"/>
    <w:rsid w:val="003375D9"/>
    <w:rsid w:val="003375FF"/>
    <w:rsid w:val="0033765F"/>
    <w:rsid w:val="00337666"/>
    <w:rsid w:val="003376C3"/>
    <w:rsid w:val="00337716"/>
    <w:rsid w:val="00337A8F"/>
    <w:rsid w:val="00337C5D"/>
    <w:rsid w:val="00337D0D"/>
    <w:rsid w:val="00337DD8"/>
    <w:rsid w:val="00337DDE"/>
    <w:rsid w:val="0034000F"/>
    <w:rsid w:val="003400C2"/>
    <w:rsid w:val="003400CB"/>
    <w:rsid w:val="00340191"/>
    <w:rsid w:val="003401CF"/>
    <w:rsid w:val="00340343"/>
    <w:rsid w:val="00340387"/>
    <w:rsid w:val="003403D8"/>
    <w:rsid w:val="0034049B"/>
    <w:rsid w:val="003404B0"/>
    <w:rsid w:val="0034054F"/>
    <w:rsid w:val="00340597"/>
    <w:rsid w:val="00340675"/>
    <w:rsid w:val="00340872"/>
    <w:rsid w:val="00340879"/>
    <w:rsid w:val="003408B8"/>
    <w:rsid w:val="003408CC"/>
    <w:rsid w:val="0034090E"/>
    <w:rsid w:val="00340912"/>
    <w:rsid w:val="00340974"/>
    <w:rsid w:val="0034099E"/>
    <w:rsid w:val="00340A85"/>
    <w:rsid w:val="00340ABE"/>
    <w:rsid w:val="00340B02"/>
    <w:rsid w:val="00340B1F"/>
    <w:rsid w:val="00340B8F"/>
    <w:rsid w:val="00340CE9"/>
    <w:rsid w:val="00340F5D"/>
    <w:rsid w:val="00341033"/>
    <w:rsid w:val="00341044"/>
    <w:rsid w:val="00341069"/>
    <w:rsid w:val="0034116E"/>
    <w:rsid w:val="0034127A"/>
    <w:rsid w:val="003412A8"/>
    <w:rsid w:val="00341385"/>
    <w:rsid w:val="003413E6"/>
    <w:rsid w:val="00341635"/>
    <w:rsid w:val="003416D0"/>
    <w:rsid w:val="00341700"/>
    <w:rsid w:val="00341715"/>
    <w:rsid w:val="00341825"/>
    <w:rsid w:val="00341888"/>
    <w:rsid w:val="00341896"/>
    <w:rsid w:val="0034193C"/>
    <w:rsid w:val="0034195F"/>
    <w:rsid w:val="00341984"/>
    <w:rsid w:val="00341A2A"/>
    <w:rsid w:val="00341AE8"/>
    <w:rsid w:val="00341B34"/>
    <w:rsid w:val="00341BB5"/>
    <w:rsid w:val="00341C2A"/>
    <w:rsid w:val="00341C5B"/>
    <w:rsid w:val="00341CCA"/>
    <w:rsid w:val="00341E59"/>
    <w:rsid w:val="00341EFC"/>
    <w:rsid w:val="00341F22"/>
    <w:rsid w:val="00341FC2"/>
    <w:rsid w:val="00341FCF"/>
    <w:rsid w:val="00341FD3"/>
    <w:rsid w:val="00342010"/>
    <w:rsid w:val="00342112"/>
    <w:rsid w:val="00342131"/>
    <w:rsid w:val="0034218E"/>
    <w:rsid w:val="003421C4"/>
    <w:rsid w:val="0034222C"/>
    <w:rsid w:val="00342262"/>
    <w:rsid w:val="00342320"/>
    <w:rsid w:val="0034233E"/>
    <w:rsid w:val="00342394"/>
    <w:rsid w:val="00342464"/>
    <w:rsid w:val="003424C4"/>
    <w:rsid w:val="0034250A"/>
    <w:rsid w:val="0034252C"/>
    <w:rsid w:val="00342631"/>
    <w:rsid w:val="003426BE"/>
    <w:rsid w:val="003426D7"/>
    <w:rsid w:val="0034275C"/>
    <w:rsid w:val="00342947"/>
    <w:rsid w:val="003429B3"/>
    <w:rsid w:val="00342AC9"/>
    <w:rsid w:val="00342AEA"/>
    <w:rsid w:val="00342B1F"/>
    <w:rsid w:val="00342BB4"/>
    <w:rsid w:val="00342DAA"/>
    <w:rsid w:val="00342DD7"/>
    <w:rsid w:val="00342E33"/>
    <w:rsid w:val="00342F59"/>
    <w:rsid w:val="0034304E"/>
    <w:rsid w:val="00343098"/>
    <w:rsid w:val="003430D0"/>
    <w:rsid w:val="00343121"/>
    <w:rsid w:val="0034313C"/>
    <w:rsid w:val="0034319D"/>
    <w:rsid w:val="00343292"/>
    <w:rsid w:val="00343309"/>
    <w:rsid w:val="00343335"/>
    <w:rsid w:val="003433D7"/>
    <w:rsid w:val="003433EB"/>
    <w:rsid w:val="003433EC"/>
    <w:rsid w:val="003433F9"/>
    <w:rsid w:val="0034353A"/>
    <w:rsid w:val="00343559"/>
    <w:rsid w:val="00343585"/>
    <w:rsid w:val="003435DA"/>
    <w:rsid w:val="00343743"/>
    <w:rsid w:val="00343788"/>
    <w:rsid w:val="00343867"/>
    <w:rsid w:val="003438A6"/>
    <w:rsid w:val="003438B4"/>
    <w:rsid w:val="003438B9"/>
    <w:rsid w:val="00343935"/>
    <w:rsid w:val="00343966"/>
    <w:rsid w:val="00343970"/>
    <w:rsid w:val="003439C1"/>
    <w:rsid w:val="00343ABD"/>
    <w:rsid w:val="00343B45"/>
    <w:rsid w:val="00343D1F"/>
    <w:rsid w:val="00343E54"/>
    <w:rsid w:val="00343EC9"/>
    <w:rsid w:val="00343FA3"/>
    <w:rsid w:val="00343FEC"/>
    <w:rsid w:val="00343FFD"/>
    <w:rsid w:val="0034400A"/>
    <w:rsid w:val="003440C2"/>
    <w:rsid w:val="00344135"/>
    <w:rsid w:val="0034423A"/>
    <w:rsid w:val="00344265"/>
    <w:rsid w:val="00344269"/>
    <w:rsid w:val="0034427D"/>
    <w:rsid w:val="00344341"/>
    <w:rsid w:val="003443EA"/>
    <w:rsid w:val="003443EC"/>
    <w:rsid w:val="003444F3"/>
    <w:rsid w:val="0034451A"/>
    <w:rsid w:val="0034453B"/>
    <w:rsid w:val="00344680"/>
    <w:rsid w:val="00344723"/>
    <w:rsid w:val="00344752"/>
    <w:rsid w:val="00344755"/>
    <w:rsid w:val="00344813"/>
    <w:rsid w:val="00344819"/>
    <w:rsid w:val="00344861"/>
    <w:rsid w:val="0034490D"/>
    <w:rsid w:val="0034494B"/>
    <w:rsid w:val="00344A64"/>
    <w:rsid w:val="00344AA0"/>
    <w:rsid w:val="00344AD6"/>
    <w:rsid w:val="00344B0A"/>
    <w:rsid w:val="00344B17"/>
    <w:rsid w:val="00344BD1"/>
    <w:rsid w:val="00344C07"/>
    <w:rsid w:val="00344C4D"/>
    <w:rsid w:val="00344CD7"/>
    <w:rsid w:val="00344D24"/>
    <w:rsid w:val="00345137"/>
    <w:rsid w:val="00345139"/>
    <w:rsid w:val="0034513C"/>
    <w:rsid w:val="003451C4"/>
    <w:rsid w:val="00345218"/>
    <w:rsid w:val="003452C8"/>
    <w:rsid w:val="003452F0"/>
    <w:rsid w:val="003452F6"/>
    <w:rsid w:val="003454FB"/>
    <w:rsid w:val="00345541"/>
    <w:rsid w:val="0034554A"/>
    <w:rsid w:val="0034554D"/>
    <w:rsid w:val="00345556"/>
    <w:rsid w:val="00345569"/>
    <w:rsid w:val="00345577"/>
    <w:rsid w:val="00345622"/>
    <w:rsid w:val="00345693"/>
    <w:rsid w:val="003456D7"/>
    <w:rsid w:val="00345802"/>
    <w:rsid w:val="0034587E"/>
    <w:rsid w:val="0034588F"/>
    <w:rsid w:val="003459E9"/>
    <w:rsid w:val="00345BF0"/>
    <w:rsid w:val="00345C11"/>
    <w:rsid w:val="00345C14"/>
    <w:rsid w:val="00345D9C"/>
    <w:rsid w:val="00345EBE"/>
    <w:rsid w:val="00345F28"/>
    <w:rsid w:val="00345F46"/>
    <w:rsid w:val="003460C8"/>
    <w:rsid w:val="00346115"/>
    <w:rsid w:val="0034611D"/>
    <w:rsid w:val="00346205"/>
    <w:rsid w:val="00346300"/>
    <w:rsid w:val="0034632B"/>
    <w:rsid w:val="003463AE"/>
    <w:rsid w:val="0034644B"/>
    <w:rsid w:val="00346462"/>
    <w:rsid w:val="003464CC"/>
    <w:rsid w:val="00346584"/>
    <w:rsid w:val="00346692"/>
    <w:rsid w:val="003466E8"/>
    <w:rsid w:val="003468AD"/>
    <w:rsid w:val="003469D8"/>
    <w:rsid w:val="00346A4D"/>
    <w:rsid w:val="00346A90"/>
    <w:rsid w:val="00346AAE"/>
    <w:rsid w:val="00346AF3"/>
    <w:rsid w:val="00346B3E"/>
    <w:rsid w:val="00346B7C"/>
    <w:rsid w:val="00346BDA"/>
    <w:rsid w:val="00346BE7"/>
    <w:rsid w:val="00346C76"/>
    <w:rsid w:val="00346CE0"/>
    <w:rsid w:val="00346DE7"/>
    <w:rsid w:val="00346DF8"/>
    <w:rsid w:val="00346E74"/>
    <w:rsid w:val="00346EF1"/>
    <w:rsid w:val="00346FD3"/>
    <w:rsid w:val="0034704F"/>
    <w:rsid w:val="0034709B"/>
    <w:rsid w:val="0034714A"/>
    <w:rsid w:val="00347154"/>
    <w:rsid w:val="003471F7"/>
    <w:rsid w:val="003472DF"/>
    <w:rsid w:val="003472E6"/>
    <w:rsid w:val="003472F4"/>
    <w:rsid w:val="00347457"/>
    <w:rsid w:val="0034745B"/>
    <w:rsid w:val="00347481"/>
    <w:rsid w:val="003474DE"/>
    <w:rsid w:val="003476FC"/>
    <w:rsid w:val="00347738"/>
    <w:rsid w:val="00347840"/>
    <w:rsid w:val="00347896"/>
    <w:rsid w:val="00347932"/>
    <w:rsid w:val="00347956"/>
    <w:rsid w:val="0034797E"/>
    <w:rsid w:val="003479E0"/>
    <w:rsid w:val="003479ED"/>
    <w:rsid w:val="00347A4B"/>
    <w:rsid w:val="00347AC8"/>
    <w:rsid w:val="00347B39"/>
    <w:rsid w:val="00347BC0"/>
    <w:rsid w:val="00347C23"/>
    <w:rsid w:val="00347D15"/>
    <w:rsid w:val="00347DB4"/>
    <w:rsid w:val="00347DDF"/>
    <w:rsid w:val="00347F58"/>
    <w:rsid w:val="00347FF3"/>
    <w:rsid w:val="00350089"/>
    <w:rsid w:val="003500B2"/>
    <w:rsid w:val="00350137"/>
    <w:rsid w:val="003501DB"/>
    <w:rsid w:val="00350216"/>
    <w:rsid w:val="003502C9"/>
    <w:rsid w:val="003502D6"/>
    <w:rsid w:val="00350388"/>
    <w:rsid w:val="00350390"/>
    <w:rsid w:val="003503A2"/>
    <w:rsid w:val="003503A4"/>
    <w:rsid w:val="00350444"/>
    <w:rsid w:val="00350594"/>
    <w:rsid w:val="003505BC"/>
    <w:rsid w:val="00350600"/>
    <w:rsid w:val="0035063E"/>
    <w:rsid w:val="003507AB"/>
    <w:rsid w:val="003507FF"/>
    <w:rsid w:val="0035080E"/>
    <w:rsid w:val="0035081F"/>
    <w:rsid w:val="00350A71"/>
    <w:rsid w:val="00350A9C"/>
    <w:rsid w:val="00350AEA"/>
    <w:rsid w:val="00350B01"/>
    <w:rsid w:val="00350B0C"/>
    <w:rsid w:val="00350B10"/>
    <w:rsid w:val="00350B1B"/>
    <w:rsid w:val="00350B2A"/>
    <w:rsid w:val="00350B3D"/>
    <w:rsid w:val="00350C3B"/>
    <w:rsid w:val="00350C60"/>
    <w:rsid w:val="00350D16"/>
    <w:rsid w:val="00350E2E"/>
    <w:rsid w:val="00350E42"/>
    <w:rsid w:val="00350EE8"/>
    <w:rsid w:val="00350F35"/>
    <w:rsid w:val="00350F4E"/>
    <w:rsid w:val="00350F6E"/>
    <w:rsid w:val="0035105F"/>
    <w:rsid w:val="003510E7"/>
    <w:rsid w:val="00351198"/>
    <w:rsid w:val="003511A5"/>
    <w:rsid w:val="003511CF"/>
    <w:rsid w:val="003511DA"/>
    <w:rsid w:val="00351207"/>
    <w:rsid w:val="0035122D"/>
    <w:rsid w:val="0035134A"/>
    <w:rsid w:val="003513FF"/>
    <w:rsid w:val="00351441"/>
    <w:rsid w:val="00351445"/>
    <w:rsid w:val="003514BC"/>
    <w:rsid w:val="00351577"/>
    <w:rsid w:val="003515F1"/>
    <w:rsid w:val="00351699"/>
    <w:rsid w:val="003516ED"/>
    <w:rsid w:val="00351719"/>
    <w:rsid w:val="00351841"/>
    <w:rsid w:val="003518D8"/>
    <w:rsid w:val="00351B25"/>
    <w:rsid w:val="00351B43"/>
    <w:rsid w:val="00351B95"/>
    <w:rsid w:val="00351C03"/>
    <w:rsid w:val="00351D10"/>
    <w:rsid w:val="0035213A"/>
    <w:rsid w:val="003521A8"/>
    <w:rsid w:val="003521C6"/>
    <w:rsid w:val="00352219"/>
    <w:rsid w:val="00352232"/>
    <w:rsid w:val="0035224B"/>
    <w:rsid w:val="0035227A"/>
    <w:rsid w:val="0035229F"/>
    <w:rsid w:val="003522B7"/>
    <w:rsid w:val="003522DF"/>
    <w:rsid w:val="00352315"/>
    <w:rsid w:val="00352320"/>
    <w:rsid w:val="00352549"/>
    <w:rsid w:val="003525DD"/>
    <w:rsid w:val="0035262D"/>
    <w:rsid w:val="0035264F"/>
    <w:rsid w:val="00352775"/>
    <w:rsid w:val="003527C8"/>
    <w:rsid w:val="003527E6"/>
    <w:rsid w:val="00352803"/>
    <w:rsid w:val="0035284D"/>
    <w:rsid w:val="003528AC"/>
    <w:rsid w:val="003529E7"/>
    <w:rsid w:val="00352A27"/>
    <w:rsid w:val="00352A9C"/>
    <w:rsid w:val="00352AA8"/>
    <w:rsid w:val="00352AAB"/>
    <w:rsid w:val="00352AE3"/>
    <w:rsid w:val="00352B41"/>
    <w:rsid w:val="00352B4D"/>
    <w:rsid w:val="00352C40"/>
    <w:rsid w:val="00352C69"/>
    <w:rsid w:val="00352C85"/>
    <w:rsid w:val="00352C8B"/>
    <w:rsid w:val="00352CA1"/>
    <w:rsid w:val="00352CDC"/>
    <w:rsid w:val="00352D15"/>
    <w:rsid w:val="00352D35"/>
    <w:rsid w:val="00352D64"/>
    <w:rsid w:val="00352E83"/>
    <w:rsid w:val="00352EBF"/>
    <w:rsid w:val="00352EDB"/>
    <w:rsid w:val="00352EFB"/>
    <w:rsid w:val="00352FC8"/>
    <w:rsid w:val="0035303C"/>
    <w:rsid w:val="003531DB"/>
    <w:rsid w:val="003531F9"/>
    <w:rsid w:val="0035333A"/>
    <w:rsid w:val="003533A6"/>
    <w:rsid w:val="00353497"/>
    <w:rsid w:val="003534B0"/>
    <w:rsid w:val="00353611"/>
    <w:rsid w:val="00353615"/>
    <w:rsid w:val="0035363B"/>
    <w:rsid w:val="00353735"/>
    <w:rsid w:val="00353778"/>
    <w:rsid w:val="0035382D"/>
    <w:rsid w:val="003538CD"/>
    <w:rsid w:val="0035399F"/>
    <w:rsid w:val="00353A32"/>
    <w:rsid w:val="00353B5C"/>
    <w:rsid w:val="00353C6C"/>
    <w:rsid w:val="00353D06"/>
    <w:rsid w:val="00353D19"/>
    <w:rsid w:val="00353D22"/>
    <w:rsid w:val="00353D68"/>
    <w:rsid w:val="00353D6F"/>
    <w:rsid w:val="00353D76"/>
    <w:rsid w:val="00353DBF"/>
    <w:rsid w:val="00353E08"/>
    <w:rsid w:val="00353E31"/>
    <w:rsid w:val="00353ECB"/>
    <w:rsid w:val="00353F99"/>
    <w:rsid w:val="00353FB4"/>
    <w:rsid w:val="00353FFE"/>
    <w:rsid w:val="00354011"/>
    <w:rsid w:val="003540B4"/>
    <w:rsid w:val="003540D5"/>
    <w:rsid w:val="003542BD"/>
    <w:rsid w:val="00354377"/>
    <w:rsid w:val="003543A6"/>
    <w:rsid w:val="00354422"/>
    <w:rsid w:val="0035445E"/>
    <w:rsid w:val="0035447F"/>
    <w:rsid w:val="003544CD"/>
    <w:rsid w:val="0035457D"/>
    <w:rsid w:val="00354928"/>
    <w:rsid w:val="00354A6E"/>
    <w:rsid w:val="00354B23"/>
    <w:rsid w:val="00354B2A"/>
    <w:rsid w:val="00354B35"/>
    <w:rsid w:val="00354C33"/>
    <w:rsid w:val="00354D0E"/>
    <w:rsid w:val="00354D1E"/>
    <w:rsid w:val="00354D9E"/>
    <w:rsid w:val="00354DC6"/>
    <w:rsid w:val="00354E01"/>
    <w:rsid w:val="00354E64"/>
    <w:rsid w:val="00354ED1"/>
    <w:rsid w:val="0035509A"/>
    <w:rsid w:val="003550FF"/>
    <w:rsid w:val="0035513F"/>
    <w:rsid w:val="0035526C"/>
    <w:rsid w:val="003552FE"/>
    <w:rsid w:val="003553F0"/>
    <w:rsid w:val="0035546E"/>
    <w:rsid w:val="00355480"/>
    <w:rsid w:val="0035549D"/>
    <w:rsid w:val="003554E8"/>
    <w:rsid w:val="0035575C"/>
    <w:rsid w:val="003557B3"/>
    <w:rsid w:val="003558D7"/>
    <w:rsid w:val="00355955"/>
    <w:rsid w:val="003559C9"/>
    <w:rsid w:val="00355A56"/>
    <w:rsid w:val="00355B68"/>
    <w:rsid w:val="00355B90"/>
    <w:rsid w:val="00355B9E"/>
    <w:rsid w:val="00355C00"/>
    <w:rsid w:val="00355CC4"/>
    <w:rsid w:val="00355CFA"/>
    <w:rsid w:val="00355DCF"/>
    <w:rsid w:val="00355E02"/>
    <w:rsid w:val="00355E63"/>
    <w:rsid w:val="00355F30"/>
    <w:rsid w:val="00355F3B"/>
    <w:rsid w:val="0035603A"/>
    <w:rsid w:val="003560BC"/>
    <w:rsid w:val="003560E4"/>
    <w:rsid w:val="0035611E"/>
    <w:rsid w:val="003561B1"/>
    <w:rsid w:val="0035626A"/>
    <w:rsid w:val="0035627E"/>
    <w:rsid w:val="0035629A"/>
    <w:rsid w:val="00356433"/>
    <w:rsid w:val="00356521"/>
    <w:rsid w:val="003566B8"/>
    <w:rsid w:val="003566C8"/>
    <w:rsid w:val="003566E8"/>
    <w:rsid w:val="00356731"/>
    <w:rsid w:val="003567D4"/>
    <w:rsid w:val="00356849"/>
    <w:rsid w:val="003569D3"/>
    <w:rsid w:val="00356B10"/>
    <w:rsid w:val="00356B9A"/>
    <w:rsid w:val="00356C3A"/>
    <w:rsid w:val="00356C88"/>
    <w:rsid w:val="00356D32"/>
    <w:rsid w:val="00356D3D"/>
    <w:rsid w:val="00356E7F"/>
    <w:rsid w:val="00356F34"/>
    <w:rsid w:val="00356F70"/>
    <w:rsid w:val="00356F99"/>
    <w:rsid w:val="00356FD9"/>
    <w:rsid w:val="003570A9"/>
    <w:rsid w:val="00357125"/>
    <w:rsid w:val="0035734F"/>
    <w:rsid w:val="00357495"/>
    <w:rsid w:val="003575E3"/>
    <w:rsid w:val="0035767F"/>
    <w:rsid w:val="003577D5"/>
    <w:rsid w:val="00357830"/>
    <w:rsid w:val="0035788E"/>
    <w:rsid w:val="003579CD"/>
    <w:rsid w:val="003579FF"/>
    <w:rsid w:val="00357A35"/>
    <w:rsid w:val="00357A69"/>
    <w:rsid w:val="00357C5A"/>
    <w:rsid w:val="00357C89"/>
    <w:rsid w:val="00357CCA"/>
    <w:rsid w:val="00357D08"/>
    <w:rsid w:val="00357D85"/>
    <w:rsid w:val="00357E0D"/>
    <w:rsid w:val="00357E11"/>
    <w:rsid w:val="00357EAF"/>
    <w:rsid w:val="00357F33"/>
    <w:rsid w:val="00357F6C"/>
    <w:rsid w:val="00360037"/>
    <w:rsid w:val="00360067"/>
    <w:rsid w:val="0036019B"/>
    <w:rsid w:val="00360279"/>
    <w:rsid w:val="0036057A"/>
    <w:rsid w:val="0036061D"/>
    <w:rsid w:val="00360770"/>
    <w:rsid w:val="00360851"/>
    <w:rsid w:val="00360937"/>
    <w:rsid w:val="0036098A"/>
    <w:rsid w:val="0036099C"/>
    <w:rsid w:val="003609ED"/>
    <w:rsid w:val="00360A8E"/>
    <w:rsid w:val="00360B15"/>
    <w:rsid w:val="00360B5A"/>
    <w:rsid w:val="00360B5C"/>
    <w:rsid w:val="00360BD0"/>
    <w:rsid w:val="00360C0C"/>
    <w:rsid w:val="00360C4A"/>
    <w:rsid w:val="00360C92"/>
    <w:rsid w:val="00360CD8"/>
    <w:rsid w:val="00360D05"/>
    <w:rsid w:val="00360D38"/>
    <w:rsid w:val="00360D7A"/>
    <w:rsid w:val="00360EDF"/>
    <w:rsid w:val="00360FB7"/>
    <w:rsid w:val="00360FC8"/>
    <w:rsid w:val="00361035"/>
    <w:rsid w:val="00361047"/>
    <w:rsid w:val="00361077"/>
    <w:rsid w:val="003610FC"/>
    <w:rsid w:val="0036117F"/>
    <w:rsid w:val="0036118E"/>
    <w:rsid w:val="003611E9"/>
    <w:rsid w:val="00361355"/>
    <w:rsid w:val="0036146C"/>
    <w:rsid w:val="00361505"/>
    <w:rsid w:val="0036155D"/>
    <w:rsid w:val="00361707"/>
    <w:rsid w:val="00361757"/>
    <w:rsid w:val="003617E1"/>
    <w:rsid w:val="00361828"/>
    <w:rsid w:val="003618FF"/>
    <w:rsid w:val="0036192F"/>
    <w:rsid w:val="00361981"/>
    <w:rsid w:val="0036198B"/>
    <w:rsid w:val="003619AC"/>
    <w:rsid w:val="00361A8C"/>
    <w:rsid w:val="00361AD6"/>
    <w:rsid w:val="00361BA3"/>
    <w:rsid w:val="00361BDF"/>
    <w:rsid w:val="00361BF5"/>
    <w:rsid w:val="00361CE9"/>
    <w:rsid w:val="00361E6C"/>
    <w:rsid w:val="00361ECA"/>
    <w:rsid w:val="00361F9C"/>
    <w:rsid w:val="00361FC0"/>
    <w:rsid w:val="00361FE2"/>
    <w:rsid w:val="00362000"/>
    <w:rsid w:val="00362008"/>
    <w:rsid w:val="0036206D"/>
    <w:rsid w:val="0036212C"/>
    <w:rsid w:val="00362131"/>
    <w:rsid w:val="00362222"/>
    <w:rsid w:val="0036222B"/>
    <w:rsid w:val="00362384"/>
    <w:rsid w:val="0036244E"/>
    <w:rsid w:val="003624A3"/>
    <w:rsid w:val="003624E8"/>
    <w:rsid w:val="003626F6"/>
    <w:rsid w:val="00362732"/>
    <w:rsid w:val="0036274C"/>
    <w:rsid w:val="003628D0"/>
    <w:rsid w:val="003629BA"/>
    <w:rsid w:val="003629E3"/>
    <w:rsid w:val="003629E9"/>
    <w:rsid w:val="00362B11"/>
    <w:rsid w:val="00362B8C"/>
    <w:rsid w:val="00362B97"/>
    <w:rsid w:val="00362C01"/>
    <w:rsid w:val="00362C48"/>
    <w:rsid w:val="00362C49"/>
    <w:rsid w:val="00362C50"/>
    <w:rsid w:val="00362CF9"/>
    <w:rsid w:val="00362DEF"/>
    <w:rsid w:val="00362E12"/>
    <w:rsid w:val="00362E67"/>
    <w:rsid w:val="00362F9E"/>
    <w:rsid w:val="00362FD7"/>
    <w:rsid w:val="0036309F"/>
    <w:rsid w:val="0036310E"/>
    <w:rsid w:val="00363125"/>
    <w:rsid w:val="0036312F"/>
    <w:rsid w:val="00363247"/>
    <w:rsid w:val="00363295"/>
    <w:rsid w:val="00363303"/>
    <w:rsid w:val="00363339"/>
    <w:rsid w:val="0036346E"/>
    <w:rsid w:val="003634BB"/>
    <w:rsid w:val="003634E0"/>
    <w:rsid w:val="003634F9"/>
    <w:rsid w:val="003635F1"/>
    <w:rsid w:val="0036360B"/>
    <w:rsid w:val="00363642"/>
    <w:rsid w:val="003637F6"/>
    <w:rsid w:val="00363823"/>
    <w:rsid w:val="003638FA"/>
    <w:rsid w:val="00363B70"/>
    <w:rsid w:val="00363CD0"/>
    <w:rsid w:val="00363D3D"/>
    <w:rsid w:val="00363DD4"/>
    <w:rsid w:val="00363EF9"/>
    <w:rsid w:val="00363F66"/>
    <w:rsid w:val="00363FB5"/>
    <w:rsid w:val="0036404A"/>
    <w:rsid w:val="003640F7"/>
    <w:rsid w:val="00364119"/>
    <w:rsid w:val="0036416E"/>
    <w:rsid w:val="00364234"/>
    <w:rsid w:val="003642A0"/>
    <w:rsid w:val="003643DA"/>
    <w:rsid w:val="00364410"/>
    <w:rsid w:val="00364434"/>
    <w:rsid w:val="00364436"/>
    <w:rsid w:val="003647AC"/>
    <w:rsid w:val="0036499E"/>
    <w:rsid w:val="003649F3"/>
    <w:rsid w:val="00364A98"/>
    <w:rsid w:val="00364AE3"/>
    <w:rsid w:val="00364AF3"/>
    <w:rsid w:val="00364B9F"/>
    <w:rsid w:val="00364BDB"/>
    <w:rsid w:val="00364C79"/>
    <w:rsid w:val="00364D38"/>
    <w:rsid w:val="00364DBE"/>
    <w:rsid w:val="00364DFE"/>
    <w:rsid w:val="00364E29"/>
    <w:rsid w:val="00364E3B"/>
    <w:rsid w:val="00364E67"/>
    <w:rsid w:val="00364FD7"/>
    <w:rsid w:val="00365043"/>
    <w:rsid w:val="0036508D"/>
    <w:rsid w:val="003650F7"/>
    <w:rsid w:val="00365224"/>
    <w:rsid w:val="0036525C"/>
    <w:rsid w:val="00365406"/>
    <w:rsid w:val="00365456"/>
    <w:rsid w:val="00365524"/>
    <w:rsid w:val="00365664"/>
    <w:rsid w:val="00365767"/>
    <w:rsid w:val="00365789"/>
    <w:rsid w:val="003657A1"/>
    <w:rsid w:val="0036587F"/>
    <w:rsid w:val="003658C0"/>
    <w:rsid w:val="003658F4"/>
    <w:rsid w:val="003659BE"/>
    <w:rsid w:val="00365A09"/>
    <w:rsid w:val="00365A72"/>
    <w:rsid w:val="00365A79"/>
    <w:rsid w:val="00365B2A"/>
    <w:rsid w:val="00365B9C"/>
    <w:rsid w:val="00365CDE"/>
    <w:rsid w:val="00365D13"/>
    <w:rsid w:val="00365D86"/>
    <w:rsid w:val="00365F5B"/>
    <w:rsid w:val="00365FD5"/>
    <w:rsid w:val="0036607B"/>
    <w:rsid w:val="003660B4"/>
    <w:rsid w:val="0036618E"/>
    <w:rsid w:val="003661CC"/>
    <w:rsid w:val="00366354"/>
    <w:rsid w:val="003663E2"/>
    <w:rsid w:val="003664BC"/>
    <w:rsid w:val="00366511"/>
    <w:rsid w:val="00366608"/>
    <w:rsid w:val="0036661B"/>
    <w:rsid w:val="00366665"/>
    <w:rsid w:val="00366A4A"/>
    <w:rsid w:val="00366AE1"/>
    <w:rsid w:val="00366AFA"/>
    <w:rsid w:val="00366B6E"/>
    <w:rsid w:val="00366C1F"/>
    <w:rsid w:val="00366C63"/>
    <w:rsid w:val="00366CB1"/>
    <w:rsid w:val="00366D06"/>
    <w:rsid w:val="00366D3E"/>
    <w:rsid w:val="00366DB3"/>
    <w:rsid w:val="00366E4E"/>
    <w:rsid w:val="00366E86"/>
    <w:rsid w:val="00366F00"/>
    <w:rsid w:val="00366F1F"/>
    <w:rsid w:val="00366FA8"/>
    <w:rsid w:val="00366FE4"/>
    <w:rsid w:val="00367015"/>
    <w:rsid w:val="00367155"/>
    <w:rsid w:val="003671F7"/>
    <w:rsid w:val="00367245"/>
    <w:rsid w:val="0036730C"/>
    <w:rsid w:val="00367350"/>
    <w:rsid w:val="003673C3"/>
    <w:rsid w:val="003673D2"/>
    <w:rsid w:val="0036742A"/>
    <w:rsid w:val="003674CD"/>
    <w:rsid w:val="0036758E"/>
    <w:rsid w:val="003675B4"/>
    <w:rsid w:val="003675EC"/>
    <w:rsid w:val="003675F1"/>
    <w:rsid w:val="0036762A"/>
    <w:rsid w:val="00367634"/>
    <w:rsid w:val="00367678"/>
    <w:rsid w:val="003677C1"/>
    <w:rsid w:val="003678A9"/>
    <w:rsid w:val="0036790F"/>
    <w:rsid w:val="00367991"/>
    <w:rsid w:val="003679F5"/>
    <w:rsid w:val="00367A83"/>
    <w:rsid w:val="00367ACC"/>
    <w:rsid w:val="00367B4E"/>
    <w:rsid w:val="00367BBC"/>
    <w:rsid w:val="00367CA2"/>
    <w:rsid w:val="00367CAA"/>
    <w:rsid w:val="00367CB5"/>
    <w:rsid w:val="00367D2A"/>
    <w:rsid w:val="00367DAE"/>
    <w:rsid w:val="00367DC6"/>
    <w:rsid w:val="00367E83"/>
    <w:rsid w:val="00367F41"/>
    <w:rsid w:val="00367F6A"/>
    <w:rsid w:val="003701A2"/>
    <w:rsid w:val="003701E9"/>
    <w:rsid w:val="00370373"/>
    <w:rsid w:val="003703F8"/>
    <w:rsid w:val="0037045B"/>
    <w:rsid w:val="003704FD"/>
    <w:rsid w:val="00370660"/>
    <w:rsid w:val="00370684"/>
    <w:rsid w:val="00370756"/>
    <w:rsid w:val="00370767"/>
    <w:rsid w:val="00370981"/>
    <w:rsid w:val="003709BA"/>
    <w:rsid w:val="00370C0E"/>
    <w:rsid w:val="00370C13"/>
    <w:rsid w:val="00370C74"/>
    <w:rsid w:val="00370CC6"/>
    <w:rsid w:val="00370DCF"/>
    <w:rsid w:val="00370E90"/>
    <w:rsid w:val="00370F1D"/>
    <w:rsid w:val="00370F25"/>
    <w:rsid w:val="00371145"/>
    <w:rsid w:val="003712B7"/>
    <w:rsid w:val="00371365"/>
    <w:rsid w:val="003713CA"/>
    <w:rsid w:val="0037141E"/>
    <w:rsid w:val="003714A3"/>
    <w:rsid w:val="003714D8"/>
    <w:rsid w:val="003716AA"/>
    <w:rsid w:val="00371793"/>
    <w:rsid w:val="00371797"/>
    <w:rsid w:val="003717AA"/>
    <w:rsid w:val="003718B3"/>
    <w:rsid w:val="003718BE"/>
    <w:rsid w:val="00371916"/>
    <w:rsid w:val="00371969"/>
    <w:rsid w:val="00371A40"/>
    <w:rsid w:val="00371B01"/>
    <w:rsid w:val="00371B3E"/>
    <w:rsid w:val="00371C27"/>
    <w:rsid w:val="00371CF7"/>
    <w:rsid w:val="00371D75"/>
    <w:rsid w:val="00371DF6"/>
    <w:rsid w:val="00371E67"/>
    <w:rsid w:val="00371ED7"/>
    <w:rsid w:val="00371F06"/>
    <w:rsid w:val="00371F20"/>
    <w:rsid w:val="0037203A"/>
    <w:rsid w:val="0037204E"/>
    <w:rsid w:val="003720B6"/>
    <w:rsid w:val="003720DA"/>
    <w:rsid w:val="003721FA"/>
    <w:rsid w:val="00372245"/>
    <w:rsid w:val="0037227E"/>
    <w:rsid w:val="00372282"/>
    <w:rsid w:val="00372288"/>
    <w:rsid w:val="0037236A"/>
    <w:rsid w:val="003723BC"/>
    <w:rsid w:val="00372557"/>
    <w:rsid w:val="0037259F"/>
    <w:rsid w:val="00372605"/>
    <w:rsid w:val="00372676"/>
    <w:rsid w:val="00372725"/>
    <w:rsid w:val="0037274F"/>
    <w:rsid w:val="00372779"/>
    <w:rsid w:val="0037277B"/>
    <w:rsid w:val="003727E2"/>
    <w:rsid w:val="00372886"/>
    <w:rsid w:val="00372B94"/>
    <w:rsid w:val="00372C0D"/>
    <w:rsid w:val="00372CC7"/>
    <w:rsid w:val="00372D0D"/>
    <w:rsid w:val="00372D9F"/>
    <w:rsid w:val="00372DBD"/>
    <w:rsid w:val="00372DEE"/>
    <w:rsid w:val="00373020"/>
    <w:rsid w:val="0037315E"/>
    <w:rsid w:val="003731A0"/>
    <w:rsid w:val="00373251"/>
    <w:rsid w:val="0037338F"/>
    <w:rsid w:val="0037339A"/>
    <w:rsid w:val="003733F0"/>
    <w:rsid w:val="00373494"/>
    <w:rsid w:val="00373544"/>
    <w:rsid w:val="00373567"/>
    <w:rsid w:val="00373642"/>
    <w:rsid w:val="003736C1"/>
    <w:rsid w:val="003737F6"/>
    <w:rsid w:val="00373827"/>
    <w:rsid w:val="00373858"/>
    <w:rsid w:val="00373933"/>
    <w:rsid w:val="00373934"/>
    <w:rsid w:val="0037393D"/>
    <w:rsid w:val="0037395C"/>
    <w:rsid w:val="00373A32"/>
    <w:rsid w:val="00373A54"/>
    <w:rsid w:val="00373AAB"/>
    <w:rsid w:val="00373ACE"/>
    <w:rsid w:val="00373B9D"/>
    <w:rsid w:val="00373C22"/>
    <w:rsid w:val="00373CB6"/>
    <w:rsid w:val="00373D14"/>
    <w:rsid w:val="00373D89"/>
    <w:rsid w:val="00373DFA"/>
    <w:rsid w:val="00373E1E"/>
    <w:rsid w:val="00373E34"/>
    <w:rsid w:val="00373E99"/>
    <w:rsid w:val="00373F5B"/>
    <w:rsid w:val="0037414E"/>
    <w:rsid w:val="003741FD"/>
    <w:rsid w:val="0037427F"/>
    <w:rsid w:val="00374366"/>
    <w:rsid w:val="0037445A"/>
    <w:rsid w:val="00374608"/>
    <w:rsid w:val="00374695"/>
    <w:rsid w:val="0037473A"/>
    <w:rsid w:val="00374761"/>
    <w:rsid w:val="0037478F"/>
    <w:rsid w:val="003747DE"/>
    <w:rsid w:val="003748F9"/>
    <w:rsid w:val="00374911"/>
    <w:rsid w:val="003749DE"/>
    <w:rsid w:val="00374A71"/>
    <w:rsid w:val="00374A75"/>
    <w:rsid w:val="00374B2C"/>
    <w:rsid w:val="00374B70"/>
    <w:rsid w:val="00374D0D"/>
    <w:rsid w:val="00374E10"/>
    <w:rsid w:val="00374E12"/>
    <w:rsid w:val="00374EA2"/>
    <w:rsid w:val="00374EE7"/>
    <w:rsid w:val="00374F8C"/>
    <w:rsid w:val="003750C5"/>
    <w:rsid w:val="00375444"/>
    <w:rsid w:val="0037550E"/>
    <w:rsid w:val="00375571"/>
    <w:rsid w:val="00375595"/>
    <w:rsid w:val="003755C0"/>
    <w:rsid w:val="00375683"/>
    <w:rsid w:val="003756C0"/>
    <w:rsid w:val="00375715"/>
    <w:rsid w:val="003757AA"/>
    <w:rsid w:val="003757EE"/>
    <w:rsid w:val="0037580E"/>
    <w:rsid w:val="0037597F"/>
    <w:rsid w:val="003759F3"/>
    <w:rsid w:val="00375B56"/>
    <w:rsid w:val="00375D25"/>
    <w:rsid w:val="00375D9F"/>
    <w:rsid w:val="00375E0E"/>
    <w:rsid w:val="00375E2D"/>
    <w:rsid w:val="00375E45"/>
    <w:rsid w:val="00375EA7"/>
    <w:rsid w:val="00375EC5"/>
    <w:rsid w:val="00375ED1"/>
    <w:rsid w:val="00375F20"/>
    <w:rsid w:val="00375F2F"/>
    <w:rsid w:val="00375F6A"/>
    <w:rsid w:val="00375FCE"/>
    <w:rsid w:val="00375FE7"/>
    <w:rsid w:val="00376084"/>
    <w:rsid w:val="00376164"/>
    <w:rsid w:val="003761DE"/>
    <w:rsid w:val="00376316"/>
    <w:rsid w:val="00376529"/>
    <w:rsid w:val="00376624"/>
    <w:rsid w:val="00376634"/>
    <w:rsid w:val="0037663C"/>
    <w:rsid w:val="003767AC"/>
    <w:rsid w:val="00376844"/>
    <w:rsid w:val="00376865"/>
    <w:rsid w:val="003768B8"/>
    <w:rsid w:val="00376937"/>
    <w:rsid w:val="003769CD"/>
    <w:rsid w:val="003769ED"/>
    <w:rsid w:val="00376A62"/>
    <w:rsid w:val="00376AEB"/>
    <w:rsid w:val="00376B1D"/>
    <w:rsid w:val="00376B97"/>
    <w:rsid w:val="00376B9D"/>
    <w:rsid w:val="00376E1C"/>
    <w:rsid w:val="00376E7A"/>
    <w:rsid w:val="00376E81"/>
    <w:rsid w:val="00376EF1"/>
    <w:rsid w:val="00376F8E"/>
    <w:rsid w:val="0037701A"/>
    <w:rsid w:val="00377033"/>
    <w:rsid w:val="003771A3"/>
    <w:rsid w:val="003772CC"/>
    <w:rsid w:val="00377557"/>
    <w:rsid w:val="00377566"/>
    <w:rsid w:val="0037772E"/>
    <w:rsid w:val="003777A9"/>
    <w:rsid w:val="003777F7"/>
    <w:rsid w:val="003779EA"/>
    <w:rsid w:val="00377A78"/>
    <w:rsid w:val="00377B26"/>
    <w:rsid w:val="00377C9B"/>
    <w:rsid w:val="00377D8E"/>
    <w:rsid w:val="00377DB0"/>
    <w:rsid w:val="00377DDA"/>
    <w:rsid w:val="00377EED"/>
    <w:rsid w:val="00377EFE"/>
    <w:rsid w:val="00377F19"/>
    <w:rsid w:val="00377FD4"/>
    <w:rsid w:val="00377FED"/>
    <w:rsid w:val="00380075"/>
    <w:rsid w:val="0038008F"/>
    <w:rsid w:val="003800C1"/>
    <w:rsid w:val="00380129"/>
    <w:rsid w:val="00380136"/>
    <w:rsid w:val="00380151"/>
    <w:rsid w:val="0038016A"/>
    <w:rsid w:val="0038018F"/>
    <w:rsid w:val="0038019B"/>
    <w:rsid w:val="003801A0"/>
    <w:rsid w:val="003801D9"/>
    <w:rsid w:val="00380228"/>
    <w:rsid w:val="003802D9"/>
    <w:rsid w:val="003802F5"/>
    <w:rsid w:val="00380368"/>
    <w:rsid w:val="00380388"/>
    <w:rsid w:val="0038039F"/>
    <w:rsid w:val="00380435"/>
    <w:rsid w:val="00380449"/>
    <w:rsid w:val="003805A6"/>
    <w:rsid w:val="00380760"/>
    <w:rsid w:val="003807B7"/>
    <w:rsid w:val="003807DF"/>
    <w:rsid w:val="003807EC"/>
    <w:rsid w:val="003807F5"/>
    <w:rsid w:val="00380813"/>
    <w:rsid w:val="0038091A"/>
    <w:rsid w:val="003809AD"/>
    <w:rsid w:val="003809CE"/>
    <w:rsid w:val="003809F6"/>
    <w:rsid w:val="00380A00"/>
    <w:rsid w:val="00380A23"/>
    <w:rsid w:val="00380A62"/>
    <w:rsid w:val="00380B7E"/>
    <w:rsid w:val="00380CF5"/>
    <w:rsid w:val="00380DDA"/>
    <w:rsid w:val="00380E73"/>
    <w:rsid w:val="00380EDD"/>
    <w:rsid w:val="00381192"/>
    <w:rsid w:val="003811B7"/>
    <w:rsid w:val="003811F7"/>
    <w:rsid w:val="00381203"/>
    <w:rsid w:val="00381284"/>
    <w:rsid w:val="00381315"/>
    <w:rsid w:val="00381327"/>
    <w:rsid w:val="0038134A"/>
    <w:rsid w:val="0038142C"/>
    <w:rsid w:val="00381450"/>
    <w:rsid w:val="003815ED"/>
    <w:rsid w:val="00381743"/>
    <w:rsid w:val="003817AA"/>
    <w:rsid w:val="003817C9"/>
    <w:rsid w:val="0038186E"/>
    <w:rsid w:val="0038187C"/>
    <w:rsid w:val="0038190B"/>
    <w:rsid w:val="0038192D"/>
    <w:rsid w:val="0038194A"/>
    <w:rsid w:val="00381BD7"/>
    <w:rsid w:val="00381BD8"/>
    <w:rsid w:val="00381C31"/>
    <w:rsid w:val="00381C39"/>
    <w:rsid w:val="00381CCF"/>
    <w:rsid w:val="00381CDE"/>
    <w:rsid w:val="00381D84"/>
    <w:rsid w:val="00381DB4"/>
    <w:rsid w:val="00381E48"/>
    <w:rsid w:val="00381F37"/>
    <w:rsid w:val="003820C7"/>
    <w:rsid w:val="00382100"/>
    <w:rsid w:val="0038225E"/>
    <w:rsid w:val="00382280"/>
    <w:rsid w:val="003822C4"/>
    <w:rsid w:val="00382392"/>
    <w:rsid w:val="0038242C"/>
    <w:rsid w:val="00382479"/>
    <w:rsid w:val="003824FF"/>
    <w:rsid w:val="00382505"/>
    <w:rsid w:val="003825E1"/>
    <w:rsid w:val="003826FE"/>
    <w:rsid w:val="00382808"/>
    <w:rsid w:val="0038289C"/>
    <w:rsid w:val="003828E6"/>
    <w:rsid w:val="00382962"/>
    <w:rsid w:val="003829CE"/>
    <w:rsid w:val="00382A47"/>
    <w:rsid w:val="00382AD6"/>
    <w:rsid w:val="00382B56"/>
    <w:rsid w:val="00382B66"/>
    <w:rsid w:val="00382BD7"/>
    <w:rsid w:val="00382C3D"/>
    <w:rsid w:val="00382D37"/>
    <w:rsid w:val="00382E13"/>
    <w:rsid w:val="00382E6B"/>
    <w:rsid w:val="00382E9A"/>
    <w:rsid w:val="00382F03"/>
    <w:rsid w:val="00382F91"/>
    <w:rsid w:val="00382FD9"/>
    <w:rsid w:val="00382FEC"/>
    <w:rsid w:val="00383012"/>
    <w:rsid w:val="0038303F"/>
    <w:rsid w:val="003830BE"/>
    <w:rsid w:val="00383135"/>
    <w:rsid w:val="0038313E"/>
    <w:rsid w:val="0038314D"/>
    <w:rsid w:val="00383162"/>
    <w:rsid w:val="00383199"/>
    <w:rsid w:val="003831D5"/>
    <w:rsid w:val="003832A3"/>
    <w:rsid w:val="003832C9"/>
    <w:rsid w:val="003832EE"/>
    <w:rsid w:val="0038332F"/>
    <w:rsid w:val="00383450"/>
    <w:rsid w:val="00383523"/>
    <w:rsid w:val="003835F5"/>
    <w:rsid w:val="0038360D"/>
    <w:rsid w:val="00383625"/>
    <w:rsid w:val="00383729"/>
    <w:rsid w:val="00383795"/>
    <w:rsid w:val="003837B4"/>
    <w:rsid w:val="003837B5"/>
    <w:rsid w:val="0038380A"/>
    <w:rsid w:val="0038381C"/>
    <w:rsid w:val="00383831"/>
    <w:rsid w:val="003838EB"/>
    <w:rsid w:val="00383922"/>
    <w:rsid w:val="00383960"/>
    <w:rsid w:val="00383984"/>
    <w:rsid w:val="003839F6"/>
    <w:rsid w:val="00383A80"/>
    <w:rsid w:val="00383A9C"/>
    <w:rsid w:val="00383AFB"/>
    <w:rsid w:val="00383AFD"/>
    <w:rsid w:val="00383BCA"/>
    <w:rsid w:val="00383C75"/>
    <w:rsid w:val="00383CC2"/>
    <w:rsid w:val="00383D0C"/>
    <w:rsid w:val="00383D43"/>
    <w:rsid w:val="00383DD8"/>
    <w:rsid w:val="00383DE9"/>
    <w:rsid w:val="00383E95"/>
    <w:rsid w:val="00383EBA"/>
    <w:rsid w:val="00383F0E"/>
    <w:rsid w:val="00383FB6"/>
    <w:rsid w:val="003840E7"/>
    <w:rsid w:val="00384148"/>
    <w:rsid w:val="003841AB"/>
    <w:rsid w:val="0038423D"/>
    <w:rsid w:val="003842B3"/>
    <w:rsid w:val="003842C1"/>
    <w:rsid w:val="00384388"/>
    <w:rsid w:val="0038444E"/>
    <w:rsid w:val="0038451F"/>
    <w:rsid w:val="0038457C"/>
    <w:rsid w:val="0038460B"/>
    <w:rsid w:val="003846CE"/>
    <w:rsid w:val="0038474F"/>
    <w:rsid w:val="003847BD"/>
    <w:rsid w:val="003847C2"/>
    <w:rsid w:val="003847C9"/>
    <w:rsid w:val="00384830"/>
    <w:rsid w:val="00384848"/>
    <w:rsid w:val="0038486B"/>
    <w:rsid w:val="0038488D"/>
    <w:rsid w:val="003849B6"/>
    <w:rsid w:val="00384ACA"/>
    <w:rsid w:val="00384AD4"/>
    <w:rsid w:val="00384AE9"/>
    <w:rsid w:val="00384CE7"/>
    <w:rsid w:val="00384CE9"/>
    <w:rsid w:val="00384CF1"/>
    <w:rsid w:val="00384E57"/>
    <w:rsid w:val="00384E84"/>
    <w:rsid w:val="00384EA5"/>
    <w:rsid w:val="00384F25"/>
    <w:rsid w:val="0038515C"/>
    <w:rsid w:val="003852A3"/>
    <w:rsid w:val="003852C0"/>
    <w:rsid w:val="003852E1"/>
    <w:rsid w:val="003853C1"/>
    <w:rsid w:val="003853F6"/>
    <w:rsid w:val="00385425"/>
    <w:rsid w:val="003854F3"/>
    <w:rsid w:val="00385511"/>
    <w:rsid w:val="00385572"/>
    <w:rsid w:val="0038573A"/>
    <w:rsid w:val="00385775"/>
    <w:rsid w:val="003857BD"/>
    <w:rsid w:val="003857E5"/>
    <w:rsid w:val="003857FB"/>
    <w:rsid w:val="00385927"/>
    <w:rsid w:val="00385936"/>
    <w:rsid w:val="0038593C"/>
    <w:rsid w:val="00385963"/>
    <w:rsid w:val="00385967"/>
    <w:rsid w:val="00385979"/>
    <w:rsid w:val="003859E1"/>
    <w:rsid w:val="00385A19"/>
    <w:rsid w:val="00385A3F"/>
    <w:rsid w:val="00385A93"/>
    <w:rsid w:val="00385B94"/>
    <w:rsid w:val="00385C41"/>
    <w:rsid w:val="00385C6C"/>
    <w:rsid w:val="00385CCF"/>
    <w:rsid w:val="00385D67"/>
    <w:rsid w:val="00385DB1"/>
    <w:rsid w:val="00385DC1"/>
    <w:rsid w:val="00385E8E"/>
    <w:rsid w:val="00385FD3"/>
    <w:rsid w:val="003860E1"/>
    <w:rsid w:val="003860FF"/>
    <w:rsid w:val="003861AE"/>
    <w:rsid w:val="00386224"/>
    <w:rsid w:val="00386262"/>
    <w:rsid w:val="0038633A"/>
    <w:rsid w:val="00386359"/>
    <w:rsid w:val="00386417"/>
    <w:rsid w:val="0038648D"/>
    <w:rsid w:val="003865A0"/>
    <w:rsid w:val="003865BA"/>
    <w:rsid w:val="00386611"/>
    <w:rsid w:val="00386676"/>
    <w:rsid w:val="00386798"/>
    <w:rsid w:val="0038683E"/>
    <w:rsid w:val="0038686A"/>
    <w:rsid w:val="0038687E"/>
    <w:rsid w:val="00386889"/>
    <w:rsid w:val="003869B1"/>
    <w:rsid w:val="003869B5"/>
    <w:rsid w:val="00386B54"/>
    <w:rsid w:val="00386BBC"/>
    <w:rsid w:val="00386C14"/>
    <w:rsid w:val="00386C1A"/>
    <w:rsid w:val="00386D76"/>
    <w:rsid w:val="00386E39"/>
    <w:rsid w:val="00386E40"/>
    <w:rsid w:val="00386E9D"/>
    <w:rsid w:val="00386EF1"/>
    <w:rsid w:val="00386F9A"/>
    <w:rsid w:val="00386FAD"/>
    <w:rsid w:val="00386FB4"/>
    <w:rsid w:val="0038706D"/>
    <w:rsid w:val="0038709E"/>
    <w:rsid w:val="003870C8"/>
    <w:rsid w:val="003870EB"/>
    <w:rsid w:val="003871B1"/>
    <w:rsid w:val="003871BE"/>
    <w:rsid w:val="00387310"/>
    <w:rsid w:val="003873E7"/>
    <w:rsid w:val="0038741E"/>
    <w:rsid w:val="00387548"/>
    <w:rsid w:val="003875F3"/>
    <w:rsid w:val="00387676"/>
    <w:rsid w:val="003876B3"/>
    <w:rsid w:val="003876FE"/>
    <w:rsid w:val="00387714"/>
    <w:rsid w:val="00387788"/>
    <w:rsid w:val="0038779B"/>
    <w:rsid w:val="00387812"/>
    <w:rsid w:val="00387827"/>
    <w:rsid w:val="00387828"/>
    <w:rsid w:val="00387831"/>
    <w:rsid w:val="0038792F"/>
    <w:rsid w:val="003879F6"/>
    <w:rsid w:val="00387AE4"/>
    <w:rsid w:val="00387BA8"/>
    <w:rsid w:val="00387BD5"/>
    <w:rsid w:val="00387C46"/>
    <w:rsid w:val="00387DCC"/>
    <w:rsid w:val="00387E08"/>
    <w:rsid w:val="00387E6E"/>
    <w:rsid w:val="00387E75"/>
    <w:rsid w:val="00387E8E"/>
    <w:rsid w:val="00387E96"/>
    <w:rsid w:val="00387ED0"/>
    <w:rsid w:val="00387EE8"/>
    <w:rsid w:val="0039001E"/>
    <w:rsid w:val="00390082"/>
    <w:rsid w:val="003902AE"/>
    <w:rsid w:val="003902C9"/>
    <w:rsid w:val="00390317"/>
    <w:rsid w:val="003903A4"/>
    <w:rsid w:val="00390409"/>
    <w:rsid w:val="003904E2"/>
    <w:rsid w:val="0039059A"/>
    <w:rsid w:val="003905D7"/>
    <w:rsid w:val="00390652"/>
    <w:rsid w:val="003906EC"/>
    <w:rsid w:val="003906EF"/>
    <w:rsid w:val="00390716"/>
    <w:rsid w:val="003908E8"/>
    <w:rsid w:val="003909C4"/>
    <w:rsid w:val="00390A16"/>
    <w:rsid w:val="00390A73"/>
    <w:rsid w:val="00390B3F"/>
    <w:rsid w:val="00390BA1"/>
    <w:rsid w:val="00390C8E"/>
    <w:rsid w:val="00390CD2"/>
    <w:rsid w:val="00390D96"/>
    <w:rsid w:val="00390DD9"/>
    <w:rsid w:val="00390DEA"/>
    <w:rsid w:val="00390E0D"/>
    <w:rsid w:val="00390E2C"/>
    <w:rsid w:val="00390E98"/>
    <w:rsid w:val="00390F36"/>
    <w:rsid w:val="00390FEB"/>
    <w:rsid w:val="00391028"/>
    <w:rsid w:val="00391055"/>
    <w:rsid w:val="0039118E"/>
    <w:rsid w:val="003911A0"/>
    <w:rsid w:val="003911C9"/>
    <w:rsid w:val="003912BD"/>
    <w:rsid w:val="003913DA"/>
    <w:rsid w:val="00391420"/>
    <w:rsid w:val="00391475"/>
    <w:rsid w:val="003914A4"/>
    <w:rsid w:val="00391555"/>
    <w:rsid w:val="003915BB"/>
    <w:rsid w:val="00391652"/>
    <w:rsid w:val="003916A0"/>
    <w:rsid w:val="003916AA"/>
    <w:rsid w:val="00391828"/>
    <w:rsid w:val="00391962"/>
    <w:rsid w:val="003919FE"/>
    <w:rsid w:val="00391A1C"/>
    <w:rsid w:val="00391A68"/>
    <w:rsid w:val="00391A97"/>
    <w:rsid w:val="00391B00"/>
    <w:rsid w:val="00391D07"/>
    <w:rsid w:val="00391DC9"/>
    <w:rsid w:val="00391E02"/>
    <w:rsid w:val="00391E6C"/>
    <w:rsid w:val="00391E6F"/>
    <w:rsid w:val="00391F57"/>
    <w:rsid w:val="00391F7B"/>
    <w:rsid w:val="00391FD5"/>
    <w:rsid w:val="0039200C"/>
    <w:rsid w:val="003920B2"/>
    <w:rsid w:val="003920D5"/>
    <w:rsid w:val="00392113"/>
    <w:rsid w:val="0039214B"/>
    <w:rsid w:val="003921A3"/>
    <w:rsid w:val="00392201"/>
    <w:rsid w:val="0039222B"/>
    <w:rsid w:val="003922FF"/>
    <w:rsid w:val="003924C3"/>
    <w:rsid w:val="00392574"/>
    <w:rsid w:val="00392777"/>
    <w:rsid w:val="003927BC"/>
    <w:rsid w:val="003927E2"/>
    <w:rsid w:val="00392812"/>
    <w:rsid w:val="003928F6"/>
    <w:rsid w:val="00392A13"/>
    <w:rsid w:val="00392A39"/>
    <w:rsid w:val="00392AD7"/>
    <w:rsid w:val="00392B09"/>
    <w:rsid w:val="00392B48"/>
    <w:rsid w:val="00392B8D"/>
    <w:rsid w:val="00392C35"/>
    <w:rsid w:val="00392C72"/>
    <w:rsid w:val="00392E49"/>
    <w:rsid w:val="00392E4C"/>
    <w:rsid w:val="00392E53"/>
    <w:rsid w:val="00392F3B"/>
    <w:rsid w:val="0039307C"/>
    <w:rsid w:val="003930AE"/>
    <w:rsid w:val="003930E8"/>
    <w:rsid w:val="003931A9"/>
    <w:rsid w:val="003931B0"/>
    <w:rsid w:val="003931D5"/>
    <w:rsid w:val="003931E8"/>
    <w:rsid w:val="003932D7"/>
    <w:rsid w:val="00393401"/>
    <w:rsid w:val="0039348D"/>
    <w:rsid w:val="00393541"/>
    <w:rsid w:val="00393579"/>
    <w:rsid w:val="00393587"/>
    <w:rsid w:val="003936FB"/>
    <w:rsid w:val="003937D0"/>
    <w:rsid w:val="00393800"/>
    <w:rsid w:val="00393839"/>
    <w:rsid w:val="00393905"/>
    <w:rsid w:val="00393A16"/>
    <w:rsid w:val="00393A3E"/>
    <w:rsid w:val="00393A42"/>
    <w:rsid w:val="00393AC7"/>
    <w:rsid w:val="00393ADA"/>
    <w:rsid w:val="00393B4A"/>
    <w:rsid w:val="00393B68"/>
    <w:rsid w:val="00393CE9"/>
    <w:rsid w:val="00393D8E"/>
    <w:rsid w:val="00393DEB"/>
    <w:rsid w:val="00393F86"/>
    <w:rsid w:val="00393F9A"/>
    <w:rsid w:val="00393FD2"/>
    <w:rsid w:val="00393FF0"/>
    <w:rsid w:val="003941C3"/>
    <w:rsid w:val="00394369"/>
    <w:rsid w:val="00394460"/>
    <w:rsid w:val="00394485"/>
    <w:rsid w:val="003944AA"/>
    <w:rsid w:val="00394537"/>
    <w:rsid w:val="0039455A"/>
    <w:rsid w:val="00394579"/>
    <w:rsid w:val="003945C4"/>
    <w:rsid w:val="00394641"/>
    <w:rsid w:val="00394676"/>
    <w:rsid w:val="0039491F"/>
    <w:rsid w:val="003949DB"/>
    <w:rsid w:val="00394A23"/>
    <w:rsid w:val="00394A9A"/>
    <w:rsid w:val="00394AF7"/>
    <w:rsid w:val="00394BDE"/>
    <w:rsid w:val="00394C02"/>
    <w:rsid w:val="00394C8C"/>
    <w:rsid w:val="00394D55"/>
    <w:rsid w:val="00394ED9"/>
    <w:rsid w:val="00394F28"/>
    <w:rsid w:val="00394F94"/>
    <w:rsid w:val="00394F9D"/>
    <w:rsid w:val="003950CA"/>
    <w:rsid w:val="00395247"/>
    <w:rsid w:val="00395276"/>
    <w:rsid w:val="003953CB"/>
    <w:rsid w:val="00395435"/>
    <w:rsid w:val="00395455"/>
    <w:rsid w:val="00395492"/>
    <w:rsid w:val="00395494"/>
    <w:rsid w:val="003954D8"/>
    <w:rsid w:val="0039556C"/>
    <w:rsid w:val="003955B8"/>
    <w:rsid w:val="00395614"/>
    <w:rsid w:val="00395885"/>
    <w:rsid w:val="003958EC"/>
    <w:rsid w:val="00395907"/>
    <w:rsid w:val="00395935"/>
    <w:rsid w:val="00395A04"/>
    <w:rsid w:val="00395A75"/>
    <w:rsid w:val="00395A90"/>
    <w:rsid w:val="00395A95"/>
    <w:rsid w:val="00395B04"/>
    <w:rsid w:val="00395BDC"/>
    <w:rsid w:val="00395D63"/>
    <w:rsid w:val="00395DC4"/>
    <w:rsid w:val="00395E71"/>
    <w:rsid w:val="00395E78"/>
    <w:rsid w:val="00396013"/>
    <w:rsid w:val="0039602E"/>
    <w:rsid w:val="003960E7"/>
    <w:rsid w:val="0039618B"/>
    <w:rsid w:val="00396223"/>
    <w:rsid w:val="00396230"/>
    <w:rsid w:val="00396245"/>
    <w:rsid w:val="003962D6"/>
    <w:rsid w:val="00396399"/>
    <w:rsid w:val="003963BF"/>
    <w:rsid w:val="003963C4"/>
    <w:rsid w:val="00396429"/>
    <w:rsid w:val="0039656E"/>
    <w:rsid w:val="00396624"/>
    <w:rsid w:val="003966AB"/>
    <w:rsid w:val="003967E9"/>
    <w:rsid w:val="00396831"/>
    <w:rsid w:val="00396838"/>
    <w:rsid w:val="003968DF"/>
    <w:rsid w:val="00396927"/>
    <w:rsid w:val="0039698A"/>
    <w:rsid w:val="00396995"/>
    <w:rsid w:val="003969BE"/>
    <w:rsid w:val="00396AAD"/>
    <w:rsid w:val="00396ABD"/>
    <w:rsid w:val="00396ABE"/>
    <w:rsid w:val="00396B76"/>
    <w:rsid w:val="00396C20"/>
    <w:rsid w:val="00396C2F"/>
    <w:rsid w:val="00396C94"/>
    <w:rsid w:val="00396C9E"/>
    <w:rsid w:val="00396D11"/>
    <w:rsid w:val="00396DAD"/>
    <w:rsid w:val="00396E24"/>
    <w:rsid w:val="00396EA8"/>
    <w:rsid w:val="00396FE8"/>
    <w:rsid w:val="00397065"/>
    <w:rsid w:val="003970B2"/>
    <w:rsid w:val="003970D4"/>
    <w:rsid w:val="00397139"/>
    <w:rsid w:val="0039715F"/>
    <w:rsid w:val="003971A7"/>
    <w:rsid w:val="003971EC"/>
    <w:rsid w:val="0039729D"/>
    <w:rsid w:val="0039734F"/>
    <w:rsid w:val="0039744B"/>
    <w:rsid w:val="003974BF"/>
    <w:rsid w:val="003974CA"/>
    <w:rsid w:val="003974D8"/>
    <w:rsid w:val="003975D9"/>
    <w:rsid w:val="00397666"/>
    <w:rsid w:val="003976FA"/>
    <w:rsid w:val="0039775A"/>
    <w:rsid w:val="003977D6"/>
    <w:rsid w:val="0039786B"/>
    <w:rsid w:val="003978DA"/>
    <w:rsid w:val="003979BC"/>
    <w:rsid w:val="00397AA5"/>
    <w:rsid w:val="00397AB6"/>
    <w:rsid w:val="00397AD2"/>
    <w:rsid w:val="00397BDA"/>
    <w:rsid w:val="00397CBA"/>
    <w:rsid w:val="00397CDA"/>
    <w:rsid w:val="00397CF4"/>
    <w:rsid w:val="00397D55"/>
    <w:rsid w:val="00397D5B"/>
    <w:rsid w:val="00397E0C"/>
    <w:rsid w:val="00397E3F"/>
    <w:rsid w:val="00397E6B"/>
    <w:rsid w:val="00397ED0"/>
    <w:rsid w:val="00397F9B"/>
    <w:rsid w:val="003A000A"/>
    <w:rsid w:val="003A00EE"/>
    <w:rsid w:val="003A011F"/>
    <w:rsid w:val="003A012B"/>
    <w:rsid w:val="003A0138"/>
    <w:rsid w:val="003A013A"/>
    <w:rsid w:val="003A0163"/>
    <w:rsid w:val="003A01B6"/>
    <w:rsid w:val="003A0262"/>
    <w:rsid w:val="003A02A0"/>
    <w:rsid w:val="003A0325"/>
    <w:rsid w:val="003A03DE"/>
    <w:rsid w:val="003A03FD"/>
    <w:rsid w:val="003A04A6"/>
    <w:rsid w:val="003A04DC"/>
    <w:rsid w:val="003A057A"/>
    <w:rsid w:val="003A0676"/>
    <w:rsid w:val="003A06FA"/>
    <w:rsid w:val="003A0736"/>
    <w:rsid w:val="003A0738"/>
    <w:rsid w:val="003A0854"/>
    <w:rsid w:val="003A0904"/>
    <w:rsid w:val="003A0AED"/>
    <w:rsid w:val="003A0B31"/>
    <w:rsid w:val="003A0B38"/>
    <w:rsid w:val="003A0B52"/>
    <w:rsid w:val="003A0BBA"/>
    <w:rsid w:val="003A0C6D"/>
    <w:rsid w:val="003A0CA4"/>
    <w:rsid w:val="003A0D54"/>
    <w:rsid w:val="003A0D85"/>
    <w:rsid w:val="003A0DF9"/>
    <w:rsid w:val="003A101B"/>
    <w:rsid w:val="003A10B3"/>
    <w:rsid w:val="003A1122"/>
    <w:rsid w:val="003A11D9"/>
    <w:rsid w:val="003A1261"/>
    <w:rsid w:val="003A1264"/>
    <w:rsid w:val="003A12F9"/>
    <w:rsid w:val="003A147C"/>
    <w:rsid w:val="003A14F3"/>
    <w:rsid w:val="003A14F6"/>
    <w:rsid w:val="003A1543"/>
    <w:rsid w:val="003A1910"/>
    <w:rsid w:val="003A1978"/>
    <w:rsid w:val="003A19D4"/>
    <w:rsid w:val="003A1A21"/>
    <w:rsid w:val="003A1A57"/>
    <w:rsid w:val="003A1A7D"/>
    <w:rsid w:val="003A1A99"/>
    <w:rsid w:val="003A1C0E"/>
    <w:rsid w:val="003A1C3B"/>
    <w:rsid w:val="003A1CDC"/>
    <w:rsid w:val="003A1D90"/>
    <w:rsid w:val="003A1E08"/>
    <w:rsid w:val="003A1E38"/>
    <w:rsid w:val="003A1E3D"/>
    <w:rsid w:val="003A1EF0"/>
    <w:rsid w:val="003A1F23"/>
    <w:rsid w:val="003A1FD2"/>
    <w:rsid w:val="003A1FE9"/>
    <w:rsid w:val="003A2131"/>
    <w:rsid w:val="003A2158"/>
    <w:rsid w:val="003A21E6"/>
    <w:rsid w:val="003A2218"/>
    <w:rsid w:val="003A234D"/>
    <w:rsid w:val="003A23C3"/>
    <w:rsid w:val="003A2441"/>
    <w:rsid w:val="003A246B"/>
    <w:rsid w:val="003A2872"/>
    <w:rsid w:val="003A2894"/>
    <w:rsid w:val="003A28C4"/>
    <w:rsid w:val="003A29FA"/>
    <w:rsid w:val="003A2A6A"/>
    <w:rsid w:val="003A2CB4"/>
    <w:rsid w:val="003A2CBE"/>
    <w:rsid w:val="003A2CEC"/>
    <w:rsid w:val="003A2D51"/>
    <w:rsid w:val="003A2DA5"/>
    <w:rsid w:val="003A2DD2"/>
    <w:rsid w:val="003A2E37"/>
    <w:rsid w:val="003A2F41"/>
    <w:rsid w:val="003A300B"/>
    <w:rsid w:val="003A3086"/>
    <w:rsid w:val="003A30E8"/>
    <w:rsid w:val="003A31B7"/>
    <w:rsid w:val="003A31FA"/>
    <w:rsid w:val="003A323C"/>
    <w:rsid w:val="003A3268"/>
    <w:rsid w:val="003A3289"/>
    <w:rsid w:val="003A32AD"/>
    <w:rsid w:val="003A3302"/>
    <w:rsid w:val="003A3321"/>
    <w:rsid w:val="003A3338"/>
    <w:rsid w:val="003A3475"/>
    <w:rsid w:val="003A34E4"/>
    <w:rsid w:val="003A3513"/>
    <w:rsid w:val="003A36D1"/>
    <w:rsid w:val="003A3777"/>
    <w:rsid w:val="003A3789"/>
    <w:rsid w:val="003A381F"/>
    <w:rsid w:val="003A3874"/>
    <w:rsid w:val="003A3991"/>
    <w:rsid w:val="003A39C3"/>
    <w:rsid w:val="003A39CC"/>
    <w:rsid w:val="003A3A43"/>
    <w:rsid w:val="003A3A48"/>
    <w:rsid w:val="003A3A59"/>
    <w:rsid w:val="003A3ACD"/>
    <w:rsid w:val="003A3AE5"/>
    <w:rsid w:val="003A3B2A"/>
    <w:rsid w:val="003A3B66"/>
    <w:rsid w:val="003A3B79"/>
    <w:rsid w:val="003A3BA4"/>
    <w:rsid w:val="003A3CD2"/>
    <w:rsid w:val="003A3E15"/>
    <w:rsid w:val="003A3ECA"/>
    <w:rsid w:val="003A3FF6"/>
    <w:rsid w:val="003A4010"/>
    <w:rsid w:val="003A4079"/>
    <w:rsid w:val="003A41ED"/>
    <w:rsid w:val="003A42A6"/>
    <w:rsid w:val="003A4313"/>
    <w:rsid w:val="003A44B0"/>
    <w:rsid w:val="003A4615"/>
    <w:rsid w:val="003A4628"/>
    <w:rsid w:val="003A4632"/>
    <w:rsid w:val="003A46B3"/>
    <w:rsid w:val="003A46CC"/>
    <w:rsid w:val="003A46E2"/>
    <w:rsid w:val="003A4782"/>
    <w:rsid w:val="003A478E"/>
    <w:rsid w:val="003A479A"/>
    <w:rsid w:val="003A47BF"/>
    <w:rsid w:val="003A4815"/>
    <w:rsid w:val="003A487D"/>
    <w:rsid w:val="003A49C5"/>
    <w:rsid w:val="003A4AB3"/>
    <w:rsid w:val="003A4AD7"/>
    <w:rsid w:val="003A4BDE"/>
    <w:rsid w:val="003A4C1E"/>
    <w:rsid w:val="003A4C7E"/>
    <w:rsid w:val="003A4D94"/>
    <w:rsid w:val="003A4DAB"/>
    <w:rsid w:val="003A4E28"/>
    <w:rsid w:val="003A516A"/>
    <w:rsid w:val="003A519B"/>
    <w:rsid w:val="003A51A1"/>
    <w:rsid w:val="003A52B6"/>
    <w:rsid w:val="003A5343"/>
    <w:rsid w:val="003A5383"/>
    <w:rsid w:val="003A5397"/>
    <w:rsid w:val="003A5404"/>
    <w:rsid w:val="003A5458"/>
    <w:rsid w:val="003A548D"/>
    <w:rsid w:val="003A5597"/>
    <w:rsid w:val="003A575B"/>
    <w:rsid w:val="003A57D5"/>
    <w:rsid w:val="003A58CB"/>
    <w:rsid w:val="003A58ED"/>
    <w:rsid w:val="003A59BA"/>
    <w:rsid w:val="003A5A18"/>
    <w:rsid w:val="003A5B82"/>
    <w:rsid w:val="003A5BA8"/>
    <w:rsid w:val="003A5BCB"/>
    <w:rsid w:val="003A5C38"/>
    <w:rsid w:val="003A5C81"/>
    <w:rsid w:val="003A5C9B"/>
    <w:rsid w:val="003A5CDA"/>
    <w:rsid w:val="003A5D36"/>
    <w:rsid w:val="003A5D8F"/>
    <w:rsid w:val="003A5D98"/>
    <w:rsid w:val="003A5DF5"/>
    <w:rsid w:val="003A5EDB"/>
    <w:rsid w:val="003A5FC3"/>
    <w:rsid w:val="003A6004"/>
    <w:rsid w:val="003A608B"/>
    <w:rsid w:val="003A60DF"/>
    <w:rsid w:val="003A614F"/>
    <w:rsid w:val="003A6188"/>
    <w:rsid w:val="003A61DC"/>
    <w:rsid w:val="003A622E"/>
    <w:rsid w:val="003A62E1"/>
    <w:rsid w:val="003A6428"/>
    <w:rsid w:val="003A646C"/>
    <w:rsid w:val="003A653B"/>
    <w:rsid w:val="003A6633"/>
    <w:rsid w:val="003A6686"/>
    <w:rsid w:val="003A679E"/>
    <w:rsid w:val="003A67A5"/>
    <w:rsid w:val="003A67A8"/>
    <w:rsid w:val="003A67B4"/>
    <w:rsid w:val="003A690B"/>
    <w:rsid w:val="003A69A5"/>
    <w:rsid w:val="003A6A60"/>
    <w:rsid w:val="003A6AAA"/>
    <w:rsid w:val="003A6B3B"/>
    <w:rsid w:val="003A6B72"/>
    <w:rsid w:val="003A6CEB"/>
    <w:rsid w:val="003A6CF4"/>
    <w:rsid w:val="003A6E0E"/>
    <w:rsid w:val="003A6E24"/>
    <w:rsid w:val="003A6EAA"/>
    <w:rsid w:val="003A700A"/>
    <w:rsid w:val="003A7032"/>
    <w:rsid w:val="003A704B"/>
    <w:rsid w:val="003A7059"/>
    <w:rsid w:val="003A707A"/>
    <w:rsid w:val="003A70AE"/>
    <w:rsid w:val="003A711C"/>
    <w:rsid w:val="003A722D"/>
    <w:rsid w:val="003A725B"/>
    <w:rsid w:val="003A726C"/>
    <w:rsid w:val="003A728A"/>
    <w:rsid w:val="003A7333"/>
    <w:rsid w:val="003A745D"/>
    <w:rsid w:val="003A74D0"/>
    <w:rsid w:val="003A74F4"/>
    <w:rsid w:val="003A769E"/>
    <w:rsid w:val="003A76E7"/>
    <w:rsid w:val="003A7780"/>
    <w:rsid w:val="003A794E"/>
    <w:rsid w:val="003A799B"/>
    <w:rsid w:val="003A79A6"/>
    <w:rsid w:val="003A7A3A"/>
    <w:rsid w:val="003A7BBE"/>
    <w:rsid w:val="003A7BC8"/>
    <w:rsid w:val="003A7C0E"/>
    <w:rsid w:val="003A7E0A"/>
    <w:rsid w:val="003A7E3F"/>
    <w:rsid w:val="003A7E44"/>
    <w:rsid w:val="003A7E51"/>
    <w:rsid w:val="003A7E58"/>
    <w:rsid w:val="003A7E7B"/>
    <w:rsid w:val="003A7F75"/>
    <w:rsid w:val="003A7FD8"/>
    <w:rsid w:val="003A7FDA"/>
    <w:rsid w:val="003B0059"/>
    <w:rsid w:val="003B017C"/>
    <w:rsid w:val="003B0182"/>
    <w:rsid w:val="003B018F"/>
    <w:rsid w:val="003B0254"/>
    <w:rsid w:val="003B034B"/>
    <w:rsid w:val="003B03AA"/>
    <w:rsid w:val="003B0472"/>
    <w:rsid w:val="003B04A1"/>
    <w:rsid w:val="003B04DC"/>
    <w:rsid w:val="003B053F"/>
    <w:rsid w:val="003B0547"/>
    <w:rsid w:val="003B05C3"/>
    <w:rsid w:val="003B05ED"/>
    <w:rsid w:val="003B077B"/>
    <w:rsid w:val="003B07FC"/>
    <w:rsid w:val="003B0825"/>
    <w:rsid w:val="003B0827"/>
    <w:rsid w:val="003B08C8"/>
    <w:rsid w:val="003B093C"/>
    <w:rsid w:val="003B0AE3"/>
    <w:rsid w:val="003B0B22"/>
    <w:rsid w:val="003B0B70"/>
    <w:rsid w:val="003B0BBA"/>
    <w:rsid w:val="003B0BCB"/>
    <w:rsid w:val="003B0C12"/>
    <w:rsid w:val="003B0CDC"/>
    <w:rsid w:val="003B0D4B"/>
    <w:rsid w:val="003B0D66"/>
    <w:rsid w:val="003B0DC7"/>
    <w:rsid w:val="003B0E29"/>
    <w:rsid w:val="003B0E88"/>
    <w:rsid w:val="003B0EAA"/>
    <w:rsid w:val="003B0EE9"/>
    <w:rsid w:val="003B0F3E"/>
    <w:rsid w:val="003B0FDC"/>
    <w:rsid w:val="003B1087"/>
    <w:rsid w:val="003B1118"/>
    <w:rsid w:val="003B113C"/>
    <w:rsid w:val="003B115E"/>
    <w:rsid w:val="003B11E9"/>
    <w:rsid w:val="003B11FA"/>
    <w:rsid w:val="003B1259"/>
    <w:rsid w:val="003B127D"/>
    <w:rsid w:val="003B13E6"/>
    <w:rsid w:val="003B1408"/>
    <w:rsid w:val="003B144D"/>
    <w:rsid w:val="003B14F8"/>
    <w:rsid w:val="003B1813"/>
    <w:rsid w:val="003B1839"/>
    <w:rsid w:val="003B1941"/>
    <w:rsid w:val="003B1A5C"/>
    <w:rsid w:val="003B1A6C"/>
    <w:rsid w:val="003B1BAE"/>
    <w:rsid w:val="003B1C41"/>
    <w:rsid w:val="003B1DB5"/>
    <w:rsid w:val="003B1E55"/>
    <w:rsid w:val="003B1E7A"/>
    <w:rsid w:val="003B1F10"/>
    <w:rsid w:val="003B1F7B"/>
    <w:rsid w:val="003B1FAF"/>
    <w:rsid w:val="003B1FD4"/>
    <w:rsid w:val="003B1FEF"/>
    <w:rsid w:val="003B1FFD"/>
    <w:rsid w:val="003B20BF"/>
    <w:rsid w:val="003B211C"/>
    <w:rsid w:val="003B2148"/>
    <w:rsid w:val="003B21DB"/>
    <w:rsid w:val="003B21E1"/>
    <w:rsid w:val="003B21FC"/>
    <w:rsid w:val="003B2262"/>
    <w:rsid w:val="003B236A"/>
    <w:rsid w:val="003B24C0"/>
    <w:rsid w:val="003B250B"/>
    <w:rsid w:val="003B25EE"/>
    <w:rsid w:val="003B2602"/>
    <w:rsid w:val="003B2725"/>
    <w:rsid w:val="003B274B"/>
    <w:rsid w:val="003B277F"/>
    <w:rsid w:val="003B27FD"/>
    <w:rsid w:val="003B280A"/>
    <w:rsid w:val="003B2955"/>
    <w:rsid w:val="003B2AD2"/>
    <w:rsid w:val="003B2C06"/>
    <w:rsid w:val="003B2C5C"/>
    <w:rsid w:val="003B2D58"/>
    <w:rsid w:val="003B2EDF"/>
    <w:rsid w:val="003B2FC2"/>
    <w:rsid w:val="003B3075"/>
    <w:rsid w:val="003B31D9"/>
    <w:rsid w:val="003B3250"/>
    <w:rsid w:val="003B326E"/>
    <w:rsid w:val="003B32A0"/>
    <w:rsid w:val="003B32D3"/>
    <w:rsid w:val="003B32FC"/>
    <w:rsid w:val="003B35CE"/>
    <w:rsid w:val="003B3628"/>
    <w:rsid w:val="003B3752"/>
    <w:rsid w:val="003B382D"/>
    <w:rsid w:val="003B39D2"/>
    <w:rsid w:val="003B3B47"/>
    <w:rsid w:val="003B3B66"/>
    <w:rsid w:val="003B3CA7"/>
    <w:rsid w:val="003B3CA9"/>
    <w:rsid w:val="003B3CF2"/>
    <w:rsid w:val="003B3D6B"/>
    <w:rsid w:val="003B3E01"/>
    <w:rsid w:val="003B3E24"/>
    <w:rsid w:val="003B3EAB"/>
    <w:rsid w:val="003B3F6B"/>
    <w:rsid w:val="003B3F93"/>
    <w:rsid w:val="003B409B"/>
    <w:rsid w:val="003B40D9"/>
    <w:rsid w:val="003B4179"/>
    <w:rsid w:val="003B42B0"/>
    <w:rsid w:val="003B430A"/>
    <w:rsid w:val="003B43C9"/>
    <w:rsid w:val="003B43F3"/>
    <w:rsid w:val="003B442B"/>
    <w:rsid w:val="003B44AF"/>
    <w:rsid w:val="003B44FF"/>
    <w:rsid w:val="003B45A0"/>
    <w:rsid w:val="003B45A9"/>
    <w:rsid w:val="003B4684"/>
    <w:rsid w:val="003B46FD"/>
    <w:rsid w:val="003B4829"/>
    <w:rsid w:val="003B4854"/>
    <w:rsid w:val="003B48E7"/>
    <w:rsid w:val="003B4A6A"/>
    <w:rsid w:val="003B4AAD"/>
    <w:rsid w:val="003B4B28"/>
    <w:rsid w:val="003B4BE3"/>
    <w:rsid w:val="003B4BFA"/>
    <w:rsid w:val="003B4DC7"/>
    <w:rsid w:val="003B4E49"/>
    <w:rsid w:val="003B4EAE"/>
    <w:rsid w:val="003B4F8A"/>
    <w:rsid w:val="003B4FB4"/>
    <w:rsid w:val="003B5070"/>
    <w:rsid w:val="003B5080"/>
    <w:rsid w:val="003B5097"/>
    <w:rsid w:val="003B518E"/>
    <w:rsid w:val="003B5202"/>
    <w:rsid w:val="003B5275"/>
    <w:rsid w:val="003B52F4"/>
    <w:rsid w:val="003B5353"/>
    <w:rsid w:val="003B5499"/>
    <w:rsid w:val="003B5502"/>
    <w:rsid w:val="003B557B"/>
    <w:rsid w:val="003B55E2"/>
    <w:rsid w:val="003B5611"/>
    <w:rsid w:val="003B570F"/>
    <w:rsid w:val="003B5781"/>
    <w:rsid w:val="003B57D2"/>
    <w:rsid w:val="003B589F"/>
    <w:rsid w:val="003B590F"/>
    <w:rsid w:val="003B5959"/>
    <w:rsid w:val="003B5974"/>
    <w:rsid w:val="003B5A2B"/>
    <w:rsid w:val="003B5A78"/>
    <w:rsid w:val="003B5C48"/>
    <w:rsid w:val="003B5CBC"/>
    <w:rsid w:val="003B5CFE"/>
    <w:rsid w:val="003B5D13"/>
    <w:rsid w:val="003B5D3E"/>
    <w:rsid w:val="003B5D71"/>
    <w:rsid w:val="003B5D79"/>
    <w:rsid w:val="003B5E25"/>
    <w:rsid w:val="003B5EFC"/>
    <w:rsid w:val="003B5F67"/>
    <w:rsid w:val="003B5F68"/>
    <w:rsid w:val="003B5F79"/>
    <w:rsid w:val="003B6018"/>
    <w:rsid w:val="003B60DB"/>
    <w:rsid w:val="003B61EB"/>
    <w:rsid w:val="003B6214"/>
    <w:rsid w:val="003B624F"/>
    <w:rsid w:val="003B6267"/>
    <w:rsid w:val="003B6385"/>
    <w:rsid w:val="003B64FB"/>
    <w:rsid w:val="003B651F"/>
    <w:rsid w:val="003B65B4"/>
    <w:rsid w:val="003B65FF"/>
    <w:rsid w:val="003B665B"/>
    <w:rsid w:val="003B6666"/>
    <w:rsid w:val="003B6735"/>
    <w:rsid w:val="003B67F4"/>
    <w:rsid w:val="003B6892"/>
    <w:rsid w:val="003B691A"/>
    <w:rsid w:val="003B693B"/>
    <w:rsid w:val="003B6991"/>
    <w:rsid w:val="003B69F2"/>
    <w:rsid w:val="003B6A4B"/>
    <w:rsid w:val="003B6ACA"/>
    <w:rsid w:val="003B6B1F"/>
    <w:rsid w:val="003B6C5D"/>
    <w:rsid w:val="003B6D2B"/>
    <w:rsid w:val="003B6DD6"/>
    <w:rsid w:val="003B6E25"/>
    <w:rsid w:val="003B6E60"/>
    <w:rsid w:val="003B6F07"/>
    <w:rsid w:val="003B6F56"/>
    <w:rsid w:val="003B6FC9"/>
    <w:rsid w:val="003B70D6"/>
    <w:rsid w:val="003B713C"/>
    <w:rsid w:val="003B71B4"/>
    <w:rsid w:val="003B71EC"/>
    <w:rsid w:val="003B71FF"/>
    <w:rsid w:val="003B7317"/>
    <w:rsid w:val="003B733D"/>
    <w:rsid w:val="003B7439"/>
    <w:rsid w:val="003B758B"/>
    <w:rsid w:val="003B766D"/>
    <w:rsid w:val="003B7686"/>
    <w:rsid w:val="003B7694"/>
    <w:rsid w:val="003B7698"/>
    <w:rsid w:val="003B77E7"/>
    <w:rsid w:val="003B7836"/>
    <w:rsid w:val="003B786F"/>
    <w:rsid w:val="003B7876"/>
    <w:rsid w:val="003B788C"/>
    <w:rsid w:val="003B78BA"/>
    <w:rsid w:val="003B78D2"/>
    <w:rsid w:val="003B78F0"/>
    <w:rsid w:val="003B7B73"/>
    <w:rsid w:val="003B7BD5"/>
    <w:rsid w:val="003B7D30"/>
    <w:rsid w:val="003B7DB2"/>
    <w:rsid w:val="003C001E"/>
    <w:rsid w:val="003C0030"/>
    <w:rsid w:val="003C0079"/>
    <w:rsid w:val="003C00A1"/>
    <w:rsid w:val="003C0136"/>
    <w:rsid w:val="003C01E0"/>
    <w:rsid w:val="003C0201"/>
    <w:rsid w:val="003C021D"/>
    <w:rsid w:val="003C0310"/>
    <w:rsid w:val="003C0335"/>
    <w:rsid w:val="003C0353"/>
    <w:rsid w:val="003C0363"/>
    <w:rsid w:val="003C0379"/>
    <w:rsid w:val="003C03BB"/>
    <w:rsid w:val="003C042E"/>
    <w:rsid w:val="003C0435"/>
    <w:rsid w:val="003C0487"/>
    <w:rsid w:val="003C04B7"/>
    <w:rsid w:val="003C04E9"/>
    <w:rsid w:val="003C0589"/>
    <w:rsid w:val="003C0994"/>
    <w:rsid w:val="003C0A61"/>
    <w:rsid w:val="003C0A67"/>
    <w:rsid w:val="003C0B8B"/>
    <w:rsid w:val="003C0BC5"/>
    <w:rsid w:val="003C0CB5"/>
    <w:rsid w:val="003C0CEE"/>
    <w:rsid w:val="003C0D55"/>
    <w:rsid w:val="003C0EE9"/>
    <w:rsid w:val="003C10F5"/>
    <w:rsid w:val="003C1148"/>
    <w:rsid w:val="003C1274"/>
    <w:rsid w:val="003C12D7"/>
    <w:rsid w:val="003C12F5"/>
    <w:rsid w:val="003C13F8"/>
    <w:rsid w:val="003C14C7"/>
    <w:rsid w:val="003C1539"/>
    <w:rsid w:val="003C153E"/>
    <w:rsid w:val="003C15BE"/>
    <w:rsid w:val="003C1679"/>
    <w:rsid w:val="003C16B1"/>
    <w:rsid w:val="003C16FE"/>
    <w:rsid w:val="003C174B"/>
    <w:rsid w:val="003C17CA"/>
    <w:rsid w:val="003C1838"/>
    <w:rsid w:val="003C1A27"/>
    <w:rsid w:val="003C1A5B"/>
    <w:rsid w:val="003C1A80"/>
    <w:rsid w:val="003C1B6F"/>
    <w:rsid w:val="003C1C92"/>
    <w:rsid w:val="003C1D47"/>
    <w:rsid w:val="003C1DBD"/>
    <w:rsid w:val="003C1E20"/>
    <w:rsid w:val="003C1EF1"/>
    <w:rsid w:val="003C1F86"/>
    <w:rsid w:val="003C1F9A"/>
    <w:rsid w:val="003C2112"/>
    <w:rsid w:val="003C21A4"/>
    <w:rsid w:val="003C21CD"/>
    <w:rsid w:val="003C22A3"/>
    <w:rsid w:val="003C22FB"/>
    <w:rsid w:val="003C2343"/>
    <w:rsid w:val="003C2372"/>
    <w:rsid w:val="003C2476"/>
    <w:rsid w:val="003C24C2"/>
    <w:rsid w:val="003C2792"/>
    <w:rsid w:val="003C2855"/>
    <w:rsid w:val="003C289D"/>
    <w:rsid w:val="003C28A8"/>
    <w:rsid w:val="003C2944"/>
    <w:rsid w:val="003C2A0E"/>
    <w:rsid w:val="003C2B22"/>
    <w:rsid w:val="003C2BA0"/>
    <w:rsid w:val="003C2C07"/>
    <w:rsid w:val="003C2C11"/>
    <w:rsid w:val="003C2C24"/>
    <w:rsid w:val="003C2C31"/>
    <w:rsid w:val="003C2D09"/>
    <w:rsid w:val="003C2D1F"/>
    <w:rsid w:val="003C2DA4"/>
    <w:rsid w:val="003C2DE8"/>
    <w:rsid w:val="003C2EDC"/>
    <w:rsid w:val="003C3010"/>
    <w:rsid w:val="003C304A"/>
    <w:rsid w:val="003C305C"/>
    <w:rsid w:val="003C308B"/>
    <w:rsid w:val="003C30A4"/>
    <w:rsid w:val="003C30DD"/>
    <w:rsid w:val="003C3171"/>
    <w:rsid w:val="003C3201"/>
    <w:rsid w:val="003C3366"/>
    <w:rsid w:val="003C336B"/>
    <w:rsid w:val="003C340F"/>
    <w:rsid w:val="003C35B0"/>
    <w:rsid w:val="003C35DD"/>
    <w:rsid w:val="003C3664"/>
    <w:rsid w:val="003C369E"/>
    <w:rsid w:val="003C36D1"/>
    <w:rsid w:val="003C37B0"/>
    <w:rsid w:val="003C386B"/>
    <w:rsid w:val="003C39AA"/>
    <w:rsid w:val="003C39B9"/>
    <w:rsid w:val="003C39E1"/>
    <w:rsid w:val="003C3A0E"/>
    <w:rsid w:val="003C3A7B"/>
    <w:rsid w:val="003C3B71"/>
    <w:rsid w:val="003C3B7F"/>
    <w:rsid w:val="003C3B82"/>
    <w:rsid w:val="003C3BBD"/>
    <w:rsid w:val="003C3C9E"/>
    <w:rsid w:val="003C3CA5"/>
    <w:rsid w:val="003C3D36"/>
    <w:rsid w:val="003C4006"/>
    <w:rsid w:val="003C406F"/>
    <w:rsid w:val="003C4122"/>
    <w:rsid w:val="003C42DC"/>
    <w:rsid w:val="003C431B"/>
    <w:rsid w:val="003C4331"/>
    <w:rsid w:val="003C439C"/>
    <w:rsid w:val="003C4439"/>
    <w:rsid w:val="003C445B"/>
    <w:rsid w:val="003C466B"/>
    <w:rsid w:val="003C46D0"/>
    <w:rsid w:val="003C47B7"/>
    <w:rsid w:val="003C47BF"/>
    <w:rsid w:val="003C494D"/>
    <w:rsid w:val="003C4B28"/>
    <w:rsid w:val="003C4B37"/>
    <w:rsid w:val="003C4B88"/>
    <w:rsid w:val="003C4CA2"/>
    <w:rsid w:val="003C4DBE"/>
    <w:rsid w:val="003C4E0E"/>
    <w:rsid w:val="003C4E81"/>
    <w:rsid w:val="003C4EDD"/>
    <w:rsid w:val="003C5007"/>
    <w:rsid w:val="003C5057"/>
    <w:rsid w:val="003C511E"/>
    <w:rsid w:val="003C514E"/>
    <w:rsid w:val="003C516C"/>
    <w:rsid w:val="003C5181"/>
    <w:rsid w:val="003C51C9"/>
    <w:rsid w:val="003C5218"/>
    <w:rsid w:val="003C523D"/>
    <w:rsid w:val="003C52CA"/>
    <w:rsid w:val="003C52DE"/>
    <w:rsid w:val="003C53AA"/>
    <w:rsid w:val="003C5485"/>
    <w:rsid w:val="003C55E5"/>
    <w:rsid w:val="003C56E3"/>
    <w:rsid w:val="003C56E6"/>
    <w:rsid w:val="003C56F3"/>
    <w:rsid w:val="003C5914"/>
    <w:rsid w:val="003C596C"/>
    <w:rsid w:val="003C597F"/>
    <w:rsid w:val="003C59F4"/>
    <w:rsid w:val="003C5ADC"/>
    <w:rsid w:val="003C5B04"/>
    <w:rsid w:val="003C5B97"/>
    <w:rsid w:val="003C5C98"/>
    <w:rsid w:val="003C5CA1"/>
    <w:rsid w:val="003C5CA7"/>
    <w:rsid w:val="003C5D24"/>
    <w:rsid w:val="003C5D7A"/>
    <w:rsid w:val="003C5E5D"/>
    <w:rsid w:val="003C5EF1"/>
    <w:rsid w:val="003C5F73"/>
    <w:rsid w:val="003C5FC8"/>
    <w:rsid w:val="003C614B"/>
    <w:rsid w:val="003C631B"/>
    <w:rsid w:val="003C63D9"/>
    <w:rsid w:val="003C649B"/>
    <w:rsid w:val="003C64CE"/>
    <w:rsid w:val="003C64FC"/>
    <w:rsid w:val="003C6808"/>
    <w:rsid w:val="003C6875"/>
    <w:rsid w:val="003C6912"/>
    <w:rsid w:val="003C6972"/>
    <w:rsid w:val="003C69C9"/>
    <w:rsid w:val="003C6AA5"/>
    <w:rsid w:val="003C6ABC"/>
    <w:rsid w:val="003C6BBA"/>
    <w:rsid w:val="003C6BBE"/>
    <w:rsid w:val="003C6BC1"/>
    <w:rsid w:val="003C6BE1"/>
    <w:rsid w:val="003C6BE5"/>
    <w:rsid w:val="003C6D0D"/>
    <w:rsid w:val="003C6D58"/>
    <w:rsid w:val="003C6DAC"/>
    <w:rsid w:val="003C6E9E"/>
    <w:rsid w:val="003C6EA0"/>
    <w:rsid w:val="003C6EA5"/>
    <w:rsid w:val="003C6F52"/>
    <w:rsid w:val="003C7044"/>
    <w:rsid w:val="003C704E"/>
    <w:rsid w:val="003C705C"/>
    <w:rsid w:val="003C7128"/>
    <w:rsid w:val="003C7147"/>
    <w:rsid w:val="003C71A9"/>
    <w:rsid w:val="003C7223"/>
    <w:rsid w:val="003C72AB"/>
    <w:rsid w:val="003C7349"/>
    <w:rsid w:val="003C7383"/>
    <w:rsid w:val="003C73A7"/>
    <w:rsid w:val="003C73BD"/>
    <w:rsid w:val="003C75B4"/>
    <w:rsid w:val="003C75C2"/>
    <w:rsid w:val="003C760B"/>
    <w:rsid w:val="003C76E0"/>
    <w:rsid w:val="003C7732"/>
    <w:rsid w:val="003C7734"/>
    <w:rsid w:val="003C7757"/>
    <w:rsid w:val="003C7790"/>
    <w:rsid w:val="003C78D6"/>
    <w:rsid w:val="003C7927"/>
    <w:rsid w:val="003C794D"/>
    <w:rsid w:val="003C79DB"/>
    <w:rsid w:val="003C7A8D"/>
    <w:rsid w:val="003C7A95"/>
    <w:rsid w:val="003C7AB6"/>
    <w:rsid w:val="003C7B04"/>
    <w:rsid w:val="003C7B0A"/>
    <w:rsid w:val="003C7BCB"/>
    <w:rsid w:val="003C7C17"/>
    <w:rsid w:val="003C7C3D"/>
    <w:rsid w:val="003C7CA4"/>
    <w:rsid w:val="003C7CBA"/>
    <w:rsid w:val="003C7DB4"/>
    <w:rsid w:val="003C7DDB"/>
    <w:rsid w:val="003C7E26"/>
    <w:rsid w:val="003C7E36"/>
    <w:rsid w:val="003C7E3F"/>
    <w:rsid w:val="003C7E7B"/>
    <w:rsid w:val="003D00AC"/>
    <w:rsid w:val="003D0290"/>
    <w:rsid w:val="003D02E6"/>
    <w:rsid w:val="003D038F"/>
    <w:rsid w:val="003D03FC"/>
    <w:rsid w:val="003D046D"/>
    <w:rsid w:val="003D04F0"/>
    <w:rsid w:val="003D06A6"/>
    <w:rsid w:val="003D07BB"/>
    <w:rsid w:val="003D0A46"/>
    <w:rsid w:val="003D0A79"/>
    <w:rsid w:val="003D0AC7"/>
    <w:rsid w:val="003D0B3E"/>
    <w:rsid w:val="003D0B54"/>
    <w:rsid w:val="003D0B7D"/>
    <w:rsid w:val="003D0CCE"/>
    <w:rsid w:val="003D0D37"/>
    <w:rsid w:val="003D0E22"/>
    <w:rsid w:val="003D0F62"/>
    <w:rsid w:val="003D0FB0"/>
    <w:rsid w:val="003D10B9"/>
    <w:rsid w:val="003D1133"/>
    <w:rsid w:val="003D1195"/>
    <w:rsid w:val="003D1223"/>
    <w:rsid w:val="003D1249"/>
    <w:rsid w:val="003D1319"/>
    <w:rsid w:val="003D135C"/>
    <w:rsid w:val="003D1387"/>
    <w:rsid w:val="003D1499"/>
    <w:rsid w:val="003D1591"/>
    <w:rsid w:val="003D1659"/>
    <w:rsid w:val="003D166C"/>
    <w:rsid w:val="003D172E"/>
    <w:rsid w:val="003D174C"/>
    <w:rsid w:val="003D17A8"/>
    <w:rsid w:val="003D1815"/>
    <w:rsid w:val="003D1973"/>
    <w:rsid w:val="003D19E2"/>
    <w:rsid w:val="003D1A33"/>
    <w:rsid w:val="003D1A4C"/>
    <w:rsid w:val="003D1A61"/>
    <w:rsid w:val="003D1B2E"/>
    <w:rsid w:val="003D1C41"/>
    <w:rsid w:val="003D1C75"/>
    <w:rsid w:val="003D1C76"/>
    <w:rsid w:val="003D1D57"/>
    <w:rsid w:val="003D1D8F"/>
    <w:rsid w:val="003D1E23"/>
    <w:rsid w:val="003D1EB1"/>
    <w:rsid w:val="003D1F81"/>
    <w:rsid w:val="003D2000"/>
    <w:rsid w:val="003D2009"/>
    <w:rsid w:val="003D20D1"/>
    <w:rsid w:val="003D2116"/>
    <w:rsid w:val="003D2170"/>
    <w:rsid w:val="003D21AE"/>
    <w:rsid w:val="003D2212"/>
    <w:rsid w:val="003D2376"/>
    <w:rsid w:val="003D240F"/>
    <w:rsid w:val="003D2436"/>
    <w:rsid w:val="003D243F"/>
    <w:rsid w:val="003D24AF"/>
    <w:rsid w:val="003D2504"/>
    <w:rsid w:val="003D25C1"/>
    <w:rsid w:val="003D26A2"/>
    <w:rsid w:val="003D26BE"/>
    <w:rsid w:val="003D2945"/>
    <w:rsid w:val="003D29E1"/>
    <w:rsid w:val="003D2B1E"/>
    <w:rsid w:val="003D2B24"/>
    <w:rsid w:val="003D2BEC"/>
    <w:rsid w:val="003D2C06"/>
    <w:rsid w:val="003D2C21"/>
    <w:rsid w:val="003D2C2B"/>
    <w:rsid w:val="003D2C6A"/>
    <w:rsid w:val="003D2C7B"/>
    <w:rsid w:val="003D2C7E"/>
    <w:rsid w:val="003D2C90"/>
    <w:rsid w:val="003D2E8B"/>
    <w:rsid w:val="003D2EC5"/>
    <w:rsid w:val="003D2EE3"/>
    <w:rsid w:val="003D3147"/>
    <w:rsid w:val="003D314A"/>
    <w:rsid w:val="003D3214"/>
    <w:rsid w:val="003D3295"/>
    <w:rsid w:val="003D336F"/>
    <w:rsid w:val="003D3495"/>
    <w:rsid w:val="003D3517"/>
    <w:rsid w:val="003D35C2"/>
    <w:rsid w:val="003D35D9"/>
    <w:rsid w:val="003D366D"/>
    <w:rsid w:val="003D372D"/>
    <w:rsid w:val="003D37BC"/>
    <w:rsid w:val="003D37D1"/>
    <w:rsid w:val="003D37E4"/>
    <w:rsid w:val="003D390B"/>
    <w:rsid w:val="003D39A7"/>
    <w:rsid w:val="003D39F8"/>
    <w:rsid w:val="003D3A03"/>
    <w:rsid w:val="003D3A24"/>
    <w:rsid w:val="003D3A41"/>
    <w:rsid w:val="003D3ABF"/>
    <w:rsid w:val="003D3B2C"/>
    <w:rsid w:val="003D3B96"/>
    <w:rsid w:val="003D3C80"/>
    <w:rsid w:val="003D3C98"/>
    <w:rsid w:val="003D3CB8"/>
    <w:rsid w:val="003D3D41"/>
    <w:rsid w:val="003D3DE1"/>
    <w:rsid w:val="003D3E9A"/>
    <w:rsid w:val="003D3FC3"/>
    <w:rsid w:val="003D3FFD"/>
    <w:rsid w:val="003D4016"/>
    <w:rsid w:val="003D4090"/>
    <w:rsid w:val="003D4160"/>
    <w:rsid w:val="003D4261"/>
    <w:rsid w:val="003D42F6"/>
    <w:rsid w:val="003D43A9"/>
    <w:rsid w:val="003D43C0"/>
    <w:rsid w:val="003D43DD"/>
    <w:rsid w:val="003D43EF"/>
    <w:rsid w:val="003D4416"/>
    <w:rsid w:val="003D4487"/>
    <w:rsid w:val="003D454E"/>
    <w:rsid w:val="003D45C7"/>
    <w:rsid w:val="003D461D"/>
    <w:rsid w:val="003D47D6"/>
    <w:rsid w:val="003D4966"/>
    <w:rsid w:val="003D49CD"/>
    <w:rsid w:val="003D49DD"/>
    <w:rsid w:val="003D4B6D"/>
    <w:rsid w:val="003D4BEE"/>
    <w:rsid w:val="003D4CAA"/>
    <w:rsid w:val="003D4D0C"/>
    <w:rsid w:val="003D505B"/>
    <w:rsid w:val="003D509B"/>
    <w:rsid w:val="003D52A3"/>
    <w:rsid w:val="003D5364"/>
    <w:rsid w:val="003D5371"/>
    <w:rsid w:val="003D5458"/>
    <w:rsid w:val="003D548B"/>
    <w:rsid w:val="003D552D"/>
    <w:rsid w:val="003D5533"/>
    <w:rsid w:val="003D555E"/>
    <w:rsid w:val="003D55A2"/>
    <w:rsid w:val="003D55AF"/>
    <w:rsid w:val="003D5734"/>
    <w:rsid w:val="003D58D6"/>
    <w:rsid w:val="003D58DA"/>
    <w:rsid w:val="003D5A54"/>
    <w:rsid w:val="003D5AA7"/>
    <w:rsid w:val="003D5B98"/>
    <w:rsid w:val="003D5B99"/>
    <w:rsid w:val="003D5BA3"/>
    <w:rsid w:val="003D5BF4"/>
    <w:rsid w:val="003D5D11"/>
    <w:rsid w:val="003D5D54"/>
    <w:rsid w:val="003D5E13"/>
    <w:rsid w:val="003D5EDB"/>
    <w:rsid w:val="003D5F10"/>
    <w:rsid w:val="003D626E"/>
    <w:rsid w:val="003D6337"/>
    <w:rsid w:val="003D635E"/>
    <w:rsid w:val="003D6445"/>
    <w:rsid w:val="003D645F"/>
    <w:rsid w:val="003D65FB"/>
    <w:rsid w:val="003D675C"/>
    <w:rsid w:val="003D6844"/>
    <w:rsid w:val="003D685A"/>
    <w:rsid w:val="003D68E8"/>
    <w:rsid w:val="003D692D"/>
    <w:rsid w:val="003D694D"/>
    <w:rsid w:val="003D6976"/>
    <w:rsid w:val="003D69BE"/>
    <w:rsid w:val="003D6B47"/>
    <w:rsid w:val="003D6BB1"/>
    <w:rsid w:val="003D6C02"/>
    <w:rsid w:val="003D6D89"/>
    <w:rsid w:val="003D6DFF"/>
    <w:rsid w:val="003D6EC9"/>
    <w:rsid w:val="003D6F08"/>
    <w:rsid w:val="003D6F84"/>
    <w:rsid w:val="003D6FB0"/>
    <w:rsid w:val="003D6FE4"/>
    <w:rsid w:val="003D7065"/>
    <w:rsid w:val="003D71BD"/>
    <w:rsid w:val="003D71ED"/>
    <w:rsid w:val="003D71F9"/>
    <w:rsid w:val="003D720D"/>
    <w:rsid w:val="003D7239"/>
    <w:rsid w:val="003D72B7"/>
    <w:rsid w:val="003D7373"/>
    <w:rsid w:val="003D7488"/>
    <w:rsid w:val="003D74C7"/>
    <w:rsid w:val="003D74DA"/>
    <w:rsid w:val="003D75A1"/>
    <w:rsid w:val="003D75F6"/>
    <w:rsid w:val="003D764D"/>
    <w:rsid w:val="003D7842"/>
    <w:rsid w:val="003D7884"/>
    <w:rsid w:val="003D78E1"/>
    <w:rsid w:val="003D7B8F"/>
    <w:rsid w:val="003D7BB2"/>
    <w:rsid w:val="003D7BD7"/>
    <w:rsid w:val="003D7BE0"/>
    <w:rsid w:val="003D7C18"/>
    <w:rsid w:val="003D7C1B"/>
    <w:rsid w:val="003D7EB7"/>
    <w:rsid w:val="003D7F15"/>
    <w:rsid w:val="003D7F5F"/>
    <w:rsid w:val="003D7FBE"/>
    <w:rsid w:val="003D7FEE"/>
    <w:rsid w:val="003E012D"/>
    <w:rsid w:val="003E014B"/>
    <w:rsid w:val="003E0212"/>
    <w:rsid w:val="003E022F"/>
    <w:rsid w:val="003E0371"/>
    <w:rsid w:val="003E04B0"/>
    <w:rsid w:val="003E04F8"/>
    <w:rsid w:val="003E0514"/>
    <w:rsid w:val="003E0573"/>
    <w:rsid w:val="003E05C7"/>
    <w:rsid w:val="003E05D0"/>
    <w:rsid w:val="003E0659"/>
    <w:rsid w:val="003E0666"/>
    <w:rsid w:val="003E0670"/>
    <w:rsid w:val="003E0699"/>
    <w:rsid w:val="003E069B"/>
    <w:rsid w:val="003E07D6"/>
    <w:rsid w:val="003E090C"/>
    <w:rsid w:val="003E09B8"/>
    <w:rsid w:val="003E09DD"/>
    <w:rsid w:val="003E0A8A"/>
    <w:rsid w:val="003E0B1E"/>
    <w:rsid w:val="003E0BA7"/>
    <w:rsid w:val="003E0BDB"/>
    <w:rsid w:val="003E0BF2"/>
    <w:rsid w:val="003E0C03"/>
    <w:rsid w:val="003E0C8E"/>
    <w:rsid w:val="003E0CF8"/>
    <w:rsid w:val="003E0DA3"/>
    <w:rsid w:val="003E0DEC"/>
    <w:rsid w:val="003E0E7A"/>
    <w:rsid w:val="003E0EAF"/>
    <w:rsid w:val="003E0F73"/>
    <w:rsid w:val="003E0FE8"/>
    <w:rsid w:val="003E1069"/>
    <w:rsid w:val="003E10E9"/>
    <w:rsid w:val="003E110A"/>
    <w:rsid w:val="003E1137"/>
    <w:rsid w:val="003E117F"/>
    <w:rsid w:val="003E11B0"/>
    <w:rsid w:val="003E11BB"/>
    <w:rsid w:val="003E11F7"/>
    <w:rsid w:val="003E124D"/>
    <w:rsid w:val="003E1299"/>
    <w:rsid w:val="003E13C2"/>
    <w:rsid w:val="003E1452"/>
    <w:rsid w:val="003E14B2"/>
    <w:rsid w:val="003E151D"/>
    <w:rsid w:val="003E1547"/>
    <w:rsid w:val="003E15BA"/>
    <w:rsid w:val="003E160F"/>
    <w:rsid w:val="003E16E5"/>
    <w:rsid w:val="003E1794"/>
    <w:rsid w:val="003E179E"/>
    <w:rsid w:val="003E17D9"/>
    <w:rsid w:val="003E1898"/>
    <w:rsid w:val="003E18AA"/>
    <w:rsid w:val="003E18D2"/>
    <w:rsid w:val="003E19E7"/>
    <w:rsid w:val="003E1A2E"/>
    <w:rsid w:val="003E1A91"/>
    <w:rsid w:val="003E1B20"/>
    <w:rsid w:val="003E1C5A"/>
    <w:rsid w:val="003E1CFE"/>
    <w:rsid w:val="003E1D05"/>
    <w:rsid w:val="003E1D2E"/>
    <w:rsid w:val="003E1D47"/>
    <w:rsid w:val="003E1D6D"/>
    <w:rsid w:val="003E1E0E"/>
    <w:rsid w:val="003E1E1F"/>
    <w:rsid w:val="003E1E4D"/>
    <w:rsid w:val="003E1F8A"/>
    <w:rsid w:val="003E1FED"/>
    <w:rsid w:val="003E213D"/>
    <w:rsid w:val="003E21E4"/>
    <w:rsid w:val="003E2258"/>
    <w:rsid w:val="003E237E"/>
    <w:rsid w:val="003E23BF"/>
    <w:rsid w:val="003E23F7"/>
    <w:rsid w:val="003E245E"/>
    <w:rsid w:val="003E24A5"/>
    <w:rsid w:val="003E2517"/>
    <w:rsid w:val="003E25BC"/>
    <w:rsid w:val="003E2679"/>
    <w:rsid w:val="003E2681"/>
    <w:rsid w:val="003E28ED"/>
    <w:rsid w:val="003E291B"/>
    <w:rsid w:val="003E2949"/>
    <w:rsid w:val="003E2A12"/>
    <w:rsid w:val="003E2A64"/>
    <w:rsid w:val="003E2A74"/>
    <w:rsid w:val="003E2A99"/>
    <w:rsid w:val="003E2B1F"/>
    <w:rsid w:val="003E2BB9"/>
    <w:rsid w:val="003E2D43"/>
    <w:rsid w:val="003E2D59"/>
    <w:rsid w:val="003E2DD1"/>
    <w:rsid w:val="003E2E0E"/>
    <w:rsid w:val="003E2E31"/>
    <w:rsid w:val="003E2E3A"/>
    <w:rsid w:val="003E2E63"/>
    <w:rsid w:val="003E2EA9"/>
    <w:rsid w:val="003E2F4E"/>
    <w:rsid w:val="003E302A"/>
    <w:rsid w:val="003E302B"/>
    <w:rsid w:val="003E3045"/>
    <w:rsid w:val="003E3161"/>
    <w:rsid w:val="003E327E"/>
    <w:rsid w:val="003E328A"/>
    <w:rsid w:val="003E330F"/>
    <w:rsid w:val="003E364A"/>
    <w:rsid w:val="003E36D8"/>
    <w:rsid w:val="003E3703"/>
    <w:rsid w:val="003E3741"/>
    <w:rsid w:val="003E3821"/>
    <w:rsid w:val="003E3864"/>
    <w:rsid w:val="003E38C3"/>
    <w:rsid w:val="003E392E"/>
    <w:rsid w:val="003E3998"/>
    <w:rsid w:val="003E39F6"/>
    <w:rsid w:val="003E3AE4"/>
    <w:rsid w:val="003E3AF1"/>
    <w:rsid w:val="003E3AFB"/>
    <w:rsid w:val="003E3B08"/>
    <w:rsid w:val="003E3B90"/>
    <w:rsid w:val="003E3BD6"/>
    <w:rsid w:val="003E3CA9"/>
    <w:rsid w:val="003E3CD8"/>
    <w:rsid w:val="003E3E28"/>
    <w:rsid w:val="003E3E80"/>
    <w:rsid w:val="003E3F3B"/>
    <w:rsid w:val="003E405B"/>
    <w:rsid w:val="003E424E"/>
    <w:rsid w:val="003E4379"/>
    <w:rsid w:val="003E4436"/>
    <w:rsid w:val="003E452B"/>
    <w:rsid w:val="003E4620"/>
    <w:rsid w:val="003E46EA"/>
    <w:rsid w:val="003E48BC"/>
    <w:rsid w:val="003E4AE0"/>
    <w:rsid w:val="003E4B48"/>
    <w:rsid w:val="003E4C9E"/>
    <w:rsid w:val="003E4CD9"/>
    <w:rsid w:val="003E4D4B"/>
    <w:rsid w:val="003E4E57"/>
    <w:rsid w:val="003E4E61"/>
    <w:rsid w:val="003E4EC3"/>
    <w:rsid w:val="003E4F1D"/>
    <w:rsid w:val="003E4F1F"/>
    <w:rsid w:val="003E4F3E"/>
    <w:rsid w:val="003E4F40"/>
    <w:rsid w:val="003E4F90"/>
    <w:rsid w:val="003E5087"/>
    <w:rsid w:val="003E5142"/>
    <w:rsid w:val="003E5175"/>
    <w:rsid w:val="003E51F6"/>
    <w:rsid w:val="003E52DE"/>
    <w:rsid w:val="003E5368"/>
    <w:rsid w:val="003E5404"/>
    <w:rsid w:val="003E54F9"/>
    <w:rsid w:val="003E560D"/>
    <w:rsid w:val="003E5703"/>
    <w:rsid w:val="003E572B"/>
    <w:rsid w:val="003E5748"/>
    <w:rsid w:val="003E57DD"/>
    <w:rsid w:val="003E5A14"/>
    <w:rsid w:val="003E5C16"/>
    <w:rsid w:val="003E5DBA"/>
    <w:rsid w:val="003E5F4E"/>
    <w:rsid w:val="003E5F59"/>
    <w:rsid w:val="003E6096"/>
    <w:rsid w:val="003E60B9"/>
    <w:rsid w:val="003E60C9"/>
    <w:rsid w:val="003E6125"/>
    <w:rsid w:val="003E614F"/>
    <w:rsid w:val="003E6292"/>
    <w:rsid w:val="003E6431"/>
    <w:rsid w:val="003E6669"/>
    <w:rsid w:val="003E6675"/>
    <w:rsid w:val="003E67DD"/>
    <w:rsid w:val="003E684A"/>
    <w:rsid w:val="003E68ED"/>
    <w:rsid w:val="003E6910"/>
    <w:rsid w:val="003E695F"/>
    <w:rsid w:val="003E6966"/>
    <w:rsid w:val="003E698D"/>
    <w:rsid w:val="003E69FD"/>
    <w:rsid w:val="003E6A01"/>
    <w:rsid w:val="003E6CCD"/>
    <w:rsid w:val="003E6CE1"/>
    <w:rsid w:val="003E6DF6"/>
    <w:rsid w:val="003E6E11"/>
    <w:rsid w:val="003E6E18"/>
    <w:rsid w:val="003E6F1D"/>
    <w:rsid w:val="003E6F6A"/>
    <w:rsid w:val="003E7018"/>
    <w:rsid w:val="003E70BE"/>
    <w:rsid w:val="003E71C6"/>
    <w:rsid w:val="003E722D"/>
    <w:rsid w:val="003E725A"/>
    <w:rsid w:val="003E72A5"/>
    <w:rsid w:val="003E72E3"/>
    <w:rsid w:val="003E7310"/>
    <w:rsid w:val="003E7324"/>
    <w:rsid w:val="003E7525"/>
    <w:rsid w:val="003E7560"/>
    <w:rsid w:val="003E757A"/>
    <w:rsid w:val="003E75E4"/>
    <w:rsid w:val="003E7608"/>
    <w:rsid w:val="003E765B"/>
    <w:rsid w:val="003E7672"/>
    <w:rsid w:val="003E76D3"/>
    <w:rsid w:val="003E76F3"/>
    <w:rsid w:val="003E7757"/>
    <w:rsid w:val="003E7786"/>
    <w:rsid w:val="003E77A8"/>
    <w:rsid w:val="003E77AA"/>
    <w:rsid w:val="003E783E"/>
    <w:rsid w:val="003E7873"/>
    <w:rsid w:val="003E78B8"/>
    <w:rsid w:val="003E78D8"/>
    <w:rsid w:val="003E78E7"/>
    <w:rsid w:val="003E7A04"/>
    <w:rsid w:val="003E7BEE"/>
    <w:rsid w:val="003E7CD6"/>
    <w:rsid w:val="003E7D62"/>
    <w:rsid w:val="003E7DC1"/>
    <w:rsid w:val="003E7DD4"/>
    <w:rsid w:val="003E7E42"/>
    <w:rsid w:val="003E7F2C"/>
    <w:rsid w:val="003E7F96"/>
    <w:rsid w:val="003E7FD0"/>
    <w:rsid w:val="003F006D"/>
    <w:rsid w:val="003F00A8"/>
    <w:rsid w:val="003F0272"/>
    <w:rsid w:val="003F03B9"/>
    <w:rsid w:val="003F0589"/>
    <w:rsid w:val="003F0704"/>
    <w:rsid w:val="003F07B6"/>
    <w:rsid w:val="003F0906"/>
    <w:rsid w:val="003F09DE"/>
    <w:rsid w:val="003F0A3C"/>
    <w:rsid w:val="003F0A70"/>
    <w:rsid w:val="003F0ADC"/>
    <w:rsid w:val="003F0B17"/>
    <w:rsid w:val="003F0B37"/>
    <w:rsid w:val="003F0B47"/>
    <w:rsid w:val="003F0B90"/>
    <w:rsid w:val="003F0C45"/>
    <w:rsid w:val="003F0CDA"/>
    <w:rsid w:val="003F0D20"/>
    <w:rsid w:val="003F0DBE"/>
    <w:rsid w:val="003F0F7D"/>
    <w:rsid w:val="003F0F98"/>
    <w:rsid w:val="003F0FD7"/>
    <w:rsid w:val="003F1073"/>
    <w:rsid w:val="003F1185"/>
    <w:rsid w:val="003F11A1"/>
    <w:rsid w:val="003F11BA"/>
    <w:rsid w:val="003F11CE"/>
    <w:rsid w:val="003F1269"/>
    <w:rsid w:val="003F1277"/>
    <w:rsid w:val="003F1321"/>
    <w:rsid w:val="003F14AA"/>
    <w:rsid w:val="003F1543"/>
    <w:rsid w:val="003F155D"/>
    <w:rsid w:val="003F1600"/>
    <w:rsid w:val="003F1686"/>
    <w:rsid w:val="003F1687"/>
    <w:rsid w:val="003F175F"/>
    <w:rsid w:val="003F1778"/>
    <w:rsid w:val="003F1801"/>
    <w:rsid w:val="003F1815"/>
    <w:rsid w:val="003F19A6"/>
    <w:rsid w:val="003F1B65"/>
    <w:rsid w:val="003F1C93"/>
    <w:rsid w:val="003F1DE5"/>
    <w:rsid w:val="003F1E26"/>
    <w:rsid w:val="003F1EE5"/>
    <w:rsid w:val="003F2041"/>
    <w:rsid w:val="003F2042"/>
    <w:rsid w:val="003F227B"/>
    <w:rsid w:val="003F2287"/>
    <w:rsid w:val="003F22B2"/>
    <w:rsid w:val="003F22F9"/>
    <w:rsid w:val="003F231B"/>
    <w:rsid w:val="003F23A0"/>
    <w:rsid w:val="003F23E1"/>
    <w:rsid w:val="003F2402"/>
    <w:rsid w:val="003F240B"/>
    <w:rsid w:val="003F2413"/>
    <w:rsid w:val="003F242A"/>
    <w:rsid w:val="003F249B"/>
    <w:rsid w:val="003F2509"/>
    <w:rsid w:val="003F2546"/>
    <w:rsid w:val="003F257D"/>
    <w:rsid w:val="003F2677"/>
    <w:rsid w:val="003F2683"/>
    <w:rsid w:val="003F26B2"/>
    <w:rsid w:val="003F26C7"/>
    <w:rsid w:val="003F26F5"/>
    <w:rsid w:val="003F2761"/>
    <w:rsid w:val="003F27E4"/>
    <w:rsid w:val="003F282D"/>
    <w:rsid w:val="003F2894"/>
    <w:rsid w:val="003F28B0"/>
    <w:rsid w:val="003F28C9"/>
    <w:rsid w:val="003F28D8"/>
    <w:rsid w:val="003F28E8"/>
    <w:rsid w:val="003F294A"/>
    <w:rsid w:val="003F2C99"/>
    <w:rsid w:val="003F2CAE"/>
    <w:rsid w:val="003F2CB3"/>
    <w:rsid w:val="003F2D8E"/>
    <w:rsid w:val="003F2E36"/>
    <w:rsid w:val="003F2F34"/>
    <w:rsid w:val="003F2F9A"/>
    <w:rsid w:val="003F3052"/>
    <w:rsid w:val="003F3281"/>
    <w:rsid w:val="003F3405"/>
    <w:rsid w:val="003F3496"/>
    <w:rsid w:val="003F35DD"/>
    <w:rsid w:val="003F3662"/>
    <w:rsid w:val="003F367C"/>
    <w:rsid w:val="003F368A"/>
    <w:rsid w:val="003F36C3"/>
    <w:rsid w:val="003F382E"/>
    <w:rsid w:val="003F3869"/>
    <w:rsid w:val="003F3896"/>
    <w:rsid w:val="003F38CA"/>
    <w:rsid w:val="003F38CF"/>
    <w:rsid w:val="003F38D8"/>
    <w:rsid w:val="003F396A"/>
    <w:rsid w:val="003F3B3C"/>
    <w:rsid w:val="003F3C05"/>
    <w:rsid w:val="003F3C22"/>
    <w:rsid w:val="003F3CEC"/>
    <w:rsid w:val="003F3D17"/>
    <w:rsid w:val="003F3D58"/>
    <w:rsid w:val="003F3DCF"/>
    <w:rsid w:val="003F3DD4"/>
    <w:rsid w:val="003F3DD8"/>
    <w:rsid w:val="003F3E20"/>
    <w:rsid w:val="003F3F0B"/>
    <w:rsid w:val="003F40AD"/>
    <w:rsid w:val="003F40CF"/>
    <w:rsid w:val="003F41D4"/>
    <w:rsid w:val="003F4200"/>
    <w:rsid w:val="003F424C"/>
    <w:rsid w:val="003F434C"/>
    <w:rsid w:val="003F4424"/>
    <w:rsid w:val="003F449D"/>
    <w:rsid w:val="003F4533"/>
    <w:rsid w:val="003F459D"/>
    <w:rsid w:val="003F45D1"/>
    <w:rsid w:val="003F4679"/>
    <w:rsid w:val="003F4730"/>
    <w:rsid w:val="003F4A0B"/>
    <w:rsid w:val="003F4A6E"/>
    <w:rsid w:val="003F4A86"/>
    <w:rsid w:val="003F4AD5"/>
    <w:rsid w:val="003F4B80"/>
    <w:rsid w:val="003F4C8A"/>
    <w:rsid w:val="003F4DC0"/>
    <w:rsid w:val="003F4DC4"/>
    <w:rsid w:val="003F4E17"/>
    <w:rsid w:val="003F4EB0"/>
    <w:rsid w:val="003F4ED1"/>
    <w:rsid w:val="003F4F13"/>
    <w:rsid w:val="003F4F71"/>
    <w:rsid w:val="003F4F74"/>
    <w:rsid w:val="003F4F83"/>
    <w:rsid w:val="003F5114"/>
    <w:rsid w:val="003F5134"/>
    <w:rsid w:val="003F51DA"/>
    <w:rsid w:val="003F52DC"/>
    <w:rsid w:val="003F5336"/>
    <w:rsid w:val="003F5340"/>
    <w:rsid w:val="003F537F"/>
    <w:rsid w:val="003F5418"/>
    <w:rsid w:val="003F5432"/>
    <w:rsid w:val="003F5580"/>
    <w:rsid w:val="003F5785"/>
    <w:rsid w:val="003F58BF"/>
    <w:rsid w:val="003F58D4"/>
    <w:rsid w:val="003F590D"/>
    <w:rsid w:val="003F5910"/>
    <w:rsid w:val="003F5BAC"/>
    <w:rsid w:val="003F5BD3"/>
    <w:rsid w:val="003F5BE9"/>
    <w:rsid w:val="003F5CAE"/>
    <w:rsid w:val="003F5D9F"/>
    <w:rsid w:val="003F5F3A"/>
    <w:rsid w:val="003F5F9F"/>
    <w:rsid w:val="003F5FE8"/>
    <w:rsid w:val="003F6000"/>
    <w:rsid w:val="003F60AA"/>
    <w:rsid w:val="003F6189"/>
    <w:rsid w:val="003F61AB"/>
    <w:rsid w:val="003F6222"/>
    <w:rsid w:val="003F627B"/>
    <w:rsid w:val="003F6303"/>
    <w:rsid w:val="003F6309"/>
    <w:rsid w:val="003F63C3"/>
    <w:rsid w:val="003F640B"/>
    <w:rsid w:val="003F642E"/>
    <w:rsid w:val="003F64D3"/>
    <w:rsid w:val="003F64EB"/>
    <w:rsid w:val="003F64FD"/>
    <w:rsid w:val="003F6509"/>
    <w:rsid w:val="003F6524"/>
    <w:rsid w:val="003F653E"/>
    <w:rsid w:val="003F6613"/>
    <w:rsid w:val="003F6680"/>
    <w:rsid w:val="003F669C"/>
    <w:rsid w:val="003F6709"/>
    <w:rsid w:val="003F676D"/>
    <w:rsid w:val="003F680D"/>
    <w:rsid w:val="003F6922"/>
    <w:rsid w:val="003F6B11"/>
    <w:rsid w:val="003F6BA3"/>
    <w:rsid w:val="003F6C45"/>
    <w:rsid w:val="003F6C74"/>
    <w:rsid w:val="003F6D07"/>
    <w:rsid w:val="003F6D27"/>
    <w:rsid w:val="003F6D55"/>
    <w:rsid w:val="003F6DCE"/>
    <w:rsid w:val="003F6DEB"/>
    <w:rsid w:val="003F6E49"/>
    <w:rsid w:val="003F6E6B"/>
    <w:rsid w:val="003F6F21"/>
    <w:rsid w:val="003F6F49"/>
    <w:rsid w:val="003F701A"/>
    <w:rsid w:val="003F7038"/>
    <w:rsid w:val="003F7080"/>
    <w:rsid w:val="003F7122"/>
    <w:rsid w:val="003F7236"/>
    <w:rsid w:val="003F7286"/>
    <w:rsid w:val="003F731A"/>
    <w:rsid w:val="003F74A5"/>
    <w:rsid w:val="003F74E1"/>
    <w:rsid w:val="003F74F6"/>
    <w:rsid w:val="003F7576"/>
    <w:rsid w:val="003F7623"/>
    <w:rsid w:val="003F76B8"/>
    <w:rsid w:val="003F78FD"/>
    <w:rsid w:val="003F7ACB"/>
    <w:rsid w:val="003F7AFC"/>
    <w:rsid w:val="003F7C34"/>
    <w:rsid w:val="003F7CC3"/>
    <w:rsid w:val="003F7E79"/>
    <w:rsid w:val="003F7EC9"/>
    <w:rsid w:val="003F7F6B"/>
    <w:rsid w:val="003F7F8E"/>
    <w:rsid w:val="00400045"/>
    <w:rsid w:val="0040005F"/>
    <w:rsid w:val="00400062"/>
    <w:rsid w:val="00400100"/>
    <w:rsid w:val="0040014B"/>
    <w:rsid w:val="00400162"/>
    <w:rsid w:val="00400198"/>
    <w:rsid w:val="00400206"/>
    <w:rsid w:val="00400226"/>
    <w:rsid w:val="0040022D"/>
    <w:rsid w:val="004002B7"/>
    <w:rsid w:val="00400363"/>
    <w:rsid w:val="004003C4"/>
    <w:rsid w:val="00400418"/>
    <w:rsid w:val="0040044D"/>
    <w:rsid w:val="004004A5"/>
    <w:rsid w:val="00400634"/>
    <w:rsid w:val="004006CA"/>
    <w:rsid w:val="004007BF"/>
    <w:rsid w:val="004007F4"/>
    <w:rsid w:val="0040081B"/>
    <w:rsid w:val="00400951"/>
    <w:rsid w:val="004009AC"/>
    <w:rsid w:val="004009E7"/>
    <w:rsid w:val="00400A2B"/>
    <w:rsid w:val="00400B3F"/>
    <w:rsid w:val="00400C00"/>
    <w:rsid w:val="00400C65"/>
    <w:rsid w:val="00400C6C"/>
    <w:rsid w:val="00400C8F"/>
    <w:rsid w:val="00400DA7"/>
    <w:rsid w:val="00400DE1"/>
    <w:rsid w:val="00400E12"/>
    <w:rsid w:val="00400EFD"/>
    <w:rsid w:val="00400FB3"/>
    <w:rsid w:val="00400FF2"/>
    <w:rsid w:val="0040106C"/>
    <w:rsid w:val="004010C9"/>
    <w:rsid w:val="00401178"/>
    <w:rsid w:val="0040117C"/>
    <w:rsid w:val="004011B2"/>
    <w:rsid w:val="00401255"/>
    <w:rsid w:val="004012E8"/>
    <w:rsid w:val="00401369"/>
    <w:rsid w:val="004015F3"/>
    <w:rsid w:val="004017D1"/>
    <w:rsid w:val="004018A8"/>
    <w:rsid w:val="004019F4"/>
    <w:rsid w:val="00401B1A"/>
    <w:rsid w:val="00401B36"/>
    <w:rsid w:val="00401B60"/>
    <w:rsid w:val="00401BBB"/>
    <w:rsid w:val="00401BE8"/>
    <w:rsid w:val="00401C94"/>
    <w:rsid w:val="00401E96"/>
    <w:rsid w:val="00401EC2"/>
    <w:rsid w:val="00401ECE"/>
    <w:rsid w:val="00401F0E"/>
    <w:rsid w:val="00401F2A"/>
    <w:rsid w:val="0040205A"/>
    <w:rsid w:val="0040227F"/>
    <w:rsid w:val="0040247D"/>
    <w:rsid w:val="004024C6"/>
    <w:rsid w:val="0040260D"/>
    <w:rsid w:val="00402674"/>
    <w:rsid w:val="00402751"/>
    <w:rsid w:val="00402845"/>
    <w:rsid w:val="00402910"/>
    <w:rsid w:val="00402933"/>
    <w:rsid w:val="00402996"/>
    <w:rsid w:val="004029EF"/>
    <w:rsid w:val="004029F2"/>
    <w:rsid w:val="00402A2C"/>
    <w:rsid w:val="00402A7A"/>
    <w:rsid w:val="00402B2E"/>
    <w:rsid w:val="00402B32"/>
    <w:rsid w:val="00402D39"/>
    <w:rsid w:val="00402D5C"/>
    <w:rsid w:val="00402ECF"/>
    <w:rsid w:val="00403031"/>
    <w:rsid w:val="004030EF"/>
    <w:rsid w:val="004030FE"/>
    <w:rsid w:val="00403159"/>
    <w:rsid w:val="00403174"/>
    <w:rsid w:val="00403262"/>
    <w:rsid w:val="004032F4"/>
    <w:rsid w:val="0040333A"/>
    <w:rsid w:val="0040334D"/>
    <w:rsid w:val="00403355"/>
    <w:rsid w:val="00403392"/>
    <w:rsid w:val="004033A5"/>
    <w:rsid w:val="00403414"/>
    <w:rsid w:val="004034A0"/>
    <w:rsid w:val="004035A5"/>
    <w:rsid w:val="004035AB"/>
    <w:rsid w:val="0040366B"/>
    <w:rsid w:val="004036B9"/>
    <w:rsid w:val="004036F6"/>
    <w:rsid w:val="00403705"/>
    <w:rsid w:val="0040370E"/>
    <w:rsid w:val="00403837"/>
    <w:rsid w:val="0040391B"/>
    <w:rsid w:val="00403A07"/>
    <w:rsid w:val="00403AF0"/>
    <w:rsid w:val="00403B22"/>
    <w:rsid w:val="00403BAA"/>
    <w:rsid w:val="00403C0F"/>
    <w:rsid w:val="00403C3F"/>
    <w:rsid w:val="00403D07"/>
    <w:rsid w:val="00403D1E"/>
    <w:rsid w:val="00403DA8"/>
    <w:rsid w:val="00403DB5"/>
    <w:rsid w:val="00403E08"/>
    <w:rsid w:val="00403E6C"/>
    <w:rsid w:val="00403ED1"/>
    <w:rsid w:val="00403EF1"/>
    <w:rsid w:val="00403F10"/>
    <w:rsid w:val="00403F66"/>
    <w:rsid w:val="00404054"/>
    <w:rsid w:val="0040405B"/>
    <w:rsid w:val="00404077"/>
    <w:rsid w:val="004040F8"/>
    <w:rsid w:val="004041E6"/>
    <w:rsid w:val="0040427A"/>
    <w:rsid w:val="00404299"/>
    <w:rsid w:val="004045DF"/>
    <w:rsid w:val="00404770"/>
    <w:rsid w:val="0040479B"/>
    <w:rsid w:val="00404860"/>
    <w:rsid w:val="004048B3"/>
    <w:rsid w:val="004048C3"/>
    <w:rsid w:val="004048D1"/>
    <w:rsid w:val="004048F7"/>
    <w:rsid w:val="00404952"/>
    <w:rsid w:val="0040497C"/>
    <w:rsid w:val="004049DA"/>
    <w:rsid w:val="004049EB"/>
    <w:rsid w:val="00404ADB"/>
    <w:rsid w:val="00404AE8"/>
    <w:rsid w:val="00404B29"/>
    <w:rsid w:val="00404B4B"/>
    <w:rsid w:val="00404BF1"/>
    <w:rsid w:val="00404C18"/>
    <w:rsid w:val="00404D23"/>
    <w:rsid w:val="00404D6D"/>
    <w:rsid w:val="00404D90"/>
    <w:rsid w:val="00404DE8"/>
    <w:rsid w:val="00404F5F"/>
    <w:rsid w:val="00404F91"/>
    <w:rsid w:val="004050A5"/>
    <w:rsid w:val="004050A6"/>
    <w:rsid w:val="00405139"/>
    <w:rsid w:val="0040514B"/>
    <w:rsid w:val="00405170"/>
    <w:rsid w:val="00405175"/>
    <w:rsid w:val="00405281"/>
    <w:rsid w:val="004052F7"/>
    <w:rsid w:val="00405358"/>
    <w:rsid w:val="0040536A"/>
    <w:rsid w:val="00405436"/>
    <w:rsid w:val="0040548D"/>
    <w:rsid w:val="004054B8"/>
    <w:rsid w:val="004055BD"/>
    <w:rsid w:val="004055E3"/>
    <w:rsid w:val="00405726"/>
    <w:rsid w:val="00405736"/>
    <w:rsid w:val="0040573F"/>
    <w:rsid w:val="00405762"/>
    <w:rsid w:val="00405804"/>
    <w:rsid w:val="0040596E"/>
    <w:rsid w:val="00405A0D"/>
    <w:rsid w:val="00405AEC"/>
    <w:rsid w:val="00405D16"/>
    <w:rsid w:val="00405D90"/>
    <w:rsid w:val="00405E4B"/>
    <w:rsid w:val="00405F44"/>
    <w:rsid w:val="0040600D"/>
    <w:rsid w:val="004060A2"/>
    <w:rsid w:val="00406107"/>
    <w:rsid w:val="00406179"/>
    <w:rsid w:val="00406316"/>
    <w:rsid w:val="00406414"/>
    <w:rsid w:val="004064AF"/>
    <w:rsid w:val="004064E8"/>
    <w:rsid w:val="00406539"/>
    <w:rsid w:val="00406553"/>
    <w:rsid w:val="00406610"/>
    <w:rsid w:val="004067B7"/>
    <w:rsid w:val="004067CF"/>
    <w:rsid w:val="004067F6"/>
    <w:rsid w:val="0040689A"/>
    <w:rsid w:val="004068D6"/>
    <w:rsid w:val="0040690F"/>
    <w:rsid w:val="004069C5"/>
    <w:rsid w:val="004069E2"/>
    <w:rsid w:val="00406C0C"/>
    <w:rsid w:val="00406C0D"/>
    <w:rsid w:val="00406C61"/>
    <w:rsid w:val="00406D03"/>
    <w:rsid w:val="00406D35"/>
    <w:rsid w:val="00406D80"/>
    <w:rsid w:val="00406E4F"/>
    <w:rsid w:val="00406E87"/>
    <w:rsid w:val="00406F1A"/>
    <w:rsid w:val="00406FED"/>
    <w:rsid w:val="004070B4"/>
    <w:rsid w:val="004070D8"/>
    <w:rsid w:val="00407180"/>
    <w:rsid w:val="004072AF"/>
    <w:rsid w:val="0040736A"/>
    <w:rsid w:val="004073E0"/>
    <w:rsid w:val="00407439"/>
    <w:rsid w:val="00407447"/>
    <w:rsid w:val="0040748C"/>
    <w:rsid w:val="00407493"/>
    <w:rsid w:val="0040762E"/>
    <w:rsid w:val="00407658"/>
    <w:rsid w:val="004077C9"/>
    <w:rsid w:val="004077F6"/>
    <w:rsid w:val="0040780E"/>
    <w:rsid w:val="004079F2"/>
    <w:rsid w:val="00407B66"/>
    <w:rsid w:val="00407C15"/>
    <w:rsid w:val="00407C21"/>
    <w:rsid w:val="00407D1D"/>
    <w:rsid w:val="00407E73"/>
    <w:rsid w:val="00407E74"/>
    <w:rsid w:val="00407F7F"/>
    <w:rsid w:val="00410082"/>
    <w:rsid w:val="004100FD"/>
    <w:rsid w:val="0041014D"/>
    <w:rsid w:val="00410190"/>
    <w:rsid w:val="004101DC"/>
    <w:rsid w:val="0041021A"/>
    <w:rsid w:val="0041026B"/>
    <w:rsid w:val="0041028D"/>
    <w:rsid w:val="004102C7"/>
    <w:rsid w:val="00410309"/>
    <w:rsid w:val="004103B9"/>
    <w:rsid w:val="004105AC"/>
    <w:rsid w:val="004106CD"/>
    <w:rsid w:val="00410742"/>
    <w:rsid w:val="004107D8"/>
    <w:rsid w:val="004107E2"/>
    <w:rsid w:val="00410957"/>
    <w:rsid w:val="00410B03"/>
    <w:rsid w:val="00410BFA"/>
    <w:rsid w:val="00410C6A"/>
    <w:rsid w:val="00410CAC"/>
    <w:rsid w:val="00410CD9"/>
    <w:rsid w:val="00410CE0"/>
    <w:rsid w:val="00410E54"/>
    <w:rsid w:val="00410E9B"/>
    <w:rsid w:val="00410F1B"/>
    <w:rsid w:val="00410F6B"/>
    <w:rsid w:val="00411152"/>
    <w:rsid w:val="004111E2"/>
    <w:rsid w:val="004111FD"/>
    <w:rsid w:val="004113AD"/>
    <w:rsid w:val="004113D1"/>
    <w:rsid w:val="00411439"/>
    <w:rsid w:val="0041154A"/>
    <w:rsid w:val="004115F7"/>
    <w:rsid w:val="00411605"/>
    <w:rsid w:val="00411736"/>
    <w:rsid w:val="004117D3"/>
    <w:rsid w:val="004117E0"/>
    <w:rsid w:val="004117E1"/>
    <w:rsid w:val="0041190A"/>
    <w:rsid w:val="004119A3"/>
    <w:rsid w:val="00411A08"/>
    <w:rsid w:val="00411B3D"/>
    <w:rsid w:val="00411CA3"/>
    <w:rsid w:val="00411CEB"/>
    <w:rsid w:val="00411E2C"/>
    <w:rsid w:val="00411EBF"/>
    <w:rsid w:val="00411EE9"/>
    <w:rsid w:val="00411EF4"/>
    <w:rsid w:val="00411F3B"/>
    <w:rsid w:val="00411FDB"/>
    <w:rsid w:val="004120D7"/>
    <w:rsid w:val="0041214D"/>
    <w:rsid w:val="0041217F"/>
    <w:rsid w:val="0041225C"/>
    <w:rsid w:val="00412382"/>
    <w:rsid w:val="004123AA"/>
    <w:rsid w:val="004125BE"/>
    <w:rsid w:val="00412688"/>
    <w:rsid w:val="0041268E"/>
    <w:rsid w:val="00412726"/>
    <w:rsid w:val="00412773"/>
    <w:rsid w:val="004127DC"/>
    <w:rsid w:val="00412837"/>
    <w:rsid w:val="004128B6"/>
    <w:rsid w:val="0041291D"/>
    <w:rsid w:val="00412A07"/>
    <w:rsid w:val="00412AB4"/>
    <w:rsid w:val="00412B1C"/>
    <w:rsid w:val="00412C15"/>
    <w:rsid w:val="00412EA8"/>
    <w:rsid w:val="00412ED6"/>
    <w:rsid w:val="00412F2D"/>
    <w:rsid w:val="00413011"/>
    <w:rsid w:val="00413067"/>
    <w:rsid w:val="004130BE"/>
    <w:rsid w:val="0041310B"/>
    <w:rsid w:val="0041314D"/>
    <w:rsid w:val="00413160"/>
    <w:rsid w:val="004131A6"/>
    <w:rsid w:val="004132A8"/>
    <w:rsid w:val="004132C0"/>
    <w:rsid w:val="00413470"/>
    <w:rsid w:val="00413579"/>
    <w:rsid w:val="0041358B"/>
    <w:rsid w:val="004135C6"/>
    <w:rsid w:val="004135E5"/>
    <w:rsid w:val="00413622"/>
    <w:rsid w:val="0041365E"/>
    <w:rsid w:val="00413692"/>
    <w:rsid w:val="004136CD"/>
    <w:rsid w:val="004136E6"/>
    <w:rsid w:val="00413733"/>
    <w:rsid w:val="0041373E"/>
    <w:rsid w:val="0041387C"/>
    <w:rsid w:val="004138FB"/>
    <w:rsid w:val="00413924"/>
    <w:rsid w:val="00413A57"/>
    <w:rsid w:val="00413A5C"/>
    <w:rsid w:val="00413B52"/>
    <w:rsid w:val="00413B54"/>
    <w:rsid w:val="00413BD6"/>
    <w:rsid w:val="00413C08"/>
    <w:rsid w:val="00413CDC"/>
    <w:rsid w:val="00413D8E"/>
    <w:rsid w:val="00413DF4"/>
    <w:rsid w:val="00413E4A"/>
    <w:rsid w:val="00413E6F"/>
    <w:rsid w:val="00413E92"/>
    <w:rsid w:val="00413F1A"/>
    <w:rsid w:val="00413F2B"/>
    <w:rsid w:val="00413F52"/>
    <w:rsid w:val="00413FF7"/>
    <w:rsid w:val="0041407E"/>
    <w:rsid w:val="004140B2"/>
    <w:rsid w:val="004140B7"/>
    <w:rsid w:val="004140DB"/>
    <w:rsid w:val="00414127"/>
    <w:rsid w:val="0041417D"/>
    <w:rsid w:val="004141AB"/>
    <w:rsid w:val="004141C9"/>
    <w:rsid w:val="00414255"/>
    <w:rsid w:val="0041427F"/>
    <w:rsid w:val="004142EE"/>
    <w:rsid w:val="00414328"/>
    <w:rsid w:val="004143AE"/>
    <w:rsid w:val="00414408"/>
    <w:rsid w:val="0041440B"/>
    <w:rsid w:val="0041445E"/>
    <w:rsid w:val="00414580"/>
    <w:rsid w:val="00414607"/>
    <w:rsid w:val="00414617"/>
    <w:rsid w:val="0041462E"/>
    <w:rsid w:val="00414642"/>
    <w:rsid w:val="00414648"/>
    <w:rsid w:val="0041467E"/>
    <w:rsid w:val="0041478D"/>
    <w:rsid w:val="004147E0"/>
    <w:rsid w:val="004147F3"/>
    <w:rsid w:val="00414880"/>
    <w:rsid w:val="00414995"/>
    <w:rsid w:val="00414BA6"/>
    <w:rsid w:val="00414BDA"/>
    <w:rsid w:val="00414D4D"/>
    <w:rsid w:val="00414D61"/>
    <w:rsid w:val="00414D88"/>
    <w:rsid w:val="00414EFB"/>
    <w:rsid w:val="00414F9A"/>
    <w:rsid w:val="00414FBA"/>
    <w:rsid w:val="00415014"/>
    <w:rsid w:val="00415048"/>
    <w:rsid w:val="00415098"/>
    <w:rsid w:val="004150FC"/>
    <w:rsid w:val="0041529F"/>
    <w:rsid w:val="004152B7"/>
    <w:rsid w:val="004152CF"/>
    <w:rsid w:val="004152D4"/>
    <w:rsid w:val="00415371"/>
    <w:rsid w:val="004153A5"/>
    <w:rsid w:val="004153CC"/>
    <w:rsid w:val="0041547C"/>
    <w:rsid w:val="00415503"/>
    <w:rsid w:val="004155B9"/>
    <w:rsid w:val="004156C8"/>
    <w:rsid w:val="004157A4"/>
    <w:rsid w:val="004158B7"/>
    <w:rsid w:val="0041591E"/>
    <w:rsid w:val="00415AF6"/>
    <w:rsid w:val="00415B33"/>
    <w:rsid w:val="00415B4D"/>
    <w:rsid w:val="00415B6A"/>
    <w:rsid w:val="00415C61"/>
    <w:rsid w:val="00415C77"/>
    <w:rsid w:val="00415CA0"/>
    <w:rsid w:val="00415CE6"/>
    <w:rsid w:val="00415D5F"/>
    <w:rsid w:val="00415D60"/>
    <w:rsid w:val="00415D8C"/>
    <w:rsid w:val="00415E24"/>
    <w:rsid w:val="00415EB1"/>
    <w:rsid w:val="00415EE3"/>
    <w:rsid w:val="00415EE8"/>
    <w:rsid w:val="00415EF7"/>
    <w:rsid w:val="00415FC8"/>
    <w:rsid w:val="00416133"/>
    <w:rsid w:val="00416142"/>
    <w:rsid w:val="004161A4"/>
    <w:rsid w:val="004161B1"/>
    <w:rsid w:val="0041623C"/>
    <w:rsid w:val="00416287"/>
    <w:rsid w:val="0041657F"/>
    <w:rsid w:val="004165A7"/>
    <w:rsid w:val="0041663E"/>
    <w:rsid w:val="00416660"/>
    <w:rsid w:val="004166B7"/>
    <w:rsid w:val="004166F7"/>
    <w:rsid w:val="00416735"/>
    <w:rsid w:val="00416749"/>
    <w:rsid w:val="004168A9"/>
    <w:rsid w:val="00416967"/>
    <w:rsid w:val="00416987"/>
    <w:rsid w:val="00416A76"/>
    <w:rsid w:val="00416AB3"/>
    <w:rsid w:val="00416AF3"/>
    <w:rsid w:val="00416B1A"/>
    <w:rsid w:val="00416BE2"/>
    <w:rsid w:val="00416C46"/>
    <w:rsid w:val="00416C62"/>
    <w:rsid w:val="00416D7A"/>
    <w:rsid w:val="00416F30"/>
    <w:rsid w:val="00417020"/>
    <w:rsid w:val="00417074"/>
    <w:rsid w:val="00417099"/>
    <w:rsid w:val="00417191"/>
    <w:rsid w:val="004171E8"/>
    <w:rsid w:val="00417323"/>
    <w:rsid w:val="00417363"/>
    <w:rsid w:val="00417493"/>
    <w:rsid w:val="00417505"/>
    <w:rsid w:val="00417577"/>
    <w:rsid w:val="0041761B"/>
    <w:rsid w:val="00417752"/>
    <w:rsid w:val="004177A3"/>
    <w:rsid w:val="004177DE"/>
    <w:rsid w:val="0041789D"/>
    <w:rsid w:val="004179C9"/>
    <w:rsid w:val="00417A02"/>
    <w:rsid w:val="00417A84"/>
    <w:rsid w:val="00417B1B"/>
    <w:rsid w:val="00417B55"/>
    <w:rsid w:val="00417B79"/>
    <w:rsid w:val="00417BEC"/>
    <w:rsid w:val="00417CB6"/>
    <w:rsid w:val="00417DEF"/>
    <w:rsid w:val="00417E03"/>
    <w:rsid w:val="00417FF3"/>
    <w:rsid w:val="00420069"/>
    <w:rsid w:val="004200C9"/>
    <w:rsid w:val="004200F5"/>
    <w:rsid w:val="0042010F"/>
    <w:rsid w:val="0042022D"/>
    <w:rsid w:val="0042025B"/>
    <w:rsid w:val="0042029E"/>
    <w:rsid w:val="004202B7"/>
    <w:rsid w:val="0042037B"/>
    <w:rsid w:val="0042047A"/>
    <w:rsid w:val="0042068C"/>
    <w:rsid w:val="004206A9"/>
    <w:rsid w:val="004207D9"/>
    <w:rsid w:val="004207EC"/>
    <w:rsid w:val="004208BC"/>
    <w:rsid w:val="004209AA"/>
    <w:rsid w:val="004209B4"/>
    <w:rsid w:val="00420B51"/>
    <w:rsid w:val="00420B96"/>
    <w:rsid w:val="00420C43"/>
    <w:rsid w:val="00420C7E"/>
    <w:rsid w:val="00420D0B"/>
    <w:rsid w:val="00420D2B"/>
    <w:rsid w:val="00420D5B"/>
    <w:rsid w:val="00420D9D"/>
    <w:rsid w:val="00420DBD"/>
    <w:rsid w:val="00420DC4"/>
    <w:rsid w:val="00420E5F"/>
    <w:rsid w:val="00420ECF"/>
    <w:rsid w:val="00420F12"/>
    <w:rsid w:val="00420F2D"/>
    <w:rsid w:val="00420FAA"/>
    <w:rsid w:val="00420FCC"/>
    <w:rsid w:val="004210AB"/>
    <w:rsid w:val="00421123"/>
    <w:rsid w:val="0042119C"/>
    <w:rsid w:val="004211B4"/>
    <w:rsid w:val="0042121B"/>
    <w:rsid w:val="0042126D"/>
    <w:rsid w:val="004212C9"/>
    <w:rsid w:val="0042130F"/>
    <w:rsid w:val="004213CB"/>
    <w:rsid w:val="004214C7"/>
    <w:rsid w:val="0042159E"/>
    <w:rsid w:val="0042175C"/>
    <w:rsid w:val="00421798"/>
    <w:rsid w:val="004217D2"/>
    <w:rsid w:val="00421818"/>
    <w:rsid w:val="0042187F"/>
    <w:rsid w:val="00421896"/>
    <w:rsid w:val="004218E3"/>
    <w:rsid w:val="00421913"/>
    <w:rsid w:val="00421995"/>
    <w:rsid w:val="00421B81"/>
    <w:rsid w:val="00421B98"/>
    <w:rsid w:val="00421C03"/>
    <w:rsid w:val="00421C23"/>
    <w:rsid w:val="00421D11"/>
    <w:rsid w:val="00421D56"/>
    <w:rsid w:val="00421D63"/>
    <w:rsid w:val="00421EE6"/>
    <w:rsid w:val="00421F43"/>
    <w:rsid w:val="00422143"/>
    <w:rsid w:val="00422367"/>
    <w:rsid w:val="00422392"/>
    <w:rsid w:val="004223EC"/>
    <w:rsid w:val="00422422"/>
    <w:rsid w:val="00422449"/>
    <w:rsid w:val="00422557"/>
    <w:rsid w:val="0042257D"/>
    <w:rsid w:val="004225A9"/>
    <w:rsid w:val="0042262C"/>
    <w:rsid w:val="0042265F"/>
    <w:rsid w:val="00422718"/>
    <w:rsid w:val="00422752"/>
    <w:rsid w:val="00422975"/>
    <w:rsid w:val="00422996"/>
    <w:rsid w:val="00422AA9"/>
    <w:rsid w:val="00422B4D"/>
    <w:rsid w:val="00422BCF"/>
    <w:rsid w:val="00422C12"/>
    <w:rsid w:val="00422CF8"/>
    <w:rsid w:val="00422D8F"/>
    <w:rsid w:val="00422DD5"/>
    <w:rsid w:val="00422DE5"/>
    <w:rsid w:val="00422E9C"/>
    <w:rsid w:val="00422EB1"/>
    <w:rsid w:val="00422F3D"/>
    <w:rsid w:val="00423066"/>
    <w:rsid w:val="0042309C"/>
    <w:rsid w:val="004230DA"/>
    <w:rsid w:val="00423144"/>
    <w:rsid w:val="0042332E"/>
    <w:rsid w:val="00423434"/>
    <w:rsid w:val="00423435"/>
    <w:rsid w:val="004234BE"/>
    <w:rsid w:val="00423604"/>
    <w:rsid w:val="0042369A"/>
    <w:rsid w:val="004237B3"/>
    <w:rsid w:val="004237BB"/>
    <w:rsid w:val="004237FF"/>
    <w:rsid w:val="004239FA"/>
    <w:rsid w:val="00423AE5"/>
    <w:rsid w:val="00423CF3"/>
    <w:rsid w:val="00423D46"/>
    <w:rsid w:val="00423D99"/>
    <w:rsid w:val="00423DFC"/>
    <w:rsid w:val="00423E04"/>
    <w:rsid w:val="00423EAA"/>
    <w:rsid w:val="00423F0C"/>
    <w:rsid w:val="00424042"/>
    <w:rsid w:val="00424047"/>
    <w:rsid w:val="0042408D"/>
    <w:rsid w:val="004240F6"/>
    <w:rsid w:val="00424111"/>
    <w:rsid w:val="00424115"/>
    <w:rsid w:val="0042419F"/>
    <w:rsid w:val="004241EB"/>
    <w:rsid w:val="0042432E"/>
    <w:rsid w:val="0042435B"/>
    <w:rsid w:val="00424399"/>
    <w:rsid w:val="00424411"/>
    <w:rsid w:val="00424494"/>
    <w:rsid w:val="004244D5"/>
    <w:rsid w:val="004244DD"/>
    <w:rsid w:val="0042452E"/>
    <w:rsid w:val="00424534"/>
    <w:rsid w:val="004246A3"/>
    <w:rsid w:val="004246FB"/>
    <w:rsid w:val="00424801"/>
    <w:rsid w:val="00424878"/>
    <w:rsid w:val="004248CE"/>
    <w:rsid w:val="00424A7A"/>
    <w:rsid w:val="00424B17"/>
    <w:rsid w:val="00424B22"/>
    <w:rsid w:val="00424B85"/>
    <w:rsid w:val="00424BED"/>
    <w:rsid w:val="00424BEF"/>
    <w:rsid w:val="00424C4C"/>
    <w:rsid w:val="00424D60"/>
    <w:rsid w:val="00424DEE"/>
    <w:rsid w:val="00424F2A"/>
    <w:rsid w:val="0042510D"/>
    <w:rsid w:val="0042523F"/>
    <w:rsid w:val="00425274"/>
    <w:rsid w:val="0042528B"/>
    <w:rsid w:val="0042533B"/>
    <w:rsid w:val="00425471"/>
    <w:rsid w:val="004254CA"/>
    <w:rsid w:val="004254D5"/>
    <w:rsid w:val="004255DF"/>
    <w:rsid w:val="004255E7"/>
    <w:rsid w:val="0042569C"/>
    <w:rsid w:val="004256D0"/>
    <w:rsid w:val="004256E7"/>
    <w:rsid w:val="00425701"/>
    <w:rsid w:val="00425708"/>
    <w:rsid w:val="00425754"/>
    <w:rsid w:val="004258D0"/>
    <w:rsid w:val="0042592C"/>
    <w:rsid w:val="0042594E"/>
    <w:rsid w:val="00425950"/>
    <w:rsid w:val="00425AAD"/>
    <w:rsid w:val="00425ACD"/>
    <w:rsid w:val="00425AD9"/>
    <w:rsid w:val="00425AE5"/>
    <w:rsid w:val="00425B6D"/>
    <w:rsid w:val="00425C96"/>
    <w:rsid w:val="00425CB5"/>
    <w:rsid w:val="00425E10"/>
    <w:rsid w:val="00425E34"/>
    <w:rsid w:val="00425E62"/>
    <w:rsid w:val="00425F5C"/>
    <w:rsid w:val="00425F73"/>
    <w:rsid w:val="00425FE7"/>
    <w:rsid w:val="004260A2"/>
    <w:rsid w:val="00426125"/>
    <w:rsid w:val="00426240"/>
    <w:rsid w:val="004262F1"/>
    <w:rsid w:val="0042631C"/>
    <w:rsid w:val="0042636A"/>
    <w:rsid w:val="004263FD"/>
    <w:rsid w:val="00426417"/>
    <w:rsid w:val="004264B0"/>
    <w:rsid w:val="0042651A"/>
    <w:rsid w:val="00426523"/>
    <w:rsid w:val="00426560"/>
    <w:rsid w:val="004266A0"/>
    <w:rsid w:val="004267CB"/>
    <w:rsid w:val="00426884"/>
    <w:rsid w:val="004268BF"/>
    <w:rsid w:val="0042697E"/>
    <w:rsid w:val="00426982"/>
    <w:rsid w:val="004269D0"/>
    <w:rsid w:val="004269D4"/>
    <w:rsid w:val="00426A6E"/>
    <w:rsid w:val="00426C62"/>
    <w:rsid w:val="00426C95"/>
    <w:rsid w:val="00426D24"/>
    <w:rsid w:val="00426D92"/>
    <w:rsid w:val="00426DF2"/>
    <w:rsid w:val="00426E28"/>
    <w:rsid w:val="00426E4C"/>
    <w:rsid w:val="00426EC0"/>
    <w:rsid w:val="00426F59"/>
    <w:rsid w:val="00427084"/>
    <w:rsid w:val="004270B1"/>
    <w:rsid w:val="00427298"/>
    <w:rsid w:val="0042735C"/>
    <w:rsid w:val="00427385"/>
    <w:rsid w:val="00427402"/>
    <w:rsid w:val="00427432"/>
    <w:rsid w:val="00427496"/>
    <w:rsid w:val="004274B1"/>
    <w:rsid w:val="004274E9"/>
    <w:rsid w:val="0042763A"/>
    <w:rsid w:val="0042772F"/>
    <w:rsid w:val="004277C0"/>
    <w:rsid w:val="00427933"/>
    <w:rsid w:val="0042794F"/>
    <w:rsid w:val="00427955"/>
    <w:rsid w:val="00427972"/>
    <w:rsid w:val="004279A6"/>
    <w:rsid w:val="00427B35"/>
    <w:rsid w:val="00427B76"/>
    <w:rsid w:val="00427CDC"/>
    <w:rsid w:val="00427D88"/>
    <w:rsid w:val="00427EEA"/>
    <w:rsid w:val="00427F89"/>
    <w:rsid w:val="00427FB1"/>
    <w:rsid w:val="00427FB7"/>
    <w:rsid w:val="00430046"/>
    <w:rsid w:val="0043008E"/>
    <w:rsid w:val="00430097"/>
    <w:rsid w:val="004300CE"/>
    <w:rsid w:val="00430236"/>
    <w:rsid w:val="00430246"/>
    <w:rsid w:val="00430313"/>
    <w:rsid w:val="00430340"/>
    <w:rsid w:val="0043037B"/>
    <w:rsid w:val="004303E4"/>
    <w:rsid w:val="004304B7"/>
    <w:rsid w:val="00430646"/>
    <w:rsid w:val="004307F4"/>
    <w:rsid w:val="00430816"/>
    <w:rsid w:val="0043090E"/>
    <w:rsid w:val="0043094D"/>
    <w:rsid w:val="00430A18"/>
    <w:rsid w:val="00430A5D"/>
    <w:rsid w:val="00430AB5"/>
    <w:rsid w:val="00430B2C"/>
    <w:rsid w:val="00430BBD"/>
    <w:rsid w:val="00430D05"/>
    <w:rsid w:val="00430D08"/>
    <w:rsid w:val="00430DAA"/>
    <w:rsid w:val="00430E15"/>
    <w:rsid w:val="00430E51"/>
    <w:rsid w:val="00430E6B"/>
    <w:rsid w:val="00430EB7"/>
    <w:rsid w:val="00430F49"/>
    <w:rsid w:val="00430F64"/>
    <w:rsid w:val="00430FD2"/>
    <w:rsid w:val="0043101C"/>
    <w:rsid w:val="00431035"/>
    <w:rsid w:val="004310BB"/>
    <w:rsid w:val="00431145"/>
    <w:rsid w:val="00431234"/>
    <w:rsid w:val="00431278"/>
    <w:rsid w:val="004312AF"/>
    <w:rsid w:val="004312CA"/>
    <w:rsid w:val="004313EE"/>
    <w:rsid w:val="004313F0"/>
    <w:rsid w:val="00431407"/>
    <w:rsid w:val="00431518"/>
    <w:rsid w:val="004315A5"/>
    <w:rsid w:val="00431615"/>
    <w:rsid w:val="00431651"/>
    <w:rsid w:val="00431686"/>
    <w:rsid w:val="004317DF"/>
    <w:rsid w:val="0043182C"/>
    <w:rsid w:val="00431885"/>
    <w:rsid w:val="004318BB"/>
    <w:rsid w:val="00431903"/>
    <w:rsid w:val="00431925"/>
    <w:rsid w:val="00431A28"/>
    <w:rsid w:val="00431A90"/>
    <w:rsid w:val="00431A97"/>
    <w:rsid w:val="00431A9B"/>
    <w:rsid w:val="00431AFB"/>
    <w:rsid w:val="00431B2B"/>
    <w:rsid w:val="00431D27"/>
    <w:rsid w:val="00431D2F"/>
    <w:rsid w:val="00431D94"/>
    <w:rsid w:val="00431DD9"/>
    <w:rsid w:val="00431E79"/>
    <w:rsid w:val="00431F0D"/>
    <w:rsid w:val="00431F88"/>
    <w:rsid w:val="00431FC0"/>
    <w:rsid w:val="00431FF8"/>
    <w:rsid w:val="00432087"/>
    <w:rsid w:val="00432088"/>
    <w:rsid w:val="00432182"/>
    <w:rsid w:val="00432199"/>
    <w:rsid w:val="004321DF"/>
    <w:rsid w:val="00432246"/>
    <w:rsid w:val="00432436"/>
    <w:rsid w:val="00432456"/>
    <w:rsid w:val="00432505"/>
    <w:rsid w:val="0043262C"/>
    <w:rsid w:val="00432673"/>
    <w:rsid w:val="004326B3"/>
    <w:rsid w:val="0043270D"/>
    <w:rsid w:val="0043295F"/>
    <w:rsid w:val="00432A20"/>
    <w:rsid w:val="00432AAF"/>
    <w:rsid w:val="00432B1F"/>
    <w:rsid w:val="00432B2D"/>
    <w:rsid w:val="00432BBB"/>
    <w:rsid w:val="00432BC4"/>
    <w:rsid w:val="00432C3A"/>
    <w:rsid w:val="00432C8F"/>
    <w:rsid w:val="00432CAF"/>
    <w:rsid w:val="00432CBD"/>
    <w:rsid w:val="00432F05"/>
    <w:rsid w:val="00432F12"/>
    <w:rsid w:val="00432FF5"/>
    <w:rsid w:val="004330F5"/>
    <w:rsid w:val="00433112"/>
    <w:rsid w:val="0043314F"/>
    <w:rsid w:val="00433185"/>
    <w:rsid w:val="00433232"/>
    <w:rsid w:val="0043325D"/>
    <w:rsid w:val="0043328F"/>
    <w:rsid w:val="00433324"/>
    <w:rsid w:val="00433538"/>
    <w:rsid w:val="00433539"/>
    <w:rsid w:val="004336A8"/>
    <w:rsid w:val="004336B4"/>
    <w:rsid w:val="004336C9"/>
    <w:rsid w:val="004336F5"/>
    <w:rsid w:val="00433701"/>
    <w:rsid w:val="0043379F"/>
    <w:rsid w:val="00433811"/>
    <w:rsid w:val="00433867"/>
    <w:rsid w:val="00433896"/>
    <w:rsid w:val="00433A59"/>
    <w:rsid w:val="00433AFE"/>
    <w:rsid w:val="00433BB6"/>
    <w:rsid w:val="00433BC5"/>
    <w:rsid w:val="00433CAC"/>
    <w:rsid w:val="00433D04"/>
    <w:rsid w:val="00433D7D"/>
    <w:rsid w:val="00433EC1"/>
    <w:rsid w:val="00433F2C"/>
    <w:rsid w:val="004340DA"/>
    <w:rsid w:val="00434133"/>
    <w:rsid w:val="00434155"/>
    <w:rsid w:val="0043420C"/>
    <w:rsid w:val="00434235"/>
    <w:rsid w:val="00434253"/>
    <w:rsid w:val="00434277"/>
    <w:rsid w:val="0043451E"/>
    <w:rsid w:val="004345C0"/>
    <w:rsid w:val="00434624"/>
    <w:rsid w:val="00434685"/>
    <w:rsid w:val="004347B7"/>
    <w:rsid w:val="00434817"/>
    <w:rsid w:val="004348B4"/>
    <w:rsid w:val="0043490E"/>
    <w:rsid w:val="0043496F"/>
    <w:rsid w:val="00434AC0"/>
    <w:rsid w:val="00434B93"/>
    <w:rsid w:val="00434C1C"/>
    <w:rsid w:val="00434C9B"/>
    <w:rsid w:val="00434D0C"/>
    <w:rsid w:val="00434D63"/>
    <w:rsid w:val="00434F14"/>
    <w:rsid w:val="00434F59"/>
    <w:rsid w:val="00434F6A"/>
    <w:rsid w:val="00434F9A"/>
    <w:rsid w:val="0043509A"/>
    <w:rsid w:val="0043510B"/>
    <w:rsid w:val="0043511B"/>
    <w:rsid w:val="0043513C"/>
    <w:rsid w:val="00435191"/>
    <w:rsid w:val="00435241"/>
    <w:rsid w:val="004352EF"/>
    <w:rsid w:val="0043530F"/>
    <w:rsid w:val="0043538C"/>
    <w:rsid w:val="004353B2"/>
    <w:rsid w:val="0043548C"/>
    <w:rsid w:val="00435536"/>
    <w:rsid w:val="004355D0"/>
    <w:rsid w:val="004355FB"/>
    <w:rsid w:val="004356A1"/>
    <w:rsid w:val="0043570E"/>
    <w:rsid w:val="0043572E"/>
    <w:rsid w:val="00435809"/>
    <w:rsid w:val="00435834"/>
    <w:rsid w:val="0043583B"/>
    <w:rsid w:val="004359CE"/>
    <w:rsid w:val="004359F3"/>
    <w:rsid w:val="00435A12"/>
    <w:rsid w:val="00435A64"/>
    <w:rsid w:val="00435AD7"/>
    <w:rsid w:val="00435E02"/>
    <w:rsid w:val="00435F1C"/>
    <w:rsid w:val="00435F29"/>
    <w:rsid w:val="00435F38"/>
    <w:rsid w:val="00435F54"/>
    <w:rsid w:val="00435F8C"/>
    <w:rsid w:val="00435FA9"/>
    <w:rsid w:val="00436022"/>
    <w:rsid w:val="0043607F"/>
    <w:rsid w:val="0043608E"/>
    <w:rsid w:val="0043614E"/>
    <w:rsid w:val="00436200"/>
    <w:rsid w:val="0043627C"/>
    <w:rsid w:val="00436290"/>
    <w:rsid w:val="0043632B"/>
    <w:rsid w:val="0043643F"/>
    <w:rsid w:val="0043652F"/>
    <w:rsid w:val="00436575"/>
    <w:rsid w:val="00436619"/>
    <w:rsid w:val="00436662"/>
    <w:rsid w:val="00436700"/>
    <w:rsid w:val="0043673C"/>
    <w:rsid w:val="00436770"/>
    <w:rsid w:val="004367B2"/>
    <w:rsid w:val="004367C9"/>
    <w:rsid w:val="004367F3"/>
    <w:rsid w:val="00436981"/>
    <w:rsid w:val="00436999"/>
    <w:rsid w:val="004369B4"/>
    <w:rsid w:val="00436B4B"/>
    <w:rsid w:val="00436C93"/>
    <w:rsid w:val="00436CCB"/>
    <w:rsid w:val="00436D8F"/>
    <w:rsid w:val="00436DA1"/>
    <w:rsid w:val="00436DD7"/>
    <w:rsid w:val="00436E32"/>
    <w:rsid w:val="00436E34"/>
    <w:rsid w:val="00436E5C"/>
    <w:rsid w:val="00436EA1"/>
    <w:rsid w:val="00436F2C"/>
    <w:rsid w:val="00436F90"/>
    <w:rsid w:val="00436FA6"/>
    <w:rsid w:val="00436FB3"/>
    <w:rsid w:val="00436FC2"/>
    <w:rsid w:val="00436FF1"/>
    <w:rsid w:val="00437042"/>
    <w:rsid w:val="004370DB"/>
    <w:rsid w:val="004370F4"/>
    <w:rsid w:val="00437110"/>
    <w:rsid w:val="004371F3"/>
    <w:rsid w:val="00437229"/>
    <w:rsid w:val="004372FE"/>
    <w:rsid w:val="00437371"/>
    <w:rsid w:val="004373AF"/>
    <w:rsid w:val="004373BD"/>
    <w:rsid w:val="004373EB"/>
    <w:rsid w:val="00437490"/>
    <w:rsid w:val="004374DC"/>
    <w:rsid w:val="00437560"/>
    <w:rsid w:val="004375B0"/>
    <w:rsid w:val="0043783D"/>
    <w:rsid w:val="0043785E"/>
    <w:rsid w:val="00437973"/>
    <w:rsid w:val="004379C8"/>
    <w:rsid w:val="00437A2C"/>
    <w:rsid w:val="00437A45"/>
    <w:rsid w:val="00437B1F"/>
    <w:rsid w:val="00437B3B"/>
    <w:rsid w:val="00437B3D"/>
    <w:rsid w:val="00437B92"/>
    <w:rsid w:val="00437BBA"/>
    <w:rsid w:val="00437C3B"/>
    <w:rsid w:val="00437CF4"/>
    <w:rsid w:val="00437DC6"/>
    <w:rsid w:val="00437DE3"/>
    <w:rsid w:val="00437E3B"/>
    <w:rsid w:val="00437F4F"/>
    <w:rsid w:val="00437FC7"/>
    <w:rsid w:val="00437FEC"/>
    <w:rsid w:val="00440029"/>
    <w:rsid w:val="004400AC"/>
    <w:rsid w:val="004400CD"/>
    <w:rsid w:val="004401CE"/>
    <w:rsid w:val="004401FC"/>
    <w:rsid w:val="00440357"/>
    <w:rsid w:val="00440432"/>
    <w:rsid w:val="00440448"/>
    <w:rsid w:val="00440597"/>
    <w:rsid w:val="00440A08"/>
    <w:rsid w:val="00440A0E"/>
    <w:rsid w:val="00440A68"/>
    <w:rsid w:val="00440ADA"/>
    <w:rsid w:val="00440B13"/>
    <w:rsid w:val="00440B75"/>
    <w:rsid w:val="00440C71"/>
    <w:rsid w:val="00440CA9"/>
    <w:rsid w:val="00440CDE"/>
    <w:rsid w:val="00440D61"/>
    <w:rsid w:val="00440DC7"/>
    <w:rsid w:val="00440E81"/>
    <w:rsid w:val="00440EE9"/>
    <w:rsid w:val="00440F6C"/>
    <w:rsid w:val="00441044"/>
    <w:rsid w:val="00441086"/>
    <w:rsid w:val="004410FD"/>
    <w:rsid w:val="00441148"/>
    <w:rsid w:val="004411B5"/>
    <w:rsid w:val="00441353"/>
    <w:rsid w:val="00441375"/>
    <w:rsid w:val="00441462"/>
    <w:rsid w:val="0044146A"/>
    <w:rsid w:val="0044150E"/>
    <w:rsid w:val="0044152D"/>
    <w:rsid w:val="00441593"/>
    <w:rsid w:val="004415DA"/>
    <w:rsid w:val="00441632"/>
    <w:rsid w:val="00441662"/>
    <w:rsid w:val="004417B2"/>
    <w:rsid w:val="00441820"/>
    <w:rsid w:val="00441A09"/>
    <w:rsid w:val="00441A17"/>
    <w:rsid w:val="00441AA0"/>
    <w:rsid w:val="00441C4F"/>
    <w:rsid w:val="00441C72"/>
    <w:rsid w:val="00441C84"/>
    <w:rsid w:val="00441D5B"/>
    <w:rsid w:val="00441D5F"/>
    <w:rsid w:val="00441D9C"/>
    <w:rsid w:val="00441E16"/>
    <w:rsid w:val="00441FF0"/>
    <w:rsid w:val="00441FF5"/>
    <w:rsid w:val="00442078"/>
    <w:rsid w:val="0044212D"/>
    <w:rsid w:val="004421A2"/>
    <w:rsid w:val="004421A7"/>
    <w:rsid w:val="0044224D"/>
    <w:rsid w:val="00442438"/>
    <w:rsid w:val="00442450"/>
    <w:rsid w:val="00442473"/>
    <w:rsid w:val="00442497"/>
    <w:rsid w:val="00442588"/>
    <w:rsid w:val="004425B7"/>
    <w:rsid w:val="0044270A"/>
    <w:rsid w:val="0044271F"/>
    <w:rsid w:val="0044274F"/>
    <w:rsid w:val="00442757"/>
    <w:rsid w:val="00442763"/>
    <w:rsid w:val="004427D5"/>
    <w:rsid w:val="00442808"/>
    <w:rsid w:val="00442837"/>
    <w:rsid w:val="00442848"/>
    <w:rsid w:val="00442954"/>
    <w:rsid w:val="004429A2"/>
    <w:rsid w:val="004429F0"/>
    <w:rsid w:val="00442AC2"/>
    <w:rsid w:val="00442B16"/>
    <w:rsid w:val="00442B3D"/>
    <w:rsid w:val="00442B51"/>
    <w:rsid w:val="00442C27"/>
    <w:rsid w:val="00442CC6"/>
    <w:rsid w:val="00442CF6"/>
    <w:rsid w:val="00442E0A"/>
    <w:rsid w:val="00442F02"/>
    <w:rsid w:val="004431AD"/>
    <w:rsid w:val="004431C2"/>
    <w:rsid w:val="004432B9"/>
    <w:rsid w:val="00443485"/>
    <w:rsid w:val="00443528"/>
    <w:rsid w:val="00443639"/>
    <w:rsid w:val="004436AF"/>
    <w:rsid w:val="0044370E"/>
    <w:rsid w:val="00443818"/>
    <w:rsid w:val="0044384F"/>
    <w:rsid w:val="004438D0"/>
    <w:rsid w:val="0044395F"/>
    <w:rsid w:val="004439AF"/>
    <w:rsid w:val="004439E0"/>
    <w:rsid w:val="00443A23"/>
    <w:rsid w:val="00443B16"/>
    <w:rsid w:val="00443B19"/>
    <w:rsid w:val="00443B49"/>
    <w:rsid w:val="00443B78"/>
    <w:rsid w:val="00443BCC"/>
    <w:rsid w:val="00443BDD"/>
    <w:rsid w:val="00443C09"/>
    <w:rsid w:val="00443C45"/>
    <w:rsid w:val="00443C65"/>
    <w:rsid w:val="00443D7E"/>
    <w:rsid w:val="00443DA2"/>
    <w:rsid w:val="00443DDE"/>
    <w:rsid w:val="00443EB4"/>
    <w:rsid w:val="00443F33"/>
    <w:rsid w:val="00443F52"/>
    <w:rsid w:val="0044405F"/>
    <w:rsid w:val="004440D6"/>
    <w:rsid w:val="004440EA"/>
    <w:rsid w:val="00444105"/>
    <w:rsid w:val="0044410D"/>
    <w:rsid w:val="0044412B"/>
    <w:rsid w:val="004441AD"/>
    <w:rsid w:val="004441C1"/>
    <w:rsid w:val="004441D2"/>
    <w:rsid w:val="004441E4"/>
    <w:rsid w:val="004441FB"/>
    <w:rsid w:val="00444201"/>
    <w:rsid w:val="0044426E"/>
    <w:rsid w:val="004442FF"/>
    <w:rsid w:val="00444307"/>
    <w:rsid w:val="00444358"/>
    <w:rsid w:val="00444463"/>
    <w:rsid w:val="004444F1"/>
    <w:rsid w:val="00444543"/>
    <w:rsid w:val="00444549"/>
    <w:rsid w:val="0044454B"/>
    <w:rsid w:val="00444695"/>
    <w:rsid w:val="004446F0"/>
    <w:rsid w:val="00444769"/>
    <w:rsid w:val="004447B0"/>
    <w:rsid w:val="00444823"/>
    <w:rsid w:val="0044483D"/>
    <w:rsid w:val="00444841"/>
    <w:rsid w:val="0044484F"/>
    <w:rsid w:val="00444878"/>
    <w:rsid w:val="0044487B"/>
    <w:rsid w:val="0044496F"/>
    <w:rsid w:val="004449A0"/>
    <w:rsid w:val="00444B18"/>
    <w:rsid w:val="00444C66"/>
    <w:rsid w:val="00444D2E"/>
    <w:rsid w:val="00444D76"/>
    <w:rsid w:val="00444DBC"/>
    <w:rsid w:val="00444E5E"/>
    <w:rsid w:val="00444E79"/>
    <w:rsid w:val="00444F67"/>
    <w:rsid w:val="00445032"/>
    <w:rsid w:val="0044523C"/>
    <w:rsid w:val="00445292"/>
    <w:rsid w:val="004452BE"/>
    <w:rsid w:val="00445336"/>
    <w:rsid w:val="00445362"/>
    <w:rsid w:val="004453D4"/>
    <w:rsid w:val="00445623"/>
    <w:rsid w:val="0044564F"/>
    <w:rsid w:val="00445776"/>
    <w:rsid w:val="004457B6"/>
    <w:rsid w:val="0044584E"/>
    <w:rsid w:val="004458CB"/>
    <w:rsid w:val="00445993"/>
    <w:rsid w:val="00445A91"/>
    <w:rsid w:val="00445AFB"/>
    <w:rsid w:val="00445B3B"/>
    <w:rsid w:val="00445CB6"/>
    <w:rsid w:val="00445D60"/>
    <w:rsid w:val="00445DAB"/>
    <w:rsid w:val="00445E67"/>
    <w:rsid w:val="00445E9B"/>
    <w:rsid w:val="00445F90"/>
    <w:rsid w:val="00446050"/>
    <w:rsid w:val="00446102"/>
    <w:rsid w:val="0044615F"/>
    <w:rsid w:val="00446178"/>
    <w:rsid w:val="00446253"/>
    <w:rsid w:val="004462A0"/>
    <w:rsid w:val="004462F4"/>
    <w:rsid w:val="00446352"/>
    <w:rsid w:val="00446364"/>
    <w:rsid w:val="00446377"/>
    <w:rsid w:val="004464E3"/>
    <w:rsid w:val="004465B1"/>
    <w:rsid w:val="004465C9"/>
    <w:rsid w:val="00446672"/>
    <w:rsid w:val="004466CD"/>
    <w:rsid w:val="00446719"/>
    <w:rsid w:val="0044682F"/>
    <w:rsid w:val="00446906"/>
    <w:rsid w:val="00446967"/>
    <w:rsid w:val="004469E2"/>
    <w:rsid w:val="00446A90"/>
    <w:rsid w:val="00446B37"/>
    <w:rsid w:val="00446BEB"/>
    <w:rsid w:val="00446CE5"/>
    <w:rsid w:val="00446DC6"/>
    <w:rsid w:val="00446DD6"/>
    <w:rsid w:val="00446E4B"/>
    <w:rsid w:val="00446E4F"/>
    <w:rsid w:val="00446E80"/>
    <w:rsid w:val="00446ED6"/>
    <w:rsid w:val="00446F0F"/>
    <w:rsid w:val="00446FA9"/>
    <w:rsid w:val="0044712B"/>
    <w:rsid w:val="004471EE"/>
    <w:rsid w:val="00447280"/>
    <w:rsid w:val="004472A6"/>
    <w:rsid w:val="00447397"/>
    <w:rsid w:val="004473AE"/>
    <w:rsid w:val="004473D3"/>
    <w:rsid w:val="00447427"/>
    <w:rsid w:val="00447589"/>
    <w:rsid w:val="004475E8"/>
    <w:rsid w:val="004476C6"/>
    <w:rsid w:val="004476F6"/>
    <w:rsid w:val="00447825"/>
    <w:rsid w:val="004478EC"/>
    <w:rsid w:val="00447903"/>
    <w:rsid w:val="00447966"/>
    <w:rsid w:val="00447A04"/>
    <w:rsid w:val="00447A82"/>
    <w:rsid w:val="00447AB6"/>
    <w:rsid w:val="00447B4B"/>
    <w:rsid w:val="00447B55"/>
    <w:rsid w:val="00447BA0"/>
    <w:rsid w:val="00447BE7"/>
    <w:rsid w:val="00447D19"/>
    <w:rsid w:val="00447DA9"/>
    <w:rsid w:val="00447ECE"/>
    <w:rsid w:val="00447F50"/>
    <w:rsid w:val="00447FC3"/>
    <w:rsid w:val="004500C4"/>
    <w:rsid w:val="00450104"/>
    <w:rsid w:val="0045017D"/>
    <w:rsid w:val="0045024B"/>
    <w:rsid w:val="004502AA"/>
    <w:rsid w:val="004502C0"/>
    <w:rsid w:val="004502F1"/>
    <w:rsid w:val="00450369"/>
    <w:rsid w:val="004504B4"/>
    <w:rsid w:val="00450520"/>
    <w:rsid w:val="00450650"/>
    <w:rsid w:val="00450659"/>
    <w:rsid w:val="0045066F"/>
    <w:rsid w:val="0045069A"/>
    <w:rsid w:val="004506F4"/>
    <w:rsid w:val="00450709"/>
    <w:rsid w:val="0045077B"/>
    <w:rsid w:val="004507AB"/>
    <w:rsid w:val="004507BB"/>
    <w:rsid w:val="00450832"/>
    <w:rsid w:val="00450880"/>
    <w:rsid w:val="004508B3"/>
    <w:rsid w:val="004509A1"/>
    <w:rsid w:val="00450A20"/>
    <w:rsid w:val="00450B77"/>
    <w:rsid w:val="00450BA3"/>
    <w:rsid w:val="00450BBC"/>
    <w:rsid w:val="00450C84"/>
    <w:rsid w:val="00450D29"/>
    <w:rsid w:val="00450F12"/>
    <w:rsid w:val="00450F3C"/>
    <w:rsid w:val="00450F5D"/>
    <w:rsid w:val="0045107B"/>
    <w:rsid w:val="004510D5"/>
    <w:rsid w:val="00451126"/>
    <w:rsid w:val="00451144"/>
    <w:rsid w:val="0045133D"/>
    <w:rsid w:val="00451356"/>
    <w:rsid w:val="004513A8"/>
    <w:rsid w:val="0045144B"/>
    <w:rsid w:val="00451494"/>
    <w:rsid w:val="0045156A"/>
    <w:rsid w:val="004515A7"/>
    <w:rsid w:val="004515C0"/>
    <w:rsid w:val="004515D4"/>
    <w:rsid w:val="0045164E"/>
    <w:rsid w:val="00451654"/>
    <w:rsid w:val="0045166C"/>
    <w:rsid w:val="004516B0"/>
    <w:rsid w:val="004516C5"/>
    <w:rsid w:val="0045178B"/>
    <w:rsid w:val="00451821"/>
    <w:rsid w:val="00451877"/>
    <w:rsid w:val="00451968"/>
    <w:rsid w:val="0045197B"/>
    <w:rsid w:val="00451A1F"/>
    <w:rsid w:val="00451AA4"/>
    <w:rsid w:val="00451AF2"/>
    <w:rsid w:val="00451B2E"/>
    <w:rsid w:val="00451BDC"/>
    <w:rsid w:val="00451CB5"/>
    <w:rsid w:val="00451CC3"/>
    <w:rsid w:val="00451CDC"/>
    <w:rsid w:val="00451D4A"/>
    <w:rsid w:val="00451D83"/>
    <w:rsid w:val="00451D93"/>
    <w:rsid w:val="00451DD3"/>
    <w:rsid w:val="00451E4A"/>
    <w:rsid w:val="00451EAD"/>
    <w:rsid w:val="00451ED1"/>
    <w:rsid w:val="00451EDF"/>
    <w:rsid w:val="00451F66"/>
    <w:rsid w:val="00451FDC"/>
    <w:rsid w:val="00452006"/>
    <w:rsid w:val="004520C3"/>
    <w:rsid w:val="00452125"/>
    <w:rsid w:val="0045212D"/>
    <w:rsid w:val="00452178"/>
    <w:rsid w:val="0045224D"/>
    <w:rsid w:val="00452268"/>
    <w:rsid w:val="00452299"/>
    <w:rsid w:val="00452524"/>
    <w:rsid w:val="0045255D"/>
    <w:rsid w:val="004525AF"/>
    <w:rsid w:val="00452797"/>
    <w:rsid w:val="00452817"/>
    <w:rsid w:val="00452897"/>
    <w:rsid w:val="00452965"/>
    <w:rsid w:val="00452993"/>
    <w:rsid w:val="00452ADE"/>
    <w:rsid w:val="00452B16"/>
    <w:rsid w:val="00452B18"/>
    <w:rsid w:val="00452B5F"/>
    <w:rsid w:val="00452BB6"/>
    <w:rsid w:val="00452C5A"/>
    <w:rsid w:val="00452CDF"/>
    <w:rsid w:val="00452D0D"/>
    <w:rsid w:val="00452DE7"/>
    <w:rsid w:val="00452DEC"/>
    <w:rsid w:val="00452DF9"/>
    <w:rsid w:val="00452E77"/>
    <w:rsid w:val="00452F5E"/>
    <w:rsid w:val="00452FA5"/>
    <w:rsid w:val="00452FAC"/>
    <w:rsid w:val="0045301C"/>
    <w:rsid w:val="00453028"/>
    <w:rsid w:val="00453092"/>
    <w:rsid w:val="004530F3"/>
    <w:rsid w:val="00453104"/>
    <w:rsid w:val="0045313F"/>
    <w:rsid w:val="004531E4"/>
    <w:rsid w:val="00453375"/>
    <w:rsid w:val="0045341F"/>
    <w:rsid w:val="00453590"/>
    <w:rsid w:val="00453717"/>
    <w:rsid w:val="00453882"/>
    <w:rsid w:val="00453894"/>
    <w:rsid w:val="00453925"/>
    <w:rsid w:val="004539D1"/>
    <w:rsid w:val="00453C13"/>
    <w:rsid w:val="00453D0C"/>
    <w:rsid w:val="00453DA3"/>
    <w:rsid w:val="00453E60"/>
    <w:rsid w:val="004541B4"/>
    <w:rsid w:val="004541DB"/>
    <w:rsid w:val="004541E9"/>
    <w:rsid w:val="00454359"/>
    <w:rsid w:val="004543B3"/>
    <w:rsid w:val="00454404"/>
    <w:rsid w:val="004544B6"/>
    <w:rsid w:val="004544BF"/>
    <w:rsid w:val="00454551"/>
    <w:rsid w:val="004545B9"/>
    <w:rsid w:val="004545EB"/>
    <w:rsid w:val="00454699"/>
    <w:rsid w:val="004546D5"/>
    <w:rsid w:val="004546E6"/>
    <w:rsid w:val="0045478D"/>
    <w:rsid w:val="004547E5"/>
    <w:rsid w:val="00454860"/>
    <w:rsid w:val="004548B5"/>
    <w:rsid w:val="004548FC"/>
    <w:rsid w:val="00454930"/>
    <w:rsid w:val="00454967"/>
    <w:rsid w:val="00454A29"/>
    <w:rsid w:val="00454A98"/>
    <w:rsid w:val="00454A9D"/>
    <w:rsid w:val="00454B68"/>
    <w:rsid w:val="00454B8D"/>
    <w:rsid w:val="00454BA7"/>
    <w:rsid w:val="00454BC7"/>
    <w:rsid w:val="00454BDE"/>
    <w:rsid w:val="00454BE4"/>
    <w:rsid w:val="00454C53"/>
    <w:rsid w:val="00454C72"/>
    <w:rsid w:val="00454DE6"/>
    <w:rsid w:val="00454EB7"/>
    <w:rsid w:val="00454F03"/>
    <w:rsid w:val="00454F0A"/>
    <w:rsid w:val="00455075"/>
    <w:rsid w:val="004550E6"/>
    <w:rsid w:val="004551C4"/>
    <w:rsid w:val="00455249"/>
    <w:rsid w:val="0045526C"/>
    <w:rsid w:val="00455282"/>
    <w:rsid w:val="0045537D"/>
    <w:rsid w:val="004554C3"/>
    <w:rsid w:val="00455558"/>
    <w:rsid w:val="0045569A"/>
    <w:rsid w:val="00455703"/>
    <w:rsid w:val="00455740"/>
    <w:rsid w:val="00455755"/>
    <w:rsid w:val="004557F7"/>
    <w:rsid w:val="00455863"/>
    <w:rsid w:val="004558B0"/>
    <w:rsid w:val="00455950"/>
    <w:rsid w:val="00455ADB"/>
    <w:rsid w:val="00455B0F"/>
    <w:rsid w:val="00455BAC"/>
    <w:rsid w:val="00455C23"/>
    <w:rsid w:val="00455CE5"/>
    <w:rsid w:val="00455E60"/>
    <w:rsid w:val="00455E97"/>
    <w:rsid w:val="00456016"/>
    <w:rsid w:val="004560EA"/>
    <w:rsid w:val="004560F1"/>
    <w:rsid w:val="0045618D"/>
    <w:rsid w:val="004561A6"/>
    <w:rsid w:val="0045620D"/>
    <w:rsid w:val="0045624D"/>
    <w:rsid w:val="00456274"/>
    <w:rsid w:val="0045632A"/>
    <w:rsid w:val="0045634B"/>
    <w:rsid w:val="00456379"/>
    <w:rsid w:val="00456518"/>
    <w:rsid w:val="00456577"/>
    <w:rsid w:val="00456601"/>
    <w:rsid w:val="00456654"/>
    <w:rsid w:val="00456684"/>
    <w:rsid w:val="004566D4"/>
    <w:rsid w:val="00456718"/>
    <w:rsid w:val="004567BB"/>
    <w:rsid w:val="00456845"/>
    <w:rsid w:val="004568B7"/>
    <w:rsid w:val="00456925"/>
    <w:rsid w:val="00456967"/>
    <w:rsid w:val="004569BB"/>
    <w:rsid w:val="00456A93"/>
    <w:rsid w:val="00456BC1"/>
    <w:rsid w:val="00456C9E"/>
    <w:rsid w:val="00456CFD"/>
    <w:rsid w:val="00456E06"/>
    <w:rsid w:val="00456E11"/>
    <w:rsid w:val="00456E99"/>
    <w:rsid w:val="00456EFE"/>
    <w:rsid w:val="00456F5C"/>
    <w:rsid w:val="00456FC2"/>
    <w:rsid w:val="00457078"/>
    <w:rsid w:val="004570FE"/>
    <w:rsid w:val="00457125"/>
    <w:rsid w:val="0045712C"/>
    <w:rsid w:val="004571B4"/>
    <w:rsid w:val="00457321"/>
    <w:rsid w:val="0045734E"/>
    <w:rsid w:val="0045742A"/>
    <w:rsid w:val="00457465"/>
    <w:rsid w:val="0045746A"/>
    <w:rsid w:val="004574B8"/>
    <w:rsid w:val="004574ED"/>
    <w:rsid w:val="00457551"/>
    <w:rsid w:val="004575E0"/>
    <w:rsid w:val="004575ED"/>
    <w:rsid w:val="00457821"/>
    <w:rsid w:val="0045784F"/>
    <w:rsid w:val="00457A0E"/>
    <w:rsid w:val="00457AA9"/>
    <w:rsid w:val="00457BB1"/>
    <w:rsid w:val="00457BD9"/>
    <w:rsid w:val="00457CD4"/>
    <w:rsid w:val="00457DC2"/>
    <w:rsid w:val="00457E96"/>
    <w:rsid w:val="00457EE0"/>
    <w:rsid w:val="00457F33"/>
    <w:rsid w:val="00457FF3"/>
    <w:rsid w:val="00460092"/>
    <w:rsid w:val="00460147"/>
    <w:rsid w:val="004601E6"/>
    <w:rsid w:val="0046022A"/>
    <w:rsid w:val="00460299"/>
    <w:rsid w:val="00460377"/>
    <w:rsid w:val="004603C7"/>
    <w:rsid w:val="0046043C"/>
    <w:rsid w:val="004605D4"/>
    <w:rsid w:val="0046060A"/>
    <w:rsid w:val="004606C0"/>
    <w:rsid w:val="00460749"/>
    <w:rsid w:val="004607CF"/>
    <w:rsid w:val="004607EE"/>
    <w:rsid w:val="00460865"/>
    <w:rsid w:val="00460867"/>
    <w:rsid w:val="004608AF"/>
    <w:rsid w:val="0046090F"/>
    <w:rsid w:val="004609A7"/>
    <w:rsid w:val="004609CC"/>
    <w:rsid w:val="00460B84"/>
    <w:rsid w:val="00460BA1"/>
    <w:rsid w:val="00460C06"/>
    <w:rsid w:val="00460C1D"/>
    <w:rsid w:val="00460C77"/>
    <w:rsid w:val="00460CC1"/>
    <w:rsid w:val="00460CF3"/>
    <w:rsid w:val="00460F02"/>
    <w:rsid w:val="00460F26"/>
    <w:rsid w:val="0046106F"/>
    <w:rsid w:val="0046111F"/>
    <w:rsid w:val="004611BD"/>
    <w:rsid w:val="004611C5"/>
    <w:rsid w:val="004611CB"/>
    <w:rsid w:val="0046135B"/>
    <w:rsid w:val="004614E3"/>
    <w:rsid w:val="00461580"/>
    <w:rsid w:val="00461690"/>
    <w:rsid w:val="0046170B"/>
    <w:rsid w:val="0046170D"/>
    <w:rsid w:val="0046177D"/>
    <w:rsid w:val="004617C3"/>
    <w:rsid w:val="00461824"/>
    <w:rsid w:val="004618A1"/>
    <w:rsid w:val="004618A7"/>
    <w:rsid w:val="004619F2"/>
    <w:rsid w:val="00461A17"/>
    <w:rsid w:val="00461A4F"/>
    <w:rsid w:val="00461A9C"/>
    <w:rsid w:val="00461B89"/>
    <w:rsid w:val="00461B91"/>
    <w:rsid w:val="00461BA7"/>
    <w:rsid w:val="00461BD2"/>
    <w:rsid w:val="00461C11"/>
    <w:rsid w:val="00461C2B"/>
    <w:rsid w:val="00461D3A"/>
    <w:rsid w:val="00461DE0"/>
    <w:rsid w:val="00461DFA"/>
    <w:rsid w:val="00462129"/>
    <w:rsid w:val="00462138"/>
    <w:rsid w:val="00462160"/>
    <w:rsid w:val="004621A0"/>
    <w:rsid w:val="0046242B"/>
    <w:rsid w:val="00462446"/>
    <w:rsid w:val="00462486"/>
    <w:rsid w:val="00462516"/>
    <w:rsid w:val="00462540"/>
    <w:rsid w:val="004625FB"/>
    <w:rsid w:val="00462622"/>
    <w:rsid w:val="00462655"/>
    <w:rsid w:val="004626B5"/>
    <w:rsid w:val="00462700"/>
    <w:rsid w:val="004627E7"/>
    <w:rsid w:val="0046299F"/>
    <w:rsid w:val="00462A92"/>
    <w:rsid w:val="00462AB3"/>
    <w:rsid w:val="00462B4D"/>
    <w:rsid w:val="00462B86"/>
    <w:rsid w:val="00462BBF"/>
    <w:rsid w:val="00462CD4"/>
    <w:rsid w:val="00462D48"/>
    <w:rsid w:val="00462DE0"/>
    <w:rsid w:val="00462EB8"/>
    <w:rsid w:val="00462EF6"/>
    <w:rsid w:val="00462F11"/>
    <w:rsid w:val="00463119"/>
    <w:rsid w:val="00463267"/>
    <w:rsid w:val="0046329D"/>
    <w:rsid w:val="00463357"/>
    <w:rsid w:val="004633D1"/>
    <w:rsid w:val="004633DD"/>
    <w:rsid w:val="00463410"/>
    <w:rsid w:val="00463481"/>
    <w:rsid w:val="004634F2"/>
    <w:rsid w:val="00463797"/>
    <w:rsid w:val="004637DE"/>
    <w:rsid w:val="00463853"/>
    <w:rsid w:val="004639C6"/>
    <w:rsid w:val="00463A02"/>
    <w:rsid w:val="00463A10"/>
    <w:rsid w:val="00463A3E"/>
    <w:rsid w:val="00463B01"/>
    <w:rsid w:val="00463C32"/>
    <w:rsid w:val="00463C4B"/>
    <w:rsid w:val="00463D21"/>
    <w:rsid w:val="00463D22"/>
    <w:rsid w:val="00463D7C"/>
    <w:rsid w:val="00463DCE"/>
    <w:rsid w:val="00463EAB"/>
    <w:rsid w:val="00463F4E"/>
    <w:rsid w:val="00463F60"/>
    <w:rsid w:val="00463FA8"/>
    <w:rsid w:val="00464081"/>
    <w:rsid w:val="00464133"/>
    <w:rsid w:val="0046414E"/>
    <w:rsid w:val="00464155"/>
    <w:rsid w:val="004641EA"/>
    <w:rsid w:val="004641F4"/>
    <w:rsid w:val="00464208"/>
    <w:rsid w:val="00464273"/>
    <w:rsid w:val="0046433E"/>
    <w:rsid w:val="00464344"/>
    <w:rsid w:val="00464349"/>
    <w:rsid w:val="00464391"/>
    <w:rsid w:val="00464403"/>
    <w:rsid w:val="0046444F"/>
    <w:rsid w:val="00464530"/>
    <w:rsid w:val="00464661"/>
    <w:rsid w:val="004646CB"/>
    <w:rsid w:val="00464714"/>
    <w:rsid w:val="0046477E"/>
    <w:rsid w:val="00464805"/>
    <w:rsid w:val="004649C3"/>
    <w:rsid w:val="00464A9C"/>
    <w:rsid w:val="00464AF6"/>
    <w:rsid w:val="00464BBC"/>
    <w:rsid w:val="00464C1D"/>
    <w:rsid w:val="00464C66"/>
    <w:rsid w:val="00464C7B"/>
    <w:rsid w:val="00464C8D"/>
    <w:rsid w:val="00464CB7"/>
    <w:rsid w:val="00464EA7"/>
    <w:rsid w:val="00464F1A"/>
    <w:rsid w:val="00464FA1"/>
    <w:rsid w:val="00465027"/>
    <w:rsid w:val="00465099"/>
    <w:rsid w:val="004650C4"/>
    <w:rsid w:val="00465174"/>
    <w:rsid w:val="00465301"/>
    <w:rsid w:val="0046536D"/>
    <w:rsid w:val="0046554C"/>
    <w:rsid w:val="004655CE"/>
    <w:rsid w:val="004656AA"/>
    <w:rsid w:val="004656E9"/>
    <w:rsid w:val="00465724"/>
    <w:rsid w:val="0046573B"/>
    <w:rsid w:val="004657D1"/>
    <w:rsid w:val="00465910"/>
    <w:rsid w:val="00465914"/>
    <w:rsid w:val="00465934"/>
    <w:rsid w:val="00465996"/>
    <w:rsid w:val="004659DD"/>
    <w:rsid w:val="00465AB0"/>
    <w:rsid w:val="00465B26"/>
    <w:rsid w:val="00465BDA"/>
    <w:rsid w:val="00465BED"/>
    <w:rsid w:val="00465C05"/>
    <w:rsid w:val="00465C38"/>
    <w:rsid w:val="00465C9E"/>
    <w:rsid w:val="00465CD4"/>
    <w:rsid w:val="00465D14"/>
    <w:rsid w:val="00465D3A"/>
    <w:rsid w:val="00465E78"/>
    <w:rsid w:val="00465EAE"/>
    <w:rsid w:val="00465EF4"/>
    <w:rsid w:val="00466006"/>
    <w:rsid w:val="0046609E"/>
    <w:rsid w:val="00466104"/>
    <w:rsid w:val="0046619D"/>
    <w:rsid w:val="004661A5"/>
    <w:rsid w:val="00466219"/>
    <w:rsid w:val="0046624D"/>
    <w:rsid w:val="0046629E"/>
    <w:rsid w:val="00466328"/>
    <w:rsid w:val="00466481"/>
    <w:rsid w:val="0046649B"/>
    <w:rsid w:val="004665D4"/>
    <w:rsid w:val="00466721"/>
    <w:rsid w:val="00466723"/>
    <w:rsid w:val="00466757"/>
    <w:rsid w:val="004667BD"/>
    <w:rsid w:val="0046682F"/>
    <w:rsid w:val="004668A6"/>
    <w:rsid w:val="00466A02"/>
    <w:rsid w:val="00466AF1"/>
    <w:rsid w:val="00466B09"/>
    <w:rsid w:val="00466B1A"/>
    <w:rsid w:val="00466BDC"/>
    <w:rsid w:val="00466C19"/>
    <w:rsid w:val="00466C26"/>
    <w:rsid w:val="00466CA3"/>
    <w:rsid w:val="00466D5A"/>
    <w:rsid w:val="00466DBE"/>
    <w:rsid w:val="00466EEA"/>
    <w:rsid w:val="0046718A"/>
    <w:rsid w:val="004671DB"/>
    <w:rsid w:val="004671EA"/>
    <w:rsid w:val="0046727D"/>
    <w:rsid w:val="0046729F"/>
    <w:rsid w:val="00467384"/>
    <w:rsid w:val="004673EB"/>
    <w:rsid w:val="004674D4"/>
    <w:rsid w:val="00467536"/>
    <w:rsid w:val="00467722"/>
    <w:rsid w:val="00467741"/>
    <w:rsid w:val="0046777D"/>
    <w:rsid w:val="004677DF"/>
    <w:rsid w:val="0046782B"/>
    <w:rsid w:val="00467831"/>
    <w:rsid w:val="0046788F"/>
    <w:rsid w:val="0046789E"/>
    <w:rsid w:val="00467915"/>
    <w:rsid w:val="00467934"/>
    <w:rsid w:val="0046793E"/>
    <w:rsid w:val="00467A0D"/>
    <w:rsid w:val="00467A6B"/>
    <w:rsid w:val="00467A7C"/>
    <w:rsid w:val="00467ADB"/>
    <w:rsid w:val="00467ADD"/>
    <w:rsid w:val="00467B37"/>
    <w:rsid w:val="00467BAB"/>
    <w:rsid w:val="00467C8E"/>
    <w:rsid w:val="00467CBC"/>
    <w:rsid w:val="00467CE7"/>
    <w:rsid w:val="00467D57"/>
    <w:rsid w:val="00467D8A"/>
    <w:rsid w:val="00467E92"/>
    <w:rsid w:val="00467EC5"/>
    <w:rsid w:val="00467F21"/>
    <w:rsid w:val="00467F81"/>
    <w:rsid w:val="00470163"/>
    <w:rsid w:val="00470264"/>
    <w:rsid w:val="00470361"/>
    <w:rsid w:val="0047037B"/>
    <w:rsid w:val="00470437"/>
    <w:rsid w:val="00470518"/>
    <w:rsid w:val="00470570"/>
    <w:rsid w:val="004705A7"/>
    <w:rsid w:val="004705FF"/>
    <w:rsid w:val="00470636"/>
    <w:rsid w:val="00470692"/>
    <w:rsid w:val="004706EB"/>
    <w:rsid w:val="00470717"/>
    <w:rsid w:val="00470765"/>
    <w:rsid w:val="004707F0"/>
    <w:rsid w:val="00470866"/>
    <w:rsid w:val="004709CF"/>
    <w:rsid w:val="00470A00"/>
    <w:rsid w:val="00470A58"/>
    <w:rsid w:val="00470ABD"/>
    <w:rsid w:val="00470D09"/>
    <w:rsid w:val="00470D4B"/>
    <w:rsid w:val="004710B5"/>
    <w:rsid w:val="004711DC"/>
    <w:rsid w:val="004711DF"/>
    <w:rsid w:val="00471212"/>
    <w:rsid w:val="00471219"/>
    <w:rsid w:val="00471266"/>
    <w:rsid w:val="0047128F"/>
    <w:rsid w:val="0047131C"/>
    <w:rsid w:val="00471367"/>
    <w:rsid w:val="004713E2"/>
    <w:rsid w:val="00471426"/>
    <w:rsid w:val="00471431"/>
    <w:rsid w:val="00471479"/>
    <w:rsid w:val="00471574"/>
    <w:rsid w:val="00471697"/>
    <w:rsid w:val="00471775"/>
    <w:rsid w:val="004718A5"/>
    <w:rsid w:val="00471980"/>
    <w:rsid w:val="00471AC5"/>
    <w:rsid w:val="00471B1A"/>
    <w:rsid w:val="00471B72"/>
    <w:rsid w:val="00471B9E"/>
    <w:rsid w:val="00471CF7"/>
    <w:rsid w:val="00471DC2"/>
    <w:rsid w:val="00471DD7"/>
    <w:rsid w:val="00471E61"/>
    <w:rsid w:val="00471EDC"/>
    <w:rsid w:val="00471EF9"/>
    <w:rsid w:val="00471F30"/>
    <w:rsid w:val="00471F86"/>
    <w:rsid w:val="0047209D"/>
    <w:rsid w:val="004720DA"/>
    <w:rsid w:val="00472553"/>
    <w:rsid w:val="00472573"/>
    <w:rsid w:val="0047258D"/>
    <w:rsid w:val="004725FF"/>
    <w:rsid w:val="00472610"/>
    <w:rsid w:val="004727FC"/>
    <w:rsid w:val="004727FF"/>
    <w:rsid w:val="00472895"/>
    <w:rsid w:val="004728A5"/>
    <w:rsid w:val="004728C1"/>
    <w:rsid w:val="00472917"/>
    <w:rsid w:val="004729D1"/>
    <w:rsid w:val="00472A02"/>
    <w:rsid w:val="00472AF6"/>
    <w:rsid w:val="00472C0E"/>
    <w:rsid w:val="00472C3C"/>
    <w:rsid w:val="00472C82"/>
    <w:rsid w:val="00472CD4"/>
    <w:rsid w:val="00472DE0"/>
    <w:rsid w:val="00472EB9"/>
    <w:rsid w:val="00472EFD"/>
    <w:rsid w:val="00472F0A"/>
    <w:rsid w:val="00472FA2"/>
    <w:rsid w:val="00472FCB"/>
    <w:rsid w:val="00473032"/>
    <w:rsid w:val="0047318F"/>
    <w:rsid w:val="004732AD"/>
    <w:rsid w:val="004732B8"/>
    <w:rsid w:val="004732CF"/>
    <w:rsid w:val="00473387"/>
    <w:rsid w:val="00473400"/>
    <w:rsid w:val="004734EC"/>
    <w:rsid w:val="0047353A"/>
    <w:rsid w:val="00473588"/>
    <w:rsid w:val="004735B2"/>
    <w:rsid w:val="004735C4"/>
    <w:rsid w:val="004735EA"/>
    <w:rsid w:val="004736CE"/>
    <w:rsid w:val="0047376A"/>
    <w:rsid w:val="004737BB"/>
    <w:rsid w:val="0047386C"/>
    <w:rsid w:val="0047396D"/>
    <w:rsid w:val="00473A2B"/>
    <w:rsid w:val="00473A2F"/>
    <w:rsid w:val="00473A80"/>
    <w:rsid w:val="00473C8D"/>
    <w:rsid w:val="00473CB1"/>
    <w:rsid w:val="00473DF8"/>
    <w:rsid w:val="00473E25"/>
    <w:rsid w:val="00473EC1"/>
    <w:rsid w:val="00473FFE"/>
    <w:rsid w:val="00474037"/>
    <w:rsid w:val="00474052"/>
    <w:rsid w:val="004740CE"/>
    <w:rsid w:val="0047412A"/>
    <w:rsid w:val="00474172"/>
    <w:rsid w:val="00474192"/>
    <w:rsid w:val="004742AB"/>
    <w:rsid w:val="00474447"/>
    <w:rsid w:val="004744B0"/>
    <w:rsid w:val="004744C5"/>
    <w:rsid w:val="004745B8"/>
    <w:rsid w:val="004746B8"/>
    <w:rsid w:val="00474895"/>
    <w:rsid w:val="00474913"/>
    <w:rsid w:val="0047491F"/>
    <w:rsid w:val="0047499D"/>
    <w:rsid w:val="004749C9"/>
    <w:rsid w:val="00474A59"/>
    <w:rsid w:val="00474A6F"/>
    <w:rsid w:val="00474A7C"/>
    <w:rsid w:val="00474ACE"/>
    <w:rsid w:val="00474BA2"/>
    <w:rsid w:val="00474C45"/>
    <w:rsid w:val="00474CB6"/>
    <w:rsid w:val="00474CFE"/>
    <w:rsid w:val="00474D15"/>
    <w:rsid w:val="00474E8E"/>
    <w:rsid w:val="00475015"/>
    <w:rsid w:val="0047504A"/>
    <w:rsid w:val="00475152"/>
    <w:rsid w:val="0047525A"/>
    <w:rsid w:val="004752A8"/>
    <w:rsid w:val="0047533D"/>
    <w:rsid w:val="0047541C"/>
    <w:rsid w:val="004754E2"/>
    <w:rsid w:val="0047553D"/>
    <w:rsid w:val="0047567B"/>
    <w:rsid w:val="0047575D"/>
    <w:rsid w:val="0047587F"/>
    <w:rsid w:val="00475887"/>
    <w:rsid w:val="004758D7"/>
    <w:rsid w:val="004759AB"/>
    <w:rsid w:val="004759BC"/>
    <w:rsid w:val="00475A04"/>
    <w:rsid w:val="00475A54"/>
    <w:rsid w:val="00475A8C"/>
    <w:rsid w:val="00475AF9"/>
    <w:rsid w:val="00475B17"/>
    <w:rsid w:val="00475B6D"/>
    <w:rsid w:val="00475BA4"/>
    <w:rsid w:val="00475BCA"/>
    <w:rsid w:val="00475C57"/>
    <w:rsid w:val="00475C9B"/>
    <w:rsid w:val="00475DC0"/>
    <w:rsid w:val="00475F6E"/>
    <w:rsid w:val="00475F7C"/>
    <w:rsid w:val="00475F7D"/>
    <w:rsid w:val="00475FFB"/>
    <w:rsid w:val="00476021"/>
    <w:rsid w:val="00476023"/>
    <w:rsid w:val="00476067"/>
    <w:rsid w:val="004760AA"/>
    <w:rsid w:val="004760F3"/>
    <w:rsid w:val="004760FD"/>
    <w:rsid w:val="0047614D"/>
    <w:rsid w:val="004761DE"/>
    <w:rsid w:val="0047627C"/>
    <w:rsid w:val="004762DB"/>
    <w:rsid w:val="004762DE"/>
    <w:rsid w:val="00476332"/>
    <w:rsid w:val="00476352"/>
    <w:rsid w:val="00476441"/>
    <w:rsid w:val="00476467"/>
    <w:rsid w:val="004764B3"/>
    <w:rsid w:val="0047651D"/>
    <w:rsid w:val="00476591"/>
    <w:rsid w:val="004766C9"/>
    <w:rsid w:val="00476701"/>
    <w:rsid w:val="0047676E"/>
    <w:rsid w:val="004767F6"/>
    <w:rsid w:val="00476865"/>
    <w:rsid w:val="004768E7"/>
    <w:rsid w:val="0047699A"/>
    <w:rsid w:val="004769F3"/>
    <w:rsid w:val="004769F8"/>
    <w:rsid w:val="00476A1F"/>
    <w:rsid w:val="00476A4F"/>
    <w:rsid w:val="00476D08"/>
    <w:rsid w:val="00476E53"/>
    <w:rsid w:val="00476E93"/>
    <w:rsid w:val="00476EDE"/>
    <w:rsid w:val="00476F33"/>
    <w:rsid w:val="00476F3E"/>
    <w:rsid w:val="00476F70"/>
    <w:rsid w:val="004770C3"/>
    <w:rsid w:val="00477101"/>
    <w:rsid w:val="0047727D"/>
    <w:rsid w:val="00477326"/>
    <w:rsid w:val="00477352"/>
    <w:rsid w:val="0047737E"/>
    <w:rsid w:val="004773FE"/>
    <w:rsid w:val="00477424"/>
    <w:rsid w:val="00477677"/>
    <w:rsid w:val="004776B7"/>
    <w:rsid w:val="004776DA"/>
    <w:rsid w:val="004776F5"/>
    <w:rsid w:val="0047778B"/>
    <w:rsid w:val="004777F7"/>
    <w:rsid w:val="00477808"/>
    <w:rsid w:val="0047783C"/>
    <w:rsid w:val="0047788F"/>
    <w:rsid w:val="00477948"/>
    <w:rsid w:val="00477960"/>
    <w:rsid w:val="0047797E"/>
    <w:rsid w:val="00477B8E"/>
    <w:rsid w:val="00477D4A"/>
    <w:rsid w:val="00477D7C"/>
    <w:rsid w:val="00477D99"/>
    <w:rsid w:val="00477E8C"/>
    <w:rsid w:val="00477E96"/>
    <w:rsid w:val="00477F16"/>
    <w:rsid w:val="00477F8A"/>
    <w:rsid w:val="00477FC8"/>
    <w:rsid w:val="0048000E"/>
    <w:rsid w:val="00480060"/>
    <w:rsid w:val="004802D7"/>
    <w:rsid w:val="00480317"/>
    <w:rsid w:val="004804A4"/>
    <w:rsid w:val="00480521"/>
    <w:rsid w:val="004806FB"/>
    <w:rsid w:val="004807A0"/>
    <w:rsid w:val="004807B7"/>
    <w:rsid w:val="00480811"/>
    <w:rsid w:val="00480864"/>
    <w:rsid w:val="00480874"/>
    <w:rsid w:val="00480A25"/>
    <w:rsid w:val="00480AC4"/>
    <w:rsid w:val="00480AD3"/>
    <w:rsid w:val="00480BCD"/>
    <w:rsid w:val="00480C3A"/>
    <w:rsid w:val="00480C7C"/>
    <w:rsid w:val="00480D39"/>
    <w:rsid w:val="00480D90"/>
    <w:rsid w:val="00480DC1"/>
    <w:rsid w:val="00480E0E"/>
    <w:rsid w:val="00480FA1"/>
    <w:rsid w:val="00481037"/>
    <w:rsid w:val="0048108F"/>
    <w:rsid w:val="004810DA"/>
    <w:rsid w:val="00481191"/>
    <w:rsid w:val="004812BA"/>
    <w:rsid w:val="004815DF"/>
    <w:rsid w:val="00481624"/>
    <w:rsid w:val="00481629"/>
    <w:rsid w:val="00481649"/>
    <w:rsid w:val="0048168F"/>
    <w:rsid w:val="004816FA"/>
    <w:rsid w:val="00481701"/>
    <w:rsid w:val="0048174B"/>
    <w:rsid w:val="004817E6"/>
    <w:rsid w:val="00481845"/>
    <w:rsid w:val="00481869"/>
    <w:rsid w:val="00481954"/>
    <w:rsid w:val="00481987"/>
    <w:rsid w:val="00481A62"/>
    <w:rsid w:val="00481B3B"/>
    <w:rsid w:val="00481B65"/>
    <w:rsid w:val="00481C12"/>
    <w:rsid w:val="00481C38"/>
    <w:rsid w:val="00481C7E"/>
    <w:rsid w:val="00481D8B"/>
    <w:rsid w:val="00481E3E"/>
    <w:rsid w:val="00481E99"/>
    <w:rsid w:val="00481F0A"/>
    <w:rsid w:val="00481F25"/>
    <w:rsid w:val="00481F2C"/>
    <w:rsid w:val="00481F6E"/>
    <w:rsid w:val="004820E7"/>
    <w:rsid w:val="0048218B"/>
    <w:rsid w:val="004821CF"/>
    <w:rsid w:val="004821F0"/>
    <w:rsid w:val="00482264"/>
    <w:rsid w:val="00482282"/>
    <w:rsid w:val="004822B5"/>
    <w:rsid w:val="0048236D"/>
    <w:rsid w:val="0048239A"/>
    <w:rsid w:val="004823A8"/>
    <w:rsid w:val="0048243F"/>
    <w:rsid w:val="00482614"/>
    <w:rsid w:val="004826B8"/>
    <w:rsid w:val="004826E8"/>
    <w:rsid w:val="00482775"/>
    <w:rsid w:val="004827FC"/>
    <w:rsid w:val="004828BC"/>
    <w:rsid w:val="004828DC"/>
    <w:rsid w:val="0048295B"/>
    <w:rsid w:val="004829DF"/>
    <w:rsid w:val="00482A0A"/>
    <w:rsid w:val="00482A15"/>
    <w:rsid w:val="00482A8B"/>
    <w:rsid w:val="00482AC8"/>
    <w:rsid w:val="00482B0A"/>
    <w:rsid w:val="00482D0D"/>
    <w:rsid w:val="00482EEE"/>
    <w:rsid w:val="00482F7C"/>
    <w:rsid w:val="00482FA2"/>
    <w:rsid w:val="00482FF0"/>
    <w:rsid w:val="004830A9"/>
    <w:rsid w:val="004830D1"/>
    <w:rsid w:val="00483155"/>
    <w:rsid w:val="00483181"/>
    <w:rsid w:val="00483192"/>
    <w:rsid w:val="0048328C"/>
    <w:rsid w:val="004832B0"/>
    <w:rsid w:val="0048340A"/>
    <w:rsid w:val="00483456"/>
    <w:rsid w:val="00483568"/>
    <w:rsid w:val="004835A9"/>
    <w:rsid w:val="00483600"/>
    <w:rsid w:val="00483638"/>
    <w:rsid w:val="00483678"/>
    <w:rsid w:val="004836C7"/>
    <w:rsid w:val="004836E3"/>
    <w:rsid w:val="0048379B"/>
    <w:rsid w:val="00483831"/>
    <w:rsid w:val="0048383F"/>
    <w:rsid w:val="0048385B"/>
    <w:rsid w:val="00483876"/>
    <w:rsid w:val="0048395B"/>
    <w:rsid w:val="0048395E"/>
    <w:rsid w:val="00483A02"/>
    <w:rsid w:val="00483AA5"/>
    <w:rsid w:val="00483AE0"/>
    <w:rsid w:val="00483B4B"/>
    <w:rsid w:val="00483B5C"/>
    <w:rsid w:val="00483B63"/>
    <w:rsid w:val="00483BBF"/>
    <w:rsid w:val="00483C42"/>
    <w:rsid w:val="00483C75"/>
    <w:rsid w:val="00483C7F"/>
    <w:rsid w:val="00483C90"/>
    <w:rsid w:val="00483CF7"/>
    <w:rsid w:val="00483DE2"/>
    <w:rsid w:val="00483E36"/>
    <w:rsid w:val="00483EA7"/>
    <w:rsid w:val="004840B3"/>
    <w:rsid w:val="004840FF"/>
    <w:rsid w:val="004841E6"/>
    <w:rsid w:val="004842F1"/>
    <w:rsid w:val="00484337"/>
    <w:rsid w:val="004843A7"/>
    <w:rsid w:val="00484423"/>
    <w:rsid w:val="00484455"/>
    <w:rsid w:val="00484529"/>
    <w:rsid w:val="00484589"/>
    <w:rsid w:val="00484632"/>
    <w:rsid w:val="00484645"/>
    <w:rsid w:val="00484696"/>
    <w:rsid w:val="004847BE"/>
    <w:rsid w:val="004847C2"/>
    <w:rsid w:val="0048480B"/>
    <w:rsid w:val="00484A1F"/>
    <w:rsid w:val="00484A2C"/>
    <w:rsid w:val="00484A8A"/>
    <w:rsid w:val="00484A91"/>
    <w:rsid w:val="00484BE6"/>
    <w:rsid w:val="00484C09"/>
    <w:rsid w:val="00484C2F"/>
    <w:rsid w:val="00484D39"/>
    <w:rsid w:val="00484D7F"/>
    <w:rsid w:val="00484DEE"/>
    <w:rsid w:val="00484E06"/>
    <w:rsid w:val="00484EA7"/>
    <w:rsid w:val="00484F59"/>
    <w:rsid w:val="00484FDD"/>
    <w:rsid w:val="004850CC"/>
    <w:rsid w:val="004850D8"/>
    <w:rsid w:val="0048512D"/>
    <w:rsid w:val="0048532F"/>
    <w:rsid w:val="00485402"/>
    <w:rsid w:val="0048543A"/>
    <w:rsid w:val="0048547B"/>
    <w:rsid w:val="0048548B"/>
    <w:rsid w:val="004854CC"/>
    <w:rsid w:val="004855BF"/>
    <w:rsid w:val="0048566A"/>
    <w:rsid w:val="00485781"/>
    <w:rsid w:val="004857C9"/>
    <w:rsid w:val="004857ED"/>
    <w:rsid w:val="00485868"/>
    <w:rsid w:val="004858C3"/>
    <w:rsid w:val="0048591A"/>
    <w:rsid w:val="004859DD"/>
    <w:rsid w:val="004859F5"/>
    <w:rsid w:val="00485B25"/>
    <w:rsid w:val="00485B3B"/>
    <w:rsid w:val="00485BFF"/>
    <w:rsid w:val="00485C1D"/>
    <w:rsid w:val="00485C34"/>
    <w:rsid w:val="00485C5F"/>
    <w:rsid w:val="00485F46"/>
    <w:rsid w:val="00485FAD"/>
    <w:rsid w:val="0048600C"/>
    <w:rsid w:val="0048603B"/>
    <w:rsid w:val="00486054"/>
    <w:rsid w:val="004860F8"/>
    <w:rsid w:val="00486229"/>
    <w:rsid w:val="00486232"/>
    <w:rsid w:val="00486368"/>
    <w:rsid w:val="00486384"/>
    <w:rsid w:val="00486449"/>
    <w:rsid w:val="004864FF"/>
    <w:rsid w:val="0048652C"/>
    <w:rsid w:val="004865C3"/>
    <w:rsid w:val="004865CE"/>
    <w:rsid w:val="004865F1"/>
    <w:rsid w:val="0048673D"/>
    <w:rsid w:val="004867C5"/>
    <w:rsid w:val="00486849"/>
    <w:rsid w:val="004868AA"/>
    <w:rsid w:val="004868CF"/>
    <w:rsid w:val="0048693B"/>
    <w:rsid w:val="00486A80"/>
    <w:rsid w:val="00486BAB"/>
    <w:rsid w:val="00486CAA"/>
    <w:rsid w:val="00486CAB"/>
    <w:rsid w:val="00486D44"/>
    <w:rsid w:val="00486DAA"/>
    <w:rsid w:val="00486E6C"/>
    <w:rsid w:val="00486F54"/>
    <w:rsid w:val="00486F73"/>
    <w:rsid w:val="00486FB7"/>
    <w:rsid w:val="00486FE6"/>
    <w:rsid w:val="00487157"/>
    <w:rsid w:val="004871FA"/>
    <w:rsid w:val="00487208"/>
    <w:rsid w:val="0048726F"/>
    <w:rsid w:val="004872A2"/>
    <w:rsid w:val="0048736C"/>
    <w:rsid w:val="0048738B"/>
    <w:rsid w:val="00487475"/>
    <w:rsid w:val="004875E1"/>
    <w:rsid w:val="00487731"/>
    <w:rsid w:val="00487795"/>
    <w:rsid w:val="004877C0"/>
    <w:rsid w:val="004877C9"/>
    <w:rsid w:val="00487854"/>
    <w:rsid w:val="00487916"/>
    <w:rsid w:val="00487A1E"/>
    <w:rsid w:val="00487A53"/>
    <w:rsid w:val="00487AF2"/>
    <w:rsid w:val="00487B78"/>
    <w:rsid w:val="00487C68"/>
    <w:rsid w:val="00487EF8"/>
    <w:rsid w:val="00487F51"/>
    <w:rsid w:val="00487F69"/>
    <w:rsid w:val="00487F6B"/>
    <w:rsid w:val="00487F6F"/>
    <w:rsid w:val="00487F92"/>
    <w:rsid w:val="0049002C"/>
    <w:rsid w:val="00490082"/>
    <w:rsid w:val="0049009F"/>
    <w:rsid w:val="00490149"/>
    <w:rsid w:val="004901AE"/>
    <w:rsid w:val="004901E1"/>
    <w:rsid w:val="0049025D"/>
    <w:rsid w:val="004902C4"/>
    <w:rsid w:val="004903A1"/>
    <w:rsid w:val="004904A7"/>
    <w:rsid w:val="00490617"/>
    <w:rsid w:val="0049071B"/>
    <w:rsid w:val="0049093B"/>
    <w:rsid w:val="00490948"/>
    <w:rsid w:val="004909AB"/>
    <w:rsid w:val="00490AE7"/>
    <w:rsid w:val="00490B45"/>
    <w:rsid w:val="00490BC1"/>
    <w:rsid w:val="00490C7D"/>
    <w:rsid w:val="00490CAB"/>
    <w:rsid w:val="00490CAE"/>
    <w:rsid w:val="00490E2C"/>
    <w:rsid w:val="00490E32"/>
    <w:rsid w:val="00491096"/>
    <w:rsid w:val="004910AE"/>
    <w:rsid w:val="004910DC"/>
    <w:rsid w:val="00491133"/>
    <w:rsid w:val="00491234"/>
    <w:rsid w:val="00491246"/>
    <w:rsid w:val="00491276"/>
    <w:rsid w:val="004912AB"/>
    <w:rsid w:val="004912CA"/>
    <w:rsid w:val="0049132D"/>
    <w:rsid w:val="00491391"/>
    <w:rsid w:val="00491416"/>
    <w:rsid w:val="0049144C"/>
    <w:rsid w:val="004914D9"/>
    <w:rsid w:val="004915B4"/>
    <w:rsid w:val="004916AC"/>
    <w:rsid w:val="004918FA"/>
    <w:rsid w:val="0049192E"/>
    <w:rsid w:val="004919C8"/>
    <w:rsid w:val="00491A95"/>
    <w:rsid w:val="00491B66"/>
    <w:rsid w:val="00491C3C"/>
    <w:rsid w:val="00491D03"/>
    <w:rsid w:val="00491D1D"/>
    <w:rsid w:val="00491DBA"/>
    <w:rsid w:val="00491DF7"/>
    <w:rsid w:val="00491EBC"/>
    <w:rsid w:val="00491EBD"/>
    <w:rsid w:val="00491ECC"/>
    <w:rsid w:val="00491EE8"/>
    <w:rsid w:val="00491F30"/>
    <w:rsid w:val="00491FC1"/>
    <w:rsid w:val="0049201E"/>
    <w:rsid w:val="0049202B"/>
    <w:rsid w:val="00492236"/>
    <w:rsid w:val="00492322"/>
    <w:rsid w:val="0049235B"/>
    <w:rsid w:val="004923C2"/>
    <w:rsid w:val="00492427"/>
    <w:rsid w:val="00492482"/>
    <w:rsid w:val="004924BC"/>
    <w:rsid w:val="00492571"/>
    <w:rsid w:val="00492653"/>
    <w:rsid w:val="00492694"/>
    <w:rsid w:val="004926D5"/>
    <w:rsid w:val="004926D6"/>
    <w:rsid w:val="00492732"/>
    <w:rsid w:val="004929E1"/>
    <w:rsid w:val="004929EA"/>
    <w:rsid w:val="00492ADC"/>
    <w:rsid w:val="00492B9E"/>
    <w:rsid w:val="00492B9F"/>
    <w:rsid w:val="00492D45"/>
    <w:rsid w:val="00492D78"/>
    <w:rsid w:val="00492D97"/>
    <w:rsid w:val="00492DD4"/>
    <w:rsid w:val="00492DD6"/>
    <w:rsid w:val="00492E71"/>
    <w:rsid w:val="00492EAD"/>
    <w:rsid w:val="00492F5A"/>
    <w:rsid w:val="00492FD2"/>
    <w:rsid w:val="00492FF5"/>
    <w:rsid w:val="004930CC"/>
    <w:rsid w:val="004931EC"/>
    <w:rsid w:val="0049323F"/>
    <w:rsid w:val="004932B0"/>
    <w:rsid w:val="00493353"/>
    <w:rsid w:val="0049349B"/>
    <w:rsid w:val="004934FE"/>
    <w:rsid w:val="004935EF"/>
    <w:rsid w:val="0049367F"/>
    <w:rsid w:val="0049371D"/>
    <w:rsid w:val="004937BD"/>
    <w:rsid w:val="0049383C"/>
    <w:rsid w:val="00493914"/>
    <w:rsid w:val="004939C2"/>
    <w:rsid w:val="00493A03"/>
    <w:rsid w:val="00493A0B"/>
    <w:rsid w:val="00493AFB"/>
    <w:rsid w:val="00493B5B"/>
    <w:rsid w:val="00493C30"/>
    <w:rsid w:val="00493C35"/>
    <w:rsid w:val="00493C6F"/>
    <w:rsid w:val="00493C9E"/>
    <w:rsid w:val="00493D74"/>
    <w:rsid w:val="00493DC5"/>
    <w:rsid w:val="00494078"/>
    <w:rsid w:val="0049409D"/>
    <w:rsid w:val="004940C6"/>
    <w:rsid w:val="0049411A"/>
    <w:rsid w:val="00494287"/>
    <w:rsid w:val="00494295"/>
    <w:rsid w:val="004942B7"/>
    <w:rsid w:val="004942E3"/>
    <w:rsid w:val="004943E4"/>
    <w:rsid w:val="004945A3"/>
    <w:rsid w:val="004946CD"/>
    <w:rsid w:val="004946FC"/>
    <w:rsid w:val="0049479D"/>
    <w:rsid w:val="004947A9"/>
    <w:rsid w:val="0049484F"/>
    <w:rsid w:val="00494877"/>
    <w:rsid w:val="00494995"/>
    <w:rsid w:val="004949D8"/>
    <w:rsid w:val="004949F2"/>
    <w:rsid w:val="00494A23"/>
    <w:rsid w:val="00494AAF"/>
    <w:rsid w:val="00494AB5"/>
    <w:rsid w:val="00494B6D"/>
    <w:rsid w:val="00494BD7"/>
    <w:rsid w:val="00494BFE"/>
    <w:rsid w:val="00494C14"/>
    <w:rsid w:val="00494C19"/>
    <w:rsid w:val="00494C20"/>
    <w:rsid w:val="00494CC0"/>
    <w:rsid w:val="00494DC7"/>
    <w:rsid w:val="00494F39"/>
    <w:rsid w:val="00494F46"/>
    <w:rsid w:val="00494FA2"/>
    <w:rsid w:val="00494FBA"/>
    <w:rsid w:val="00494FBD"/>
    <w:rsid w:val="00495032"/>
    <w:rsid w:val="00495139"/>
    <w:rsid w:val="004951C5"/>
    <w:rsid w:val="004951EA"/>
    <w:rsid w:val="00495269"/>
    <w:rsid w:val="004952A2"/>
    <w:rsid w:val="004952D6"/>
    <w:rsid w:val="004952D8"/>
    <w:rsid w:val="00495530"/>
    <w:rsid w:val="00495548"/>
    <w:rsid w:val="0049554B"/>
    <w:rsid w:val="0049566A"/>
    <w:rsid w:val="00495755"/>
    <w:rsid w:val="0049576D"/>
    <w:rsid w:val="004957A9"/>
    <w:rsid w:val="004957EB"/>
    <w:rsid w:val="00495816"/>
    <w:rsid w:val="004958AD"/>
    <w:rsid w:val="00495927"/>
    <w:rsid w:val="00495A0F"/>
    <w:rsid w:val="00495A6A"/>
    <w:rsid w:val="00495ACD"/>
    <w:rsid w:val="00495B3C"/>
    <w:rsid w:val="00495B54"/>
    <w:rsid w:val="00495B5E"/>
    <w:rsid w:val="00495B88"/>
    <w:rsid w:val="00495C3B"/>
    <w:rsid w:val="00495C5B"/>
    <w:rsid w:val="00495C73"/>
    <w:rsid w:val="00495C96"/>
    <w:rsid w:val="00495CB8"/>
    <w:rsid w:val="00495D2B"/>
    <w:rsid w:val="00495D5B"/>
    <w:rsid w:val="00495D7C"/>
    <w:rsid w:val="00495DA8"/>
    <w:rsid w:val="00495DEA"/>
    <w:rsid w:val="00495E0C"/>
    <w:rsid w:val="00495E2D"/>
    <w:rsid w:val="00495EA7"/>
    <w:rsid w:val="00495F30"/>
    <w:rsid w:val="00495F77"/>
    <w:rsid w:val="00495FFC"/>
    <w:rsid w:val="00496048"/>
    <w:rsid w:val="0049609A"/>
    <w:rsid w:val="00496128"/>
    <w:rsid w:val="0049619C"/>
    <w:rsid w:val="004961AE"/>
    <w:rsid w:val="00496226"/>
    <w:rsid w:val="00496327"/>
    <w:rsid w:val="004963C3"/>
    <w:rsid w:val="004964E1"/>
    <w:rsid w:val="004964E3"/>
    <w:rsid w:val="00496678"/>
    <w:rsid w:val="0049668C"/>
    <w:rsid w:val="0049668F"/>
    <w:rsid w:val="004966C1"/>
    <w:rsid w:val="004966E1"/>
    <w:rsid w:val="00496702"/>
    <w:rsid w:val="0049671D"/>
    <w:rsid w:val="0049674F"/>
    <w:rsid w:val="00496892"/>
    <w:rsid w:val="0049697C"/>
    <w:rsid w:val="004969E8"/>
    <w:rsid w:val="004969FF"/>
    <w:rsid w:val="00496AFF"/>
    <w:rsid w:val="00496CFE"/>
    <w:rsid w:val="00496D70"/>
    <w:rsid w:val="00496E01"/>
    <w:rsid w:val="00496E0D"/>
    <w:rsid w:val="00496E96"/>
    <w:rsid w:val="00496EF5"/>
    <w:rsid w:val="00496FA0"/>
    <w:rsid w:val="00497024"/>
    <w:rsid w:val="00497113"/>
    <w:rsid w:val="00497117"/>
    <w:rsid w:val="0049725E"/>
    <w:rsid w:val="004972F5"/>
    <w:rsid w:val="0049738B"/>
    <w:rsid w:val="00497444"/>
    <w:rsid w:val="00497465"/>
    <w:rsid w:val="00497551"/>
    <w:rsid w:val="004976E6"/>
    <w:rsid w:val="004976E7"/>
    <w:rsid w:val="004977DE"/>
    <w:rsid w:val="00497859"/>
    <w:rsid w:val="004978A6"/>
    <w:rsid w:val="0049792D"/>
    <w:rsid w:val="004979AC"/>
    <w:rsid w:val="00497A2B"/>
    <w:rsid w:val="00497A5D"/>
    <w:rsid w:val="00497A78"/>
    <w:rsid w:val="00497BFA"/>
    <w:rsid w:val="00497DBF"/>
    <w:rsid w:val="00497DFB"/>
    <w:rsid w:val="00497EE3"/>
    <w:rsid w:val="00497FC7"/>
    <w:rsid w:val="00497FE4"/>
    <w:rsid w:val="004A0017"/>
    <w:rsid w:val="004A014D"/>
    <w:rsid w:val="004A01BA"/>
    <w:rsid w:val="004A01DD"/>
    <w:rsid w:val="004A0214"/>
    <w:rsid w:val="004A0253"/>
    <w:rsid w:val="004A0255"/>
    <w:rsid w:val="004A038B"/>
    <w:rsid w:val="004A046D"/>
    <w:rsid w:val="004A054F"/>
    <w:rsid w:val="004A05E5"/>
    <w:rsid w:val="004A070F"/>
    <w:rsid w:val="004A071E"/>
    <w:rsid w:val="004A0753"/>
    <w:rsid w:val="004A07CA"/>
    <w:rsid w:val="004A0882"/>
    <w:rsid w:val="004A08F5"/>
    <w:rsid w:val="004A0AE7"/>
    <w:rsid w:val="004A0BB3"/>
    <w:rsid w:val="004A0C03"/>
    <w:rsid w:val="004A0C1B"/>
    <w:rsid w:val="004A0C26"/>
    <w:rsid w:val="004A0C39"/>
    <w:rsid w:val="004A0F52"/>
    <w:rsid w:val="004A0FAE"/>
    <w:rsid w:val="004A0FE6"/>
    <w:rsid w:val="004A1069"/>
    <w:rsid w:val="004A10CC"/>
    <w:rsid w:val="004A10D0"/>
    <w:rsid w:val="004A1151"/>
    <w:rsid w:val="004A119D"/>
    <w:rsid w:val="004A11AF"/>
    <w:rsid w:val="004A120C"/>
    <w:rsid w:val="004A139A"/>
    <w:rsid w:val="004A1587"/>
    <w:rsid w:val="004A174B"/>
    <w:rsid w:val="004A176E"/>
    <w:rsid w:val="004A17A9"/>
    <w:rsid w:val="004A18E4"/>
    <w:rsid w:val="004A1902"/>
    <w:rsid w:val="004A1927"/>
    <w:rsid w:val="004A19A2"/>
    <w:rsid w:val="004A19CC"/>
    <w:rsid w:val="004A1AA3"/>
    <w:rsid w:val="004A1B7D"/>
    <w:rsid w:val="004A1B81"/>
    <w:rsid w:val="004A1CFF"/>
    <w:rsid w:val="004A1D1E"/>
    <w:rsid w:val="004A1D66"/>
    <w:rsid w:val="004A1DE0"/>
    <w:rsid w:val="004A1E45"/>
    <w:rsid w:val="004A1E9E"/>
    <w:rsid w:val="004A1F59"/>
    <w:rsid w:val="004A1F94"/>
    <w:rsid w:val="004A1FCF"/>
    <w:rsid w:val="004A2038"/>
    <w:rsid w:val="004A2059"/>
    <w:rsid w:val="004A207D"/>
    <w:rsid w:val="004A214E"/>
    <w:rsid w:val="004A21BA"/>
    <w:rsid w:val="004A2283"/>
    <w:rsid w:val="004A22A4"/>
    <w:rsid w:val="004A22DE"/>
    <w:rsid w:val="004A24B8"/>
    <w:rsid w:val="004A2541"/>
    <w:rsid w:val="004A254A"/>
    <w:rsid w:val="004A25CB"/>
    <w:rsid w:val="004A270A"/>
    <w:rsid w:val="004A275E"/>
    <w:rsid w:val="004A277F"/>
    <w:rsid w:val="004A27CF"/>
    <w:rsid w:val="004A2809"/>
    <w:rsid w:val="004A2821"/>
    <w:rsid w:val="004A2865"/>
    <w:rsid w:val="004A28EC"/>
    <w:rsid w:val="004A2940"/>
    <w:rsid w:val="004A297B"/>
    <w:rsid w:val="004A2AFA"/>
    <w:rsid w:val="004A2B2C"/>
    <w:rsid w:val="004A2B5E"/>
    <w:rsid w:val="004A2C0E"/>
    <w:rsid w:val="004A2C24"/>
    <w:rsid w:val="004A2C3A"/>
    <w:rsid w:val="004A2C4D"/>
    <w:rsid w:val="004A2C62"/>
    <w:rsid w:val="004A2C9F"/>
    <w:rsid w:val="004A2D0A"/>
    <w:rsid w:val="004A2DD4"/>
    <w:rsid w:val="004A2E39"/>
    <w:rsid w:val="004A2E7B"/>
    <w:rsid w:val="004A300B"/>
    <w:rsid w:val="004A30DB"/>
    <w:rsid w:val="004A31B2"/>
    <w:rsid w:val="004A3299"/>
    <w:rsid w:val="004A32E3"/>
    <w:rsid w:val="004A335E"/>
    <w:rsid w:val="004A3378"/>
    <w:rsid w:val="004A3545"/>
    <w:rsid w:val="004A3648"/>
    <w:rsid w:val="004A36F1"/>
    <w:rsid w:val="004A3749"/>
    <w:rsid w:val="004A3861"/>
    <w:rsid w:val="004A38C5"/>
    <w:rsid w:val="004A3991"/>
    <w:rsid w:val="004A39ED"/>
    <w:rsid w:val="004A3B4F"/>
    <w:rsid w:val="004A3BA9"/>
    <w:rsid w:val="004A3BE8"/>
    <w:rsid w:val="004A3BFC"/>
    <w:rsid w:val="004A3C22"/>
    <w:rsid w:val="004A3C29"/>
    <w:rsid w:val="004A3D1F"/>
    <w:rsid w:val="004A3D3C"/>
    <w:rsid w:val="004A3D85"/>
    <w:rsid w:val="004A3F56"/>
    <w:rsid w:val="004A3FB5"/>
    <w:rsid w:val="004A3FF2"/>
    <w:rsid w:val="004A4023"/>
    <w:rsid w:val="004A405C"/>
    <w:rsid w:val="004A416A"/>
    <w:rsid w:val="004A4187"/>
    <w:rsid w:val="004A4192"/>
    <w:rsid w:val="004A41C8"/>
    <w:rsid w:val="004A4215"/>
    <w:rsid w:val="004A433E"/>
    <w:rsid w:val="004A435F"/>
    <w:rsid w:val="004A444C"/>
    <w:rsid w:val="004A4456"/>
    <w:rsid w:val="004A44FA"/>
    <w:rsid w:val="004A46A5"/>
    <w:rsid w:val="004A4876"/>
    <w:rsid w:val="004A48C4"/>
    <w:rsid w:val="004A498E"/>
    <w:rsid w:val="004A4B98"/>
    <w:rsid w:val="004A4BC7"/>
    <w:rsid w:val="004A4CC9"/>
    <w:rsid w:val="004A4D38"/>
    <w:rsid w:val="004A4D44"/>
    <w:rsid w:val="004A4D8E"/>
    <w:rsid w:val="004A4DF2"/>
    <w:rsid w:val="004A4EEB"/>
    <w:rsid w:val="004A4F19"/>
    <w:rsid w:val="004A503F"/>
    <w:rsid w:val="004A50BB"/>
    <w:rsid w:val="004A5134"/>
    <w:rsid w:val="004A51AA"/>
    <w:rsid w:val="004A51E7"/>
    <w:rsid w:val="004A5217"/>
    <w:rsid w:val="004A522F"/>
    <w:rsid w:val="004A527A"/>
    <w:rsid w:val="004A52CD"/>
    <w:rsid w:val="004A5345"/>
    <w:rsid w:val="004A5382"/>
    <w:rsid w:val="004A549C"/>
    <w:rsid w:val="004A54A5"/>
    <w:rsid w:val="004A54DC"/>
    <w:rsid w:val="004A5601"/>
    <w:rsid w:val="004A573B"/>
    <w:rsid w:val="004A57E9"/>
    <w:rsid w:val="004A5801"/>
    <w:rsid w:val="004A59BC"/>
    <w:rsid w:val="004A59DF"/>
    <w:rsid w:val="004A5A15"/>
    <w:rsid w:val="004A5BA2"/>
    <w:rsid w:val="004A5C3E"/>
    <w:rsid w:val="004A5CED"/>
    <w:rsid w:val="004A5D00"/>
    <w:rsid w:val="004A5D48"/>
    <w:rsid w:val="004A5ECE"/>
    <w:rsid w:val="004A5F65"/>
    <w:rsid w:val="004A5F6A"/>
    <w:rsid w:val="004A5F97"/>
    <w:rsid w:val="004A5FC3"/>
    <w:rsid w:val="004A5FF3"/>
    <w:rsid w:val="004A609F"/>
    <w:rsid w:val="004A60FC"/>
    <w:rsid w:val="004A6144"/>
    <w:rsid w:val="004A6186"/>
    <w:rsid w:val="004A625B"/>
    <w:rsid w:val="004A6395"/>
    <w:rsid w:val="004A6456"/>
    <w:rsid w:val="004A65EE"/>
    <w:rsid w:val="004A66F6"/>
    <w:rsid w:val="004A672A"/>
    <w:rsid w:val="004A67D9"/>
    <w:rsid w:val="004A680C"/>
    <w:rsid w:val="004A6956"/>
    <w:rsid w:val="004A69E6"/>
    <w:rsid w:val="004A6A6C"/>
    <w:rsid w:val="004A6AE8"/>
    <w:rsid w:val="004A6B82"/>
    <w:rsid w:val="004A6B9B"/>
    <w:rsid w:val="004A6CEC"/>
    <w:rsid w:val="004A6E17"/>
    <w:rsid w:val="004A6E71"/>
    <w:rsid w:val="004A6EA1"/>
    <w:rsid w:val="004A6ED3"/>
    <w:rsid w:val="004A6F0F"/>
    <w:rsid w:val="004A6F47"/>
    <w:rsid w:val="004A703E"/>
    <w:rsid w:val="004A714D"/>
    <w:rsid w:val="004A719F"/>
    <w:rsid w:val="004A71E4"/>
    <w:rsid w:val="004A7237"/>
    <w:rsid w:val="004A723D"/>
    <w:rsid w:val="004A7259"/>
    <w:rsid w:val="004A7287"/>
    <w:rsid w:val="004A73BF"/>
    <w:rsid w:val="004A7487"/>
    <w:rsid w:val="004A751E"/>
    <w:rsid w:val="004A7588"/>
    <w:rsid w:val="004A75CE"/>
    <w:rsid w:val="004A7728"/>
    <w:rsid w:val="004A77EE"/>
    <w:rsid w:val="004A7845"/>
    <w:rsid w:val="004A7853"/>
    <w:rsid w:val="004A790F"/>
    <w:rsid w:val="004A79B1"/>
    <w:rsid w:val="004A79ED"/>
    <w:rsid w:val="004A7AA4"/>
    <w:rsid w:val="004A7B1D"/>
    <w:rsid w:val="004A7BA9"/>
    <w:rsid w:val="004A7BFD"/>
    <w:rsid w:val="004A7CE9"/>
    <w:rsid w:val="004A7CF8"/>
    <w:rsid w:val="004A7D0D"/>
    <w:rsid w:val="004A7EE5"/>
    <w:rsid w:val="004A7F79"/>
    <w:rsid w:val="004A7FAD"/>
    <w:rsid w:val="004A7FD2"/>
    <w:rsid w:val="004B0058"/>
    <w:rsid w:val="004B0065"/>
    <w:rsid w:val="004B00E5"/>
    <w:rsid w:val="004B010A"/>
    <w:rsid w:val="004B0243"/>
    <w:rsid w:val="004B0279"/>
    <w:rsid w:val="004B038C"/>
    <w:rsid w:val="004B03F5"/>
    <w:rsid w:val="004B0411"/>
    <w:rsid w:val="004B045F"/>
    <w:rsid w:val="004B0539"/>
    <w:rsid w:val="004B056D"/>
    <w:rsid w:val="004B05DA"/>
    <w:rsid w:val="004B0649"/>
    <w:rsid w:val="004B072B"/>
    <w:rsid w:val="004B0777"/>
    <w:rsid w:val="004B0790"/>
    <w:rsid w:val="004B0828"/>
    <w:rsid w:val="004B08F1"/>
    <w:rsid w:val="004B0A1B"/>
    <w:rsid w:val="004B0C1F"/>
    <w:rsid w:val="004B0F59"/>
    <w:rsid w:val="004B0F86"/>
    <w:rsid w:val="004B1046"/>
    <w:rsid w:val="004B104C"/>
    <w:rsid w:val="004B1052"/>
    <w:rsid w:val="004B10B4"/>
    <w:rsid w:val="004B1141"/>
    <w:rsid w:val="004B1169"/>
    <w:rsid w:val="004B1180"/>
    <w:rsid w:val="004B11E0"/>
    <w:rsid w:val="004B11E1"/>
    <w:rsid w:val="004B1216"/>
    <w:rsid w:val="004B128D"/>
    <w:rsid w:val="004B12AF"/>
    <w:rsid w:val="004B1302"/>
    <w:rsid w:val="004B13FF"/>
    <w:rsid w:val="004B1490"/>
    <w:rsid w:val="004B1541"/>
    <w:rsid w:val="004B154B"/>
    <w:rsid w:val="004B1561"/>
    <w:rsid w:val="004B15B1"/>
    <w:rsid w:val="004B160B"/>
    <w:rsid w:val="004B17A9"/>
    <w:rsid w:val="004B17F6"/>
    <w:rsid w:val="004B1817"/>
    <w:rsid w:val="004B1967"/>
    <w:rsid w:val="004B1975"/>
    <w:rsid w:val="004B1985"/>
    <w:rsid w:val="004B198D"/>
    <w:rsid w:val="004B19D4"/>
    <w:rsid w:val="004B19D5"/>
    <w:rsid w:val="004B1A21"/>
    <w:rsid w:val="004B1BC6"/>
    <w:rsid w:val="004B1C00"/>
    <w:rsid w:val="004B1CBA"/>
    <w:rsid w:val="004B1E88"/>
    <w:rsid w:val="004B1E9A"/>
    <w:rsid w:val="004B2022"/>
    <w:rsid w:val="004B203F"/>
    <w:rsid w:val="004B2058"/>
    <w:rsid w:val="004B205B"/>
    <w:rsid w:val="004B2101"/>
    <w:rsid w:val="004B210F"/>
    <w:rsid w:val="004B2111"/>
    <w:rsid w:val="004B21C8"/>
    <w:rsid w:val="004B227A"/>
    <w:rsid w:val="004B22FE"/>
    <w:rsid w:val="004B23A8"/>
    <w:rsid w:val="004B2455"/>
    <w:rsid w:val="004B25DA"/>
    <w:rsid w:val="004B25ED"/>
    <w:rsid w:val="004B275D"/>
    <w:rsid w:val="004B2771"/>
    <w:rsid w:val="004B27CE"/>
    <w:rsid w:val="004B2818"/>
    <w:rsid w:val="004B288A"/>
    <w:rsid w:val="004B28F9"/>
    <w:rsid w:val="004B2C75"/>
    <w:rsid w:val="004B2D39"/>
    <w:rsid w:val="004B2F90"/>
    <w:rsid w:val="004B2FAF"/>
    <w:rsid w:val="004B2FCB"/>
    <w:rsid w:val="004B303E"/>
    <w:rsid w:val="004B3095"/>
    <w:rsid w:val="004B30EE"/>
    <w:rsid w:val="004B318F"/>
    <w:rsid w:val="004B328B"/>
    <w:rsid w:val="004B3313"/>
    <w:rsid w:val="004B33CA"/>
    <w:rsid w:val="004B33DC"/>
    <w:rsid w:val="004B348D"/>
    <w:rsid w:val="004B34F3"/>
    <w:rsid w:val="004B35CA"/>
    <w:rsid w:val="004B36C8"/>
    <w:rsid w:val="004B36CA"/>
    <w:rsid w:val="004B37ED"/>
    <w:rsid w:val="004B38FA"/>
    <w:rsid w:val="004B3949"/>
    <w:rsid w:val="004B3994"/>
    <w:rsid w:val="004B399F"/>
    <w:rsid w:val="004B39CC"/>
    <w:rsid w:val="004B3A30"/>
    <w:rsid w:val="004B3A71"/>
    <w:rsid w:val="004B3BB1"/>
    <w:rsid w:val="004B3BE9"/>
    <w:rsid w:val="004B3C99"/>
    <w:rsid w:val="004B3CF6"/>
    <w:rsid w:val="004B3E9E"/>
    <w:rsid w:val="004B3F0B"/>
    <w:rsid w:val="004B3FA8"/>
    <w:rsid w:val="004B415E"/>
    <w:rsid w:val="004B41D9"/>
    <w:rsid w:val="004B41EF"/>
    <w:rsid w:val="004B4219"/>
    <w:rsid w:val="004B4220"/>
    <w:rsid w:val="004B4271"/>
    <w:rsid w:val="004B42FC"/>
    <w:rsid w:val="004B4427"/>
    <w:rsid w:val="004B4489"/>
    <w:rsid w:val="004B44A1"/>
    <w:rsid w:val="004B4558"/>
    <w:rsid w:val="004B45B7"/>
    <w:rsid w:val="004B4628"/>
    <w:rsid w:val="004B46C3"/>
    <w:rsid w:val="004B478B"/>
    <w:rsid w:val="004B47D0"/>
    <w:rsid w:val="004B4865"/>
    <w:rsid w:val="004B4941"/>
    <w:rsid w:val="004B4B49"/>
    <w:rsid w:val="004B4B90"/>
    <w:rsid w:val="004B4BF9"/>
    <w:rsid w:val="004B4C1C"/>
    <w:rsid w:val="004B4D16"/>
    <w:rsid w:val="004B4DBC"/>
    <w:rsid w:val="004B4DEF"/>
    <w:rsid w:val="004B4E56"/>
    <w:rsid w:val="004B5019"/>
    <w:rsid w:val="004B5331"/>
    <w:rsid w:val="004B53B3"/>
    <w:rsid w:val="004B544B"/>
    <w:rsid w:val="004B545A"/>
    <w:rsid w:val="004B54D3"/>
    <w:rsid w:val="004B54D6"/>
    <w:rsid w:val="004B54E6"/>
    <w:rsid w:val="004B5675"/>
    <w:rsid w:val="004B56A2"/>
    <w:rsid w:val="004B56B8"/>
    <w:rsid w:val="004B579A"/>
    <w:rsid w:val="004B586A"/>
    <w:rsid w:val="004B5872"/>
    <w:rsid w:val="004B5896"/>
    <w:rsid w:val="004B5903"/>
    <w:rsid w:val="004B5A11"/>
    <w:rsid w:val="004B5A25"/>
    <w:rsid w:val="004B5A66"/>
    <w:rsid w:val="004B5A75"/>
    <w:rsid w:val="004B5A9C"/>
    <w:rsid w:val="004B5B23"/>
    <w:rsid w:val="004B5B78"/>
    <w:rsid w:val="004B5C72"/>
    <w:rsid w:val="004B5CB5"/>
    <w:rsid w:val="004B5CBF"/>
    <w:rsid w:val="004B5CEF"/>
    <w:rsid w:val="004B5D09"/>
    <w:rsid w:val="004B5D3D"/>
    <w:rsid w:val="004B5DBF"/>
    <w:rsid w:val="004B5DFD"/>
    <w:rsid w:val="004B5E02"/>
    <w:rsid w:val="004B5E3F"/>
    <w:rsid w:val="004B5E73"/>
    <w:rsid w:val="004B5ECC"/>
    <w:rsid w:val="004B5EDE"/>
    <w:rsid w:val="004B5FCC"/>
    <w:rsid w:val="004B604B"/>
    <w:rsid w:val="004B6095"/>
    <w:rsid w:val="004B60FB"/>
    <w:rsid w:val="004B6113"/>
    <w:rsid w:val="004B61B9"/>
    <w:rsid w:val="004B6200"/>
    <w:rsid w:val="004B6206"/>
    <w:rsid w:val="004B6212"/>
    <w:rsid w:val="004B6268"/>
    <w:rsid w:val="004B62CE"/>
    <w:rsid w:val="004B62F7"/>
    <w:rsid w:val="004B6342"/>
    <w:rsid w:val="004B635B"/>
    <w:rsid w:val="004B63D7"/>
    <w:rsid w:val="004B643F"/>
    <w:rsid w:val="004B650E"/>
    <w:rsid w:val="004B6600"/>
    <w:rsid w:val="004B6773"/>
    <w:rsid w:val="004B67C7"/>
    <w:rsid w:val="004B67E2"/>
    <w:rsid w:val="004B6866"/>
    <w:rsid w:val="004B6896"/>
    <w:rsid w:val="004B6899"/>
    <w:rsid w:val="004B68B1"/>
    <w:rsid w:val="004B6A8A"/>
    <w:rsid w:val="004B6A97"/>
    <w:rsid w:val="004B6BD2"/>
    <w:rsid w:val="004B6C4D"/>
    <w:rsid w:val="004B6C89"/>
    <w:rsid w:val="004B6D0F"/>
    <w:rsid w:val="004B6D62"/>
    <w:rsid w:val="004B6E8F"/>
    <w:rsid w:val="004B6EF1"/>
    <w:rsid w:val="004B6EFC"/>
    <w:rsid w:val="004B6FA7"/>
    <w:rsid w:val="004B6FF7"/>
    <w:rsid w:val="004B7030"/>
    <w:rsid w:val="004B7054"/>
    <w:rsid w:val="004B70CA"/>
    <w:rsid w:val="004B72CB"/>
    <w:rsid w:val="004B7319"/>
    <w:rsid w:val="004B733E"/>
    <w:rsid w:val="004B7341"/>
    <w:rsid w:val="004B7377"/>
    <w:rsid w:val="004B7378"/>
    <w:rsid w:val="004B737C"/>
    <w:rsid w:val="004B73AA"/>
    <w:rsid w:val="004B73D8"/>
    <w:rsid w:val="004B7421"/>
    <w:rsid w:val="004B75A3"/>
    <w:rsid w:val="004B7658"/>
    <w:rsid w:val="004B7769"/>
    <w:rsid w:val="004B78E3"/>
    <w:rsid w:val="004B78FD"/>
    <w:rsid w:val="004B78FE"/>
    <w:rsid w:val="004B7A16"/>
    <w:rsid w:val="004B7A3D"/>
    <w:rsid w:val="004B7A4A"/>
    <w:rsid w:val="004B7B74"/>
    <w:rsid w:val="004B7C9F"/>
    <w:rsid w:val="004B7D19"/>
    <w:rsid w:val="004B7D2D"/>
    <w:rsid w:val="004B7D6B"/>
    <w:rsid w:val="004B7D9C"/>
    <w:rsid w:val="004B7F32"/>
    <w:rsid w:val="004B7F42"/>
    <w:rsid w:val="004B7FA8"/>
    <w:rsid w:val="004C00DF"/>
    <w:rsid w:val="004C00EC"/>
    <w:rsid w:val="004C00F6"/>
    <w:rsid w:val="004C0164"/>
    <w:rsid w:val="004C0246"/>
    <w:rsid w:val="004C030C"/>
    <w:rsid w:val="004C03DD"/>
    <w:rsid w:val="004C03E3"/>
    <w:rsid w:val="004C042B"/>
    <w:rsid w:val="004C0531"/>
    <w:rsid w:val="004C0642"/>
    <w:rsid w:val="004C0683"/>
    <w:rsid w:val="004C0706"/>
    <w:rsid w:val="004C088F"/>
    <w:rsid w:val="004C0922"/>
    <w:rsid w:val="004C093E"/>
    <w:rsid w:val="004C0977"/>
    <w:rsid w:val="004C0C18"/>
    <w:rsid w:val="004C0C9C"/>
    <w:rsid w:val="004C0CDB"/>
    <w:rsid w:val="004C0D04"/>
    <w:rsid w:val="004C0DAD"/>
    <w:rsid w:val="004C0DE3"/>
    <w:rsid w:val="004C0E3D"/>
    <w:rsid w:val="004C0E46"/>
    <w:rsid w:val="004C0E52"/>
    <w:rsid w:val="004C0E58"/>
    <w:rsid w:val="004C0E93"/>
    <w:rsid w:val="004C0ED3"/>
    <w:rsid w:val="004C0F3A"/>
    <w:rsid w:val="004C0FA9"/>
    <w:rsid w:val="004C1066"/>
    <w:rsid w:val="004C1166"/>
    <w:rsid w:val="004C1226"/>
    <w:rsid w:val="004C1282"/>
    <w:rsid w:val="004C128F"/>
    <w:rsid w:val="004C12C9"/>
    <w:rsid w:val="004C12CB"/>
    <w:rsid w:val="004C146D"/>
    <w:rsid w:val="004C1475"/>
    <w:rsid w:val="004C162B"/>
    <w:rsid w:val="004C16A2"/>
    <w:rsid w:val="004C1714"/>
    <w:rsid w:val="004C178B"/>
    <w:rsid w:val="004C1893"/>
    <w:rsid w:val="004C18FC"/>
    <w:rsid w:val="004C196F"/>
    <w:rsid w:val="004C1B9D"/>
    <w:rsid w:val="004C1DDB"/>
    <w:rsid w:val="004C1E73"/>
    <w:rsid w:val="004C1EE7"/>
    <w:rsid w:val="004C1F68"/>
    <w:rsid w:val="004C1F89"/>
    <w:rsid w:val="004C1FF7"/>
    <w:rsid w:val="004C2062"/>
    <w:rsid w:val="004C20E9"/>
    <w:rsid w:val="004C2118"/>
    <w:rsid w:val="004C2178"/>
    <w:rsid w:val="004C217B"/>
    <w:rsid w:val="004C221E"/>
    <w:rsid w:val="004C22BA"/>
    <w:rsid w:val="004C2330"/>
    <w:rsid w:val="004C23A1"/>
    <w:rsid w:val="004C23C6"/>
    <w:rsid w:val="004C23CE"/>
    <w:rsid w:val="004C2429"/>
    <w:rsid w:val="004C24BD"/>
    <w:rsid w:val="004C2644"/>
    <w:rsid w:val="004C2655"/>
    <w:rsid w:val="004C269A"/>
    <w:rsid w:val="004C271F"/>
    <w:rsid w:val="004C2780"/>
    <w:rsid w:val="004C2786"/>
    <w:rsid w:val="004C27AD"/>
    <w:rsid w:val="004C2826"/>
    <w:rsid w:val="004C2838"/>
    <w:rsid w:val="004C294C"/>
    <w:rsid w:val="004C297E"/>
    <w:rsid w:val="004C2A06"/>
    <w:rsid w:val="004C2A07"/>
    <w:rsid w:val="004C2A19"/>
    <w:rsid w:val="004C2A92"/>
    <w:rsid w:val="004C2AD5"/>
    <w:rsid w:val="004C2AD7"/>
    <w:rsid w:val="004C2B3F"/>
    <w:rsid w:val="004C2B68"/>
    <w:rsid w:val="004C2B6F"/>
    <w:rsid w:val="004C2C2C"/>
    <w:rsid w:val="004C2C35"/>
    <w:rsid w:val="004C2CE5"/>
    <w:rsid w:val="004C2CF4"/>
    <w:rsid w:val="004C2D5D"/>
    <w:rsid w:val="004C2D89"/>
    <w:rsid w:val="004C2DE1"/>
    <w:rsid w:val="004C2EBF"/>
    <w:rsid w:val="004C2F67"/>
    <w:rsid w:val="004C2F7F"/>
    <w:rsid w:val="004C2FC9"/>
    <w:rsid w:val="004C3044"/>
    <w:rsid w:val="004C322A"/>
    <w:rsid w:val="004C3273"/>
    <w:rsid w:val="004C333F"/>
    <w:rsid w:val="004C3352"/>
    <w:rsid w:val="004C3532"/>
    <w:rsid w:val="004C354F"/>
    <w:rsid w:val="004C35B3"/>
    <w:rsid w:val="004C3677"/>
    <w:rsid w:val="004C36DD"/>
    <w:rsid w:val="004C37BD"/>
    <w:rsid w:val="004C3902"/>
    <w:rsid w:val="004C3A07"/>
    <w:rsid w:val="004C3ACA"/>
    <w:rsid w:val="004C3B20"/>
    <w:rsid w:val="004C3B35"/>
    <w:rsid w:val="004C3BB7"/>
    <w:rsid w:val="004C3BBE"/>
    <w:rsid w:val="004C3BD1"/>
    <w:rsid w:val="004C3C55"/>
    <w:rsid w:val="004C3DDD"/>
    <w:rsid w:val="004C3EE5"/>
    <w:rsid w:val="004C3EEE"/>
    <w:rsid w:val="004C3F9A"/>
    <w:rsid w:val="004C4062"/>
    <w:rsid w:val="004C40F8"/>
    <w:rsid w:val="004C4123"/>
    <w:rsid w:val="004C4125"/>
    <w:rsid w:val="004C41FB"/>
    <w:rsid w:val="004C43A0"/>
    <w:rsid w:val="004C44B9"/>
    <w:rsid w:val="004C44EE"/>
    <w:rsid w:val="004C4552"/>
    <w:rsid w:val="004C4605"/>
    <w:rsid w:val="004C46BF"/>
    <w:rsid w:val="004C4725"/>
    <w:rsid w:val="004C4795"/>
    <w:rsid w:val="004C4831"/>
    <w:rsid w:val="004C49B2"/>
    <w:rsid w:val="004C4A2D"/>
    <w:rsid w:val="004C4A66"/>
    <w:rsid w:val="004C4B67"/>
    <w:rsid w:val="004C4C5A"/>
    <w:rsid w:val="004C4D74"/>
    <w:rsid w:val="004C4E3A"/>
    <w:rsid w:val="004C4FC1"/>
    <w:rsid w:val="004C4FD2"/>
    <w:rsid w:val="004C4FF4"/>
    <w:rsid w:val="004C504E"/>
    <w:rsid w:val="004C509F"/>
    <w:rsid w:val="004C5106"/>
    <w:rsid w:val="004C5111"/>
    <w:rsid w:val="004C5221"/>
    <w:rsid w:val="004C5302"/>
    <w:rsid w:val="004C532B"/>
    <w:rsid w:val="004C536E"/>
    <w:rsid w:val="004C53F9"/>
    <w:rsid w:val="004C5444"/>
    <w:rsid w:val="004C54A0"/>
    <w:rsid w:val="004C54BB"/>
    <w:rsid w:val="004C54EE"/>
    <w:rsid w:val="004C55B0"/>
    <w:rsid w:val="004C5607"/>
    <w:rsid w:val="004C56AA"/>
    <w:rsid w:val="004C56B7"/>
    <w:rsid w:val="004C575F"/>
    <w:rsid w:val="004C57F0"/>
    <w:rsid w:val="004C5832"/>
    <w:rsid w:val="004C5875"/>
    <w:rsid w:val="004C593B"/>
    <w:rsid w:val="004C5954"/>
    <w:rsid w:val="004C5978"/>
    <w:rsid w:val="004C59FD"/>
    <w:rsid w:val="004C59FF"/>
    <w:rsid w:val="004C5A09"/>
    <w:rsid w:val="004C5A0B"/>
    <w:rsid w:val="004C5A48"/>
    <w:rsid w:val="004C5A4C"/>
    <w:rsid w:val="004C5AA8"/>
    <w:rsid w:val="004C5AE7"/>
    <w:rsid w:val="004C5B22"/>
    <w:rsid w:val="004C5B52"/>
    <w:rsid w:val="004C5B5B"/>
    <w:rsid w:val="004C5BF6"/>
    <w:rsid w:val="004C5D0D"/>
    <w:rsid w:val="004C5D87"/>
    <w:rsid w:val="004C5DAB"/>
    <w:rsid w:val="004C5DB0"/>
    <w:rsid w:val="004C5DC3"/>
    <w:rsid w:val="004C5DE5"/>
    <w:rsid w:val="004C5E0D"/>
    <w:rsid w:val="004C5EDC"/>
    <w:rsid w:val="004C5FD2"/>
    <w:rsid w:val="004C5FF9"/>
    <w:rsid w:val="004C6000"/>
    <w:rsid w:val="004C6038"/>
    <w:rsid w:val="004C607A"/>
    <w:rsid w:val="004C60AF"/>
    <w:rsid w:val="004C6159"/>
    <w:rsid w:val="004C6161"/>
    <w:rsid w:val="004C6217"/>
    <w:rsid w:val="004C63A7"/>
    <w:rsid w:val="004C6465"/>
    <w:rsid w:val="004C648E"/>
    <w:rsid w:val="004C657A"/>
    <w:rsid w:val="004C65C1"/>
    <w:rsid w:val="004C67D4"/>
    <w:rsid w:val="004C6811"/>
    <w:rsid w:val="004C6855"/>
    <w:rsid w:val="004C6A0A"/>
    <w:rsid w:val="004C6A0F"/>
    <w:rsid w:val="004C6A66"/>
    <w:rsid w:val="004C6BD6"/>
    <w:rsid w:val="004C6E02"/>
    <w:rsid w:val="004C6E2B"/>
    <w:rsid w:val="004C6EBE"/>
    <w:rsid w:val="004C6F0D"/>
    <w:rsid w:val="004C6F0E"/>
    <w:rsid w:val="004C6F4B"/>
    <w:rsid w:val="004C70F9"/>
    <w:rsid w:val="004C70FF"/>
    <w:rsid w:val="004C7191"/>
    <w:rsid w:val="004C72F3"/>
    <w:rsid w:val="004C72F7"/>
    <w:rsid w:val="004C73D3"/>
    <w:rsid w:val="004C7431"/>
    <w:rsid w:val="004C747D"/>
    <w:rsid w:val="004C74B8"/>
    <w:rsid w:val="004C74ED"/>
    <w:rsid w:val="004C75AF"/>
    <w:rsid w:val="004C75C6"/>
    <w:rsid w:val="004C768F"/>
    <w:rsid w:val="004C76B1"/>
    <w:rsid w:val="004C770C"/>
    <w:rsid w:val="004C777C"/>
    <w:rsid w:val="004C778A"/>
    <w:rsid w:val="004C77BE"/>
    <w:rsid w:val="004C7817"/>
    <w:rsid w:val="004C791A"/>
    <w:rsid w:val="004C7937"/>
    <w:rsid w:val="004C79D6"/>
    <w:rsid w:val="004C7AB7"/>
    <w:rsid w:val="004C7B30"/>
    <w:rsid w:val="004C7B83"/>
    <w:rsid w:val="004C7B9C"/>
    <w:rsid w:val="004C7BC3"/>
    <w:rsid w:val="004C7E87"/>
    <w:rsid w:val="004C7F79"/>
    <w:rsid w:val="004C7F97"/>
    <w:rsid w:val="004D00C1"/>
    <w:rsid w:val="004D0215"/>
    <w:rsid w:val="004D02A3"/>
    <w:rsid w:val="004D02A6"/>
    <w:rsid w:val="004D02C7"/>
    <w:rsid w:val="004D03C6"/>
    <w:rsid w:val="004D0401"/>
    <w:rsid w:val="004D0424"/>
    <w:rsid w:val="004D044D"/>
    <w:rsid w:val="004D04B0"/>
    <w:rsid w:val="004D04CF"/>
    <w:rsid w:val="004D0517"/>
    <w:rsid w:val="004D05EF"/>
    <w:rsid w:val="004D063B"/>
    <w:rsid w:val="004D0656"/>
    <w:rsid w:val="004D0676"/>
    <w:rsid w:val="004D0716"/>
    <w:rsid w:val="004D076E"/>
    <w:rsid w:val="004D07F4"/>
    <w:rsid w:val="004D0887"/>
    <w:rsid w:val="004D08B9"/>
    <w:rsid w:val="004D08E7"/>
    <w:rsid w:val="004D09BF"/>
    <w:rsid w:val="004D0B42"/>
    <w:rsid w:val="004D0DCE"/>
    <w:rsid w:val="004D0E13"/>
    <w:rsid w:val="004D0F00"/>
    <w:rsid w:val="004D101A"/>
    <w:rsid w:val="004D104D"/>
    <w:rsid w:val="004D10E3"/>
    <w:rsid w:val="004D114A"/>
    <w:rsid w:val="004D1184"/>
    <w:rsid w:val="004D11D3"/>
    <w:rsid w:val="004D1306"/>
    <w:rsid w:val="004D140D"/>
    <w:rsid w:val="004D146C"/>
    <w:rsid w:val="004D1507"/>
    <w:rsid w:val="004D15B6"/>
    <w:rsid w:val="004D1616"/>
    <w:rsid w:val="004D167C"/>
    <w:rsid w:val="004D16E6"/>
    <w:rsid w:val="004D1744"/>
    <w:rsid w:val="004D1814"/>
    <w:rsid w:val="004D1848"/>
    <w:rsid w:val="004D1980"/>
    <w:rsid w:val="004D19B7"/>
    <w:rsid w:val="004D1A44"/>
    <w:rsid w:val="004D1AD4"/>
    <w:rsid w:val="004D1B89"/>
    <w:rsid w:val="004D1BEA"/>
    <w:rsid w:val="004D1D7C"/>
    <w:rsid w:val="004D1DE4"/>
    <w:rsid w:val="004D1DFC"/>
    <w:rsid w:val="004D1F7F"/>
    <w:rsid w:val="004D1FA2"/>
    <w:rsid w:val="004D1FCC"/>
    <w:rsid w:val="004D20E4"/>
    <w:rsid w:val="004D2103"/>
    <w:rsid w:val="004D215B"/>
    <w:rsid w:val="004D21DB"/>
    <w:rsid w:val="004D2221"/>
    <w:rsid w:val="004D2264"/>
    <w:rsid w:val="004D22AD"/>
    <w:rsid w:val="004D2326"/>
    <w:rsid w:val="004D254C"/>
    <w:rsid w:val="004D25D1"/>
    <w:rsid w:val="004D278F"/>
    <w:rsid w:val="004D27B7"/>
    <w:rsid w:val="004D27E3"/>
    <w:rsid w:val="004D28BC"/>
    <w:rsid w:val="004D2943"/>
    <w:rsid w:val="004D2A28"/>
    <w:rsid w:val="004D2A35"/>
    <w:rsid w:val="004D2AEF"/>
    <w:rsid w:val="004D2B3B"/>
    <w:rsid w:val="004D2B75"/>
    <w:rsid w:val="004D2BBE"/>
    <w:rsid w:val="004D2CA5"/>
    <w:rsid w:val="004D2CAC"/>
    <w:rsid w:val="004D2D47"/>
    <w:rsid w:val="004D2D97"/>
    <w:rsid w:val="004D2E22"/>
    <w:rsid w:val="004D2E31"/>
    <w:rsid w:val="004D2E45"/>
    <w:rsid w:val="004D2E94"/>
    <w:rsid w:val="004D2EBB"/>
    <w:rsid w:val="004D2F7F"/>
    <w:rsid w:val="004D302F"/>
    <w:rsid w:val="004D3090"/>
    <w:rsid w:val="004D30CE"/>
    <w:rsid w:val="004D3107"/>
    <w:rsid w:val="004D3235"/>
    <w:rsid w:val="004D3595"/>
    <w:rsid w:val="004D35A4"/>
    <w:rsid w:val="004D35DE"/>
    <w:rsid w:val="004D35E6"/>
    <w:rsid w:val="004D3608"/>
    <w:rsid w:val="004D3836"/>
    <w:rsid w:val="004D39D1"/>
    <w:rsid w:val="004D39E7"/>
    <w:rsid w:val="004D3A22"/>
    <w:rsid w:val="004D3A32"/>
    <w:rsid w:val="004D3A79"/>
    <w:rsid w:val="004D3AF8"/>
    <w:rsid w:val="004D3B50"/>
    <w:rsid w:val="004D3B6C"/>
    <w:rsid w:val="004D3C05"/>
    <w:rsid w:val="004D3E56"/>
    <w:rsid w:val="004D3E6F"/>
    <w:rsid w:val="004D3F53"/>
    <w:rsid w:val="004D3F88"/>
    <w:rsid w:val="004D3FC6"/>
    <w:rsid w:val="004D4072"/>
    <w:rsid w:val="004D40B1"/>
    <w:rsid w:val="004D4239"/>
    <w:rsid w:val="004D426C"/>
    <w:rsid w:val="004D4286"/>
    <w:rsid w:val="004D42F4"/>
    <w:rsid w:val="004D4358"/>
    <w:rsid w:val="004D439C"/>
    <w:rsid w:val="004D43C3"/>
    <w:rsid w:val="004D43E0"/>
    <w:rsid w:val="004D444E"/>
    <w:rsid w:val="004D445C"/>
    <w:rsid w:val="004D44C7"/>
    <w:rsid w:val="004D4527"/>
    <w:rsid w:val="004D4550"/>
    <w:rsid w:val="004D46AE"/>
    <w:rsid w:val="004D46CA"/>
    <w:rsid w:val="004D46EC"/>
    <w:rsid w:val="004D47F4"/>
    <w:rsid w:val="004D4839"/>
    <w:rsid w:val="004D4950"/>
    <w:rsid w:val="004D497A"/>
    <w:rsid w:val="004D4A98"/>
    <w:rsid w:val="004D4B67"/>
    <w:rsid w:val="004D4BD7"/>
    <w:rsid w:val="004D4F3C"/>
    <w:rsid w:val="004D4FBC"/>
    <w:rsid w:val="004D4FE7"/>
    <w:rsid w:val="004D5057"/>
    <w:rsid w:val="004D5085"/>
    <w:rsid w:val="004D50E9"/>
    <w:rsid w:val="004D5145"/>
    <w:rsid w:val="004D5188"/>
    <w:rsid w:val="004D5231"/>
    <w:rsid w:val="004D5260"/>
    <w:rsid w:val="004D532F"/>
    <w:rsid w:val="004D5375"/>
    <w:rsid w:val="004D537A"/>
    <w:rsid w:val="004D5396"/>
    <w:rsid w:val="004D53DA"/>
    <w:rsid w:val="004D542B"/>
    <w:rsid w:val="004D54A0"/>
    <w:rsid w:val="004D54B4"/>
    <w:rsid w:val="004D561D"/>
    <w:rsid w:val="004D576E"/>
    <w:rsid w:val="004D5986"/>
    <w:rsid w:val="004D59C2"/>
    <w:rsid w:val="004D5ADB"/>
    <w:rsid w:val="004D5AE0"/>
    <w:rsid w:val="004D5AF3"/>
    <w:rsid w:val="004D5B3D"/>
    <w:rsid w:val="004D5C28"/>
    <w:rsid w:val="004D5DC7"/>
    <w:rsid w:val="004D5E6B"/>
    <w:rsid w:val="004D5F1D"/>
    <w:rsid w:val="004D5F89"/>
    <w:rsid w:val="004D5FF1"/>
    <w:rsid w:val="004D6020"/>
    <w:rsid w:val="004D603F"/>
    <w:rsid w:val="004D607E"/>
    <w:rsid w:val="004D60D4"/>
    <w:rsid w:val="004D6191"/>
    <w:rsid w:val="004D61E7"/>
    <w:rsid w:val="004D61EA"/>
    <w:rsid w:val="004D6235"/>
    <w:rsid w:val="004D63FA"/>
    <w:rsid w:val="004D6494"/>
    <w:rsid w:val="004D6523"/>
    <w:rsid w:val="004D659E"/>
    <w:rsid w:val="004D67A6"/>
    <w:rsid w:val="004D6827"/>
    <w:rsid w:val="004D6875"/>
    <w:rsid w:val="004D68B6"/>
    <w:rsid w:val="004D68DD"/>
    <w:rsid w:val="004D6932"/>
    <w:rsid w:val="004D69D3"/>
    <w:rsid w:val="004D6A22"/>
    <w:rsid w:val="004D6AD9"/>
    <w:rsid w:val="004D6B0E"/>
    <w:rsid w:val="004D6B83"/>
    <w:rsid w:val="004D6C4A"/>
    <w:rsid w:val="004D6D08"/>
    <w:rsid w:val="004D6D6A"/>
    <w:rsid w:val="004D6D80"/>
    <w:rsid w:val="004D6E1A"/>
    <w:rsid w:val="004D6E62"/>
    <w:rsid w:val="004D6EF9"/>
    <w:rsid w:val="004D6F91"/>
    <w:rsid w:val="004D6FE6"/>
    <w:rsid w:val="004D700C"/>
    <w:rsid w:val="004D712F"/>
    <w:rsid w:val="004D7183"/>
    <w:rsid w:val="004D7244"/>
    <w:rsid w:val="004D728E"/>
    <w:rsid w:val="004D72B1"/>
    <w:rsid w:val="004D72D5"/>
    <w:rsid w:val="004D7304"/>
    <w:rsid w:val="004D7406"/>
    <w:rsid w:val="004D747D"/>
    <w:rsid w:val="004D74C5"/>
    <w:rsid w:val="004D74EE"/>
    <w:rsid w:val="004D7508"/>
    <w:rsid w:val="004D75BE"/>
    <w:rsid w:val="004D7756"/>
    <w:rsid w:val="004D78C5"/>
    <w:rsid w:val="004D7938"/>
    <w:rsid w:val="004D7A8D"/>
    <w:rsid w:val="004D7B7B"/>
    <w:rsid w:val="004D7B96"/>
    <w:rsid w:val="004D7BA2"/>
    <w:rsid w:val="004D7C5B"/>
    <w:rsid w:val="004D7E2D"/>
    <w:rsid w:val="004D7EB9"/>
    <w:rsid w:val="004D7F25"/>
    <w:rsid w:val="004E000E"/>
    <w:rsid w:val="004E00E5"/>
    <w:rsid w:val="004E00F0"/>
    <w:rsid w:val="004E0104"/>
    <w:rsid w:val="004E0223"/>
    <w:rsid w:val="004E0317"/>
    <w:rsid w:val="004E0320"/>
    <w:rsid w:val="004E0324"/>
    <w:rsid w:val="004E0387"/>
    <w:rsid w:val="004E03C1"/>
    <w:rsid w:val="004E03DA"/>
    <w:rsid w:val="004E03FE"/>
    <w:rsid w:val="004E04C1"/>
    <w:rsid w:val="004E04E1"/>
    <w:rsid w:val="004E06AE"/>
    <w:rsid w:val="004E0775"/>
    <w:rsid w:val="004E07D2"/>
    <w:rsid w:val="004E0819"/>
    <w:rsid w:val="004E08CB"/>
    <w:rsid w:val="004E092A"/>
    <w:rsid w:val="004E092D"/>
    <w:rsid w:val="004E0A37"/>
    <w:rsid w:val="004E0A93"/>
    <w:rsid w:val="004E0B04"/>
    <w:rsid w:val="004E0B3B"/>
    <w:rsid w:val="004E0B6F"/>
    <w:rsid w:val="004E0BE7"/>
    <w:rsid w:val="004E0C43"/>
    <w:rsid w:val="004E0E62"/>
    <w:rsid w:val="004E0EC9"/>
    <w:rsid w:val="004E0EF6"/>
    <w:rsid w:val="004E101E"/>
    <w:rsid w:val="004E108A"/>
    <w:rsid w:val="004E1093"/>
    <w:rsid w:val="004E10C2"/>
    <w:rsid w:val="004E111E"/>
    <w:rsid w:val="004E11BB"/>
    <w:rsid w:val="004E11C5"/>
    <w:rsid w:val="004E11DC"/>
    <w:rsid w:val="004E1284"/>
    <w:rsid w:val="004E128B"/>
    <w:rsid w:val="004E12A3"/>
    <w:rsid w:val="004E12ED"/>
    <w:rsid w:val="004E130D"/>
    <w:rsid w:val="004E1331"/>
    <w:rsid w:val="004E133D"/>
    <w:rsid w:val="004E1354"/>
    <w:rsid w:val="004E14C4"/>
    <w:rsid w:val="004E171D"/>
    <w:rsid w:val="004E173D"/>
    <w:rsid w:val="004E18DD"/>
    <w:rsid w:val="004E199B"/>
    <w:rsid w:val="004E19C5"/>
    <w:rsid w:val="004E19D6"/>
    <w:rsid w:val="004E1A23"/>
    <w:rsid w:val="004E1A60"/>
    <w:rsid w:val="004E1ABB"/>
    <w:rsid w:val="004E1AD9"/>
    <w:rsid w:val="004E1ADA"/>
    <w:rsid w:val="004E1BD8"/>
    <w:rsid w:val="004E1C62"/>
    <w:rsid w:val="004E1C6C"/>
    <w:rsid w:val="004E1E86"/>
    <w:rsid w:val="004E1EE4"/>
    <w:rsid w:val="004E1F8A"/>
    <w:rsid w:val="004E1F97"/>
    <w:rsid w:val="004E21FF"/>
    <w:rsid w:val="004E220E"/>
    <w:rsid w:val="004E226C"/>
    <w:rsid w:val="004E2342"/>
    <w:rsid w:val="004E23AC"/>
    <w:rsid w:val="004E2422"/>
    <w:rsid w:val="004E243C"/>
    <w:rsid w:val="004E2577"/>
    <w:rsid w:val="004E2647"/>
    <w:rsid w:val="004E2709"/>
    <w:rsid w:val="004E274F"/>
    <w:rsid w:val="004E2895"/>
    <w:rsid w:val="004E28BC"/>
    <w:rsid w:val="004E28C1"/>
    <w:rsid w:val="004E2924"/>
    <w:rsid w:val="004E2944"/>
    <w:rsid w:val="004E29C6"/>
    <w:rsid w:val="004E29D8"/>
    <w:rsid w:val="004E2A7C"/>
    <w:rsid w:val="004E2BA9"/>
    <w:rsid w:val="004E2C15"/>
    <w:rsid w:val="004E2D12"/>
    <w:rsid w:val="004E2D38"/>
    <w:rsid w:val="004E2DAC"/>
    <w:rsid w:val="004E2DC9"/>
    <w:rsid w:val="004E2DCD"/>
    <w:rsid w:val="004E2DEC"/>
    <w:rsid w:val="004E2E97"/>
    <w:rsid w:val="004E2EE5"/>
    <w:rsid w:val="004E2FCF"/>
    <w:rsid w:val="004E3079"/>
    <w:rsid w:val="004E3185"/>
    <w:rsid w:val="004E31B2"/>
    <w:rsid w:val="004E31C8"/>
    <w:rsid w:val="004E3255"/>
    <w:rsid w:val="004E327F"/>
    <w:rsid w:val="004E3395"/>
    <w:rsid w:val="004E3413"/>
    <w:rsid w:val="004E348C"/>
    <w:rsid w:val="004E3515"/>
    <w:rsid w:val="004E3654"/>
    <w:rsid w:val="004E36DE"/>
    <w:rsid w:val="004E36FB"/>
    <w:rsid w:val="004E3802"/>
    <w:rsid w:val="004E382C"/>
    <w:rsid w:val="004E38AA"/>
    <w:rsid w:val="004E3906"/>
    <w:rsid w:val="004E3936"/>
    <w:rsid w:val="004E3A9D"/>
    <w:rsid w:val="004E3B32"/>
    <w:rsid w:val="004E3B56"/>
    <w:rsid w:val="004E3C17"/>
    <w:rsid w:val="004E3C82"/>
    <w:rsid w:val="004E3D19"/>
    <w:rsid w:val="004E3D26"/>
    <w:rsid w:val="004E3D9C"/>
    <w:rsid w:val="004E3E0A"/>
    <w:rsid w:val="004E3EBA"/>
    <w:rsid w:val="004E3EE1"/>
    <w:rsid w:val="004E3F0E"/>
    <w:rsid w:val="004E3F97"/>
    <w:rsid w:val="004E3F9C"/>
    <w:rsid w:val="004E3F9E"/>
    <w:rsid w:val="004E3FAA"/>
    <w:rsid w:val="004E3FCD"/>
    <w:rsid w:val="004E435E"/>
    <w:rsid w:val="004E43B9"/>
    <w:rsid w:val="004E441A"/>
    <w:rsid w:val="004E4445"/>
    <w:rsid w:val="004E4558"/>
    <w:rsid w:val="004E46AE"/>
    <w:rsid w:val="004E46F6"/>
    <w:rsid w:val="004E4724"/>
    <w:rsid w:val="004E4727"/>
    <w:rsid w:val="004E4806"/>
    <w:rsid w:val="004E4820"/>
    <w:rsid w:val="004E486A"/>
    <w:rsid w:val="004E4973"/>
    <w:rsid w:val="004E4A7D"/>
    <w:rsid w:val="004E4AB5"/>
    <w:rsid w:val="004E4BB0"/>
    <w:rsid w:val="004E4D08"/>
    <w:rsid w:val="004E4DCF"/>
    <w:rsid w:val="004E4E3A"/>
    <w:rsid w:val="004E4EE1"/>
    <w:rsid w:val="004E4F34"/>
    <w:rsid w:val="004E508B"/>
    <w:rsid w:val="004E51A5"/>
    <w:rsid w:val="004E51CE"/>
    <w:rsid w:val="004E51D2"/>
    <w:rsid w:val="004E51F2"/>
    <w:rsid w:val="004E5299"/>
    <w:rsid w:val="004E52B2"/>
    <w:rsid w:val="004E52EB"/>
    <w:rsid w:val="004E53A2"/>
    <w:rsid w:val="004E5418"/>
    <w:rsid w:val="004E5437"/>
    <w:rsid w:val="004E54F4"/>
    <w:rsid w:val="004E55B2"/>
    <w:rsid w:val="004E55EE"/>
    <w:rsid w:val="004E56F2"/>
    <w:rsid w:val="004E574D"/>
    <w:rsid w:val="004E57C0"/>
    <w:rsid w:val="004E580A"/>
    <w:rsid w:val="004E580F"/>
    <w:rsid w:val="004E5820"/>
    <w:rsid w:val="004E5851"/>
    <w:rsid w:val="004E5884"/>
    <w:rsid w:val="004E59DD"/>
    <w:rsid w:val="004E5A1E"/>
    <w:rsid w:val="004E5C0F"/>
    <w:rsid w:val="004E5C4C"/>
    <w:rsid w:val="004E5C7F"/>
    <w:rsid w:val="004E5C95"/>
    <w:rsid w:val="004E5C98"/>
    <w:rsid w:val="004E5D23"/>
    <w:rsid w:val="004E5D39"/>
    <w:rsid w:val="004E5D5B"/>
    <w:rsid w:val="004E5D99"/>
    <w:rsid w:val="004E5DFF"/>
    <w:rsid w:val="004E5EF9"/>
    <w:rsid w:val="004E5EFE"/>
    <w:rsid w:val="004E6050"/>
    <w:rsid w:val="004E6287"/>
    <w:rsid w:val="004E63C9"/>
    <w:rsid w:val="004E6429"/>
    <w:rsid w:val="004E64A5"/>
    <w:rsid w:val="004E6510"/>
    <w:rsid w:val="004E6592"/>
    <w:rsid w:val="004E65E9"/>
    <w:rsid w:val="004E6654"/>
    <w:rsid w:val="004E66BD"/>
    <w:rsid w:val="004E66C3"/>
    <w:rsid w:val="004E66CB"/>
    <w:rsid w:val="004E6800"/>
    <w:rsid w:val="004E682B"/>
    <w:rsid w:val="004E689C"/>
    <w:rsid w:val="004E694D"/>
    <w:rsid w:val="004E69B1"/>
    <w:rsid w:val="004E69BD"/>
    <w:rsid w:val="004E69F4"/>
    <w:rsid w:val="004E6AD1"/>
    <w:rsid w:val="004E6B01"/>
    <w:rsid w:val="004E6B0C"/>
    <w:rsid w:val="004E6B45"/>
    <w:rsid w:val="004E6B47"/>
    <w:rsid w:val="004E6CA2"/>
    <w:rsid w:val="004E6CF3"/>
    <w:rsid w:val="004E6E99"/>
    <w:rsid w:val="004E6ECE"/>
    <w:rsid w:val="004E6F7F"/>
    <w:rsid w:val="004E6FB2"/>
    <w:rsid w:val="004E70B0"/>
    <w:rsid w:val="004E71C7"/>
    <w:rsid w:val="004E72F7"/>
    <w:rsid w:val="004E736C"/>
    <w:rsid w:val="004E7397"/>
    <w:rsid w:val="004E73EB"/>
    <w:rsid w:val="004E7497"/>
    <w:rsid w:val="004E75B3"/>
    <w:rsid w:val="004E75F7"/>
    <w:rsid w:val="004E7678"/>
    <w:rsid w:val="004E77A7"/>
    <w:rsid w:val="004E7A74"/>
    <w:rsid w:val="004E7AB2"/>
    <w:rsid w:val="004E7AC7"/>
    <w:rsid w:val="004E7AE4"/>
    <w:rsid w:val="004E7B32"/>
    <w:rsid w:val="004E7BD5"/>
    <w:rsid w:val="004E7C26"/>
    <w:rsid w:val="004E7C4D"/>
    <w:rsid w:val="004E7CAF"/>
    <w:rsid w:val="004E7CCF"/>
    <w:rsid w:val="004E7D1B"/>
    <w:rsid w:val="004E7DDA"/>
    <w:rsid w:val="004E7DFA"/>
    <w:rsid w:val="004E7E2C"/>
    <w:rsid w:val="004E7EB1"/>
    <w:rsid w:val="004E7F06"/>
    <w:rsid w:val="004E7FE9"/>
    <w:rsid w:val="004F000C"/>
    <w:rsid w:val="004F004F"/>
    <w:rsid w:val="004F0167"/>
    <w:rsid w:val="004F01FF"/>
    <w:rsid w:val="004F028D"/>
    <w:rsid w:val="004F02B9"/>
    <w:rsid w:val="004F02BE"/>
    <w:rsid w:val="004F0307"/>
    <w:rsid w:val="004F0320"/>
    <w:rsid w:val="004F0394"/>
    <w:rsid w:val="004F03FF"/>
    <w:rsid w:val="004F041B"/>
    <w:rsid w:val="004F0441"/>
    <w:rsid w:val="004F0793"/>
    <w:rsid w:val="004F0825"/>
    <w:rsid w:val="004F0895"/>
    <w:rsid w:val="004F09D3"/>
    <w:rsid w:val="004F0A20"/>
    <w:rsid w:val="004F0A42"/>
    <w:rsid w:val="004F0A4A"/>
    <w:rsid w:val="004F0A87"/>
    <w:rsid w:val="004F0B21"/>
    <w:rsid w:val="004F0B95"/>
    <w:rsid w:val="004F0BB6"/>
    <w:rsid w:val="004F0BD3"/>
    <w:rsid w:val="004F0D05"/>
    <w:rsid w:val="004F0D3B"/>
    <w:rsid w:val="004F0D66"/>
    <w:rsid w:val="004F0DAE"/>
    <w:rsid w:val="004F0E2D"/>
    <w:rsid w:val="004F0E5D"/>
    <w:rsid w:val="004F0FB9"/>
    <w:rsid w:val="004F1042"/>
    <w:rsid w:val="004F10F5"/>
    <w:rsid w:val="004F11F8"/>
    <w:rsid w:val="004F140A"/>
    <w:rsid w:val="004F1469"/>
    <w:rsid w:val="004F1495"/>
    <w:rsid w:val="004F1526"/>
    <w:rsid w:val="004F1574"/>
    <w:rsid w:val="004F159E"/>
    <w:rsid w:val="004F163B"/>
    <w:rsid w:val="004F1702"/>
    <w:rsid w:val="004F1708"/>
    <w:rsid w:val="004F1730"/>
    <w:rsid w:val="004F17AE"/>
    <w:rsid w:val="004F18BF"/>
    <w:rsid w:val="004F1AD5"/>
    <w:rsid w:val="004F1AFA"/>
    <w:rsid w:val="004F1B1C"/>
    <w:rsid w:val="004F1D0A"/>
    <w:rsid w:val="004F1E28"/>
    <w:rsid w:val="004F1E9E"/>
    <w:rsid w:val="004F1F0F"/>
    <w:rsid w:val="004F21B5"/>
    <w:rsid w:val="004F2208"/>
    <w:rsid w:val="004F2258"/>
    <w:rsid w:val="004F2309"/>
    <w:rsid w:val="004F249D"/>
    <w:rsid w:val="004F25A2"/>
    <w:rsid w:val="004F25BB"/>
    <w:rsid w:val="004F26CF"/>
    <w:rsid w:val="004F2753"/>
    <w:rsid w:val="004F2784"/>
    <w:rsid w:val="004F27E3"/>
    <w:rsid w:val="004F2806"/>
    <w:rsid w:val="004F284E"/>
    <w:rsid w:val="004F284F"/>
    <w:rsid w:val="004F2857"/>
    <w:rsid w:val="004F288E"/>
    <w:rsid w:val="004F296A"/>
    <w:rsid w:val="004F2AA5"/>
    <w:rsid w:val="004F2AC9"/>
    <w:rsid w:val="004F2B55"/>
    <w:rsid w:val="004F2B56"/>
    <w:rsid w:val="004F2C7C"/>
    <w:rsid w:val="004F2CD6"/>
    <w:rsid w:val="004F2E58"/>
    <w:rsid w:val="004F2F52"/>
    <w:rsid w:val="004F2F5C"/>
    <w:rsid w:val="004F2F88"/>
    <w:rsid w:val="004F2FCA"/>
    <w:rsid w:val="004F2FE4"/>
    <w:rsid w:val="004F2FF9"/>
    <w:rsid w:val="004F3066"/>
    <w:rsid w:val="004F3084"/>
    <w:rsid w:val="004F3100"/>
    <w:rsid w:val="004F317B"/>
    <w:rsid w:val="004F31CB"/>
    <w:rsid w:val="004F31D8"/>
    <w:rsid w:val="004F3264"/>
    <w:rsid w:val="004F3265"/>
    <w:rsid w:val="004F32BE"/>
    <w:rsid w:val="004F3463"/>
    <w:rsid w:val="004F3604"/>
    <w:rsid w:val="004F360A"/>
    <w:rsid w:val="004F362D"/>
    <w:rsid w:val="004F36BF"/>
    <w:rsid w:val="004F37AF"/>
    <w:rsid w:val="004F37B9"/>
    <w:rsid w:val="004F37ED"/>
    <w:rsid w:val="004F38BB"/>
    <w:rsid w:val="004F3A43"/>
    <w:rsid w:val="004F3A4D"/>
    <w:rsid w:val="004F3AB2"/>
    <w:rsid w:val="004F3B9F"/>
    <w:rsid w:val="004F3C23"/>
    <w:rsid w:val="004F3C8B"/>
    <w:rsid w:val="004F3D6A"/>
    <w:rsid w:val="004F3DEB"/>
    <w:rsid w:val="004F3EDE"/>
    <w:rsid w:val="004F3F70"/>
    <w:rsid w:val="004F4026"/>
    <w:rsid w:val="004F4105"/>
    <w:rsid w:val="004F4127"/>
    <w:rsid w:val="004F412D"/>
    <w:rsid w:val="004F41F1"/>
    <w:rsid w:val="004F4263"/>
    <w:rsid w:val="004F434C"/>
    <w:rsid w:val="004F4388"/>
    <w:rsid w:val="004F43A1"/>
    <w:rsid w:val="004F4409"/>
    <w:rsid w:val="004F44A4"/>
    <w:rsid w:val="004F45DF"/>
    <w:rsid w:val="004F4647"/>
    <w:rsid w:val="004F466B"/>
    <w:rsid w:val="004F4684"/>
    <w:rsid w:val="004F472E"/>
    <w:rsid w:val="004F476B"/>
    <w:rsid w:val="004F481D"/>
    <w:rsid w:val="004F4877"/>
    <w:rsid w:val="004F4AE0"/>
    <w:rsid w:val="004F4C3A"/>
    <w:rsid w:val="004F4C4D"/>
    <w:rsid w:val="004F4D0F"/>
    <w:rsid w:val="004F4D78"/>
    <w:rsid w:val="004F4E1E"/>
    <w:rsid w:val="004F4E98"/>
    <w:rsid w:val="004F4F51"/>
    <w:rsid w:val="004F514E"/>
    <w:rsid w:val="004F51FD"/>
    <w:rsid w:val="004F5251"/>
    <w:rsid w:val="004F5287"/>
    <w:rsid w:val="004F53B4"/>
    <w:rsid w:val="004F5521"/>
    <w:rsid w:val="004F5535"/>
    <w:rsid w:val="004F553C"/>
    <w:rsid w:val="004F55F9"/>
    <w:rsid w:val="004F5610"/>
    <w:rsid w:val="004F56A0"/>
    <w:rsid w:val="004F5703"/>
    <w:rsid w:val="004F577F"/>
    <w:rsid w:val="004F57BD"/>
    <w:rsid w:val="004F582D"/>
    <w:rsid w:val="004F58C9"/>
    <w:rsid w:val="004F59CA"/>
    <w:rsid w:val="004F5B98"/>
    <w:rsid w:val="004F5BB9"/>
    <w:rsid w:val="004F5BD7"/>
    <w:rsid w:val="004F5BDE"/>
    <w:rsid w:val="004F5C60"/>
    <w:rsid w:val="004F5CCC"/>
    <w:rsid w:val="004F5DA6"/>
    <w:rsid w:val="004F5E02"/>
    <w:rsid w:val="004F5E06"/>
    <w:rsid w:val="004F5E90"/>
    <w:rsid w:val="004F5FBF"/>
    <w:rsid w:val="004F603F"/>
    <w:rsid w:val="004F61CB"/>
    <w:rsid w:val="004F620D"/>
    <w:rsid w:val="004F629D"/>
    <w:rsid w:val="004F640F"/>
    <w:rsid w:val="004F64DD"/>
    <w:rsid w:val="004F6501"/>
    <w:rsid w:val="004F6664"/>
    <w:rsid w:val="004F6749"/>
    <w:rsid w:val="004F681C"/>
    <w:rsid w:val="004F6829"/>
    <w:rsid w:val="004F6863"/>
    <w:rsid w:val="004F6959"/>
    <w:rsid w:val="004F6985"/>
    <w:rsid w:val="004F69B2"/>
    <w:rsid w:val="004F69EA"/>
    <w:rsid w:val="004F6A3A"/>
    <w:rsid w:val="004F6AED"/>
    <w:rsid w:val="004F6B1B"/>
    <w:rsid w:val="004F6B27"/>
    <w:rsid w:val="004F6BCD"/>
    <w:rsid w:val="004F6C38"/>
    <w:rsid w:val="004F6D3F"/>
    <w:rsid w:val="004F6D66"/>
    <w:rsid w:val="004F6D75"/>
    <w:rsid w:val="004F6D83"/>
    <w:rsid w:val="004F6E05"/>
    <w:rsid w:val="004F6E2C"/>
    <w:rsid w:val="004F6E92"/>
    <w:rsid w:val="004F6EF2"/>
    <w:rsid w:val="004F6F63"/>
    <w:rsid w:val="004F7017"/>
    <w:rsid w:val="004F70C0"/>
    <w:rsid w:val="004F7139"/>
    <w:rsid w:val="004F7155"/>
    <w:rsid w:val="004F7199"/>
    <w:rsid w:val="004F71AC"/>
    <w:rsid w:val="004F71B2"/>
    <w:rsid w:val="004F71FB"/>
    <w:rsid w:val="004F724F"/>
    <w:rsid w:val="004F729C"/>
    <w:rsid w:val="004F72BF"/>
    <w:rsid w:val="004F73A4"/>
    <w:rsid w:val="004F73CE"/>
    <w:rsid w:val="004F73D3"/>
    <w:rsid w:val="004F74A9"/>
    <w:rsid w:val="004F751F"/>
    <w:rsid w:val="004F7544"/>
    <w:rsid w:val="004F7641"/>
    <w:rsid w:val="004F764C"/>
    <w:rsid w:val="004F7753"/>
    <w:rsid w:val="004F7944"/>
    <w:rsid w:val="004F79C5"/>
    <w:rsid w:val="004F7AAA"/>
    <w:rsid w:val="004F7B69"/>
    <w:rsid w:val="004F7CA3"/>
    <w:rsid w:val="004F7D13"/>
    <w:rsid w:val="004F7D61"/>
    <w:rsid w:val="004F7DDE"/>
    <w:rsid w:val="004F7DFD"/>
    <w:rsid w:val="004F7E64"/>
    <w:rsid w:val="004F7EA5"/>
    <w:rsid w:val="004F7EB9"/>
    <w:rsid w:val="004F7EEE"/>
    <w:rsid w:val="004F7F72"/>
    <w:rsid w:val="004F7F7A"/>
    <w:rsid w:val="004F7F9D"/>
    <w:rsid w:val="004F7FDE"/>
    <w:rsid w:val="004F7FE2"/>
    <w:rsid w:val="00500017"/>
    <w:rsid w:val="00500056"/>
    <w:rsid w:val="005001A3"/>
    <w:rsid w:val="00500374"/>
    <w:rsid w:val="0050039E"/>
    <w:rsid w:val="005003F3"/>
    <w:rsid w:val="00500410"/>
    <w:rsid w:val="00500428"/>
    <w:rsid w:val="00500545"/>
    <w:rsid w:val="005005B2"/>
    <w:rsid w:val="00500747"/>
    <w:rsid w:val="0050087D"/>
    <w:rsid w:val="005008A3"/>
    <w:rsid w:val="005008F8"/>
    <w:rsid w:val="00500A4A"/>
    <w:rsid w:val="00500A55"/>
    <w:rsid w:val="00500AC2"/>
    <w:rsid w:val="00500B25"/>
    <w:rsid w:val="00500C13"/>
    <w:rsid w:val="00500C69"/>
    <w:rsid w:val="00500CE3"/>
    <w:rsid w:val="00500EF0"/>
    <w:rsid w:val="00500EFB"/>
    <w:rsid w:val="00500F14"/>
    <w:rsid w:val="00500FC2"/>
    <w:rsid w:val="0050106C"/>
    <w:rsid w:val="00501083"/>
    <w:rsid w:val="00501148"/>
    <w:rsid w:val="005011CE"/>
    <w:rsid w:val="005012A4"/>
    <w:rsid w:val="0050131A"/>
    <w:rsid w:val="00501388"/>
    <w:rsid w:val="005013D0"/>
    <w:rsid w:val="00501420"/>
    <w:rsid w:val="005014C5"/>
    <w:rsid w:val="00501507"/>
    <w:rsid w:val="0050159F"/>
    <w:rsid w:val="00501631"/>
    <w:rsid w:val="0050163B"/>
    <w:rsid w:val="0050164C"/>
    <w:rsid w:val="00501724"/>
    <w:rsid w:val="005017F4"/>
    <w:rsid w:val="005018B2"/>
    <w:rsid w:val="00501915"/>
    <w:rsid w:val="00501AB6"/>
    <w:rsid w:val="00501ABC"/>
    <w:rsid w:val="00501B03"/>
    <w:rsid w:val="00501C77"/>
    <w:rsid w:val="00501D64"/>
    <w:rsid w:val="00501D9E"/>
    <w:rsid w:val="00501EC7"/>
    <w:rsid w:val="00501F76"/>
    <w:rsid w:val="0050207D"/>
    <w:rsid w:val="005020C1"/>
    <w:rsid w:val="00502173"/>
    <w:rsid w:val="0050221E"/>
    <w:rsid w:val="00502255"/>
    <w:rsid w:val="00502291"/>
    <w:rsid w:val="005022D0"/>
    <w:rsid w:val="005022F9"/>
    <w:rsid w:val="005023E5"/>
    <w:rsid w:val="00502465"/>
    <w:rsid w:val="0050257E"/>
    <w:rsid w:val="005025C7"/>
    <w:rsid w:val="005026CA"/>
    <w:rsid w:val="005027A8"/>
    <w:rsid w:val="0050282B"/>
    <w:rsid w:val="005028E0"/>
    <w:rsid w:val="0050293E"/>
    <w:rsid w:val="005029D5"/>
    <w:rsid w:val="00502A08"/>
    <w:rsid w:val="00502B2F"/>
    <w:rsid w:val="00502CA1"/>
    <w:rsid w:val="00502CD6"/>
    <w:rsid w:val="00502CF2"/>
    <w:rsid w:val="00502E97"/>
    <w:rsid w:val="00502EE1"/>
    <w:rsid w:val="00502F12"/>
    <w:rsid w:val="00502F91"/>
    <w:rsid w:val="00502FA3"/>
    <w:rsid w:val="0050307C"/>
    <w:rsid w:val="00503123"/>
    <w:rsid w:val="00503197"/>
    <w:rsid w:val="005031A6"/>
    <w:rsid w:val="005031DB"/>
    <w:rsid w:val="0050321B"/>
    <w:rsid w:val="00503240"/>
    <w:rsid w:val="0050338E"/>
    <w:rsid w:val="005033BF"/>
    <w:rsid w:val="00503494"/>
    <w:rsid w:val="00503779"/>
    <w:rsid w:val="005037A8"/>
    <w:rsid w:val="005037CB"/>
    <w:rsid w:val="00503B8E"/>
    <w:rsid w:val="00503C5B"/>
    <w:rsid w:val="00503C93"/>
    <w:rsid w:val="00503CEB"/>
    <w:rsid w:val="00503CFC"/>
    <w:rsid w:val="00503D8C"/>
    <w:rsid w:val="00503F52"/>
    <w:rsid w:val="00503FDD"/>
    <w:rsid w:val="0050404B"/>
    <w:rsid w:val="0050404F"/>
    <w:rsid w:val="00504192"/>
    <w:rsid w:val="0050419F"/>
    <w:rsid w:val="005041D8"/>
    <w:rsid w:val="00504254"/>
    <w:rsid w:val="00504274"/>
    <w:rsid w:val="005042CC"/>
    <w:rsid w:val="00504317"/>
    <w:rsid w:val="0050445F"/>
    <w:rsid w:val="005044F0"/>
    <w:rsid w:val="005045A2"/>
    <w:rsid w:val="005045B0"/>
    <w:rsid w:val="0050473F"/>
    <w:rsid w:val="00504772"/>
    <w:rsid w:val="00504966"/>
    <w:rsid w:val="00504997"/>
    <w:rsid w:val="005049C6"/>
    <w:rsid w:val="00504A46"/>
    <w:rsid w:val="00504A7A"/>
    <w:rsid w:val="00504B28"/>
    <w:rsid w:val="00504C97"/>
    <w:rsid w:val="00504E00"/>
    <w:rsid w:val="00504E29"/>
    <w:rsid w:val="00504E4F"/>
    <w:rsid w:val="00504EA1"/>
    <w:rsid w:val="00504F1F"/>
    <w:rsid w:val="00504F7C"/>
    <w:rsid w:val="00504F99"/>
    <w:rsid w:val="00504FF6"/>
    <w:rsid w:val="00505016"/>
    <w:rsid w:val="0050507E"/>
    <w:rsid w:val="005050F8"/>
    <w:rsid w:val="00505281"/>
    <w:rsid w:val="005053BC"/>
    <w:rsid w:val="00505423"/>
    <w:rsid w:val="005054AA"/>
    <w:rsid w:val="005054F1"/>
    <w:rsid w:val="00505508"/>
    <w:rsid w:val="00505523"/>
    <w:rsid w:val="0050555C"/>
    <w:rsid w:val="005055FC"/>
    <w:rsid w:val="0050561F"/>
    <w:rsid w:val="00505621"/>
    <w:rsid w:val="005056FE"/>
    <w:rsid w:val="00505790"/>
    <w:rsid w:val="005057C0"/>
    <w:rsid w:val="0050587C"/>
    <w:rsid w:val="0050589B"/>
    <w:rsid w:val="005058E4"/>
    <w:rsid w:val="005058E7"/>
    <w:rsid w:val="00505924"/>
    <w:rsid w:val="005059EF"/>
    <w:rsid w:val="00505BCC"/>
    <w:rsid w:val="00505C9A"/>
    <w:rsid w:val="00505CCA"/>
    <w:rsid w:val="00505D31"/>
    <w:rsid w:val="00505D4D"/>
    <w:rsid w:val="00505E70"/>
    <w:rsid w:val="00505E72"/>
    <w:rsid w:val="00505F14"/>
    <w:rsid w:val="00505F1A"/>
    <w:rsid w:val="00505F79"/>
    <w:rsid w:val="005060A5"/>
    <w:rsid w:val="005062AD"/>
    <w:rsid w:val="00506440"/>
    <w:rsid w:val="0050650C"/>
    <w:rsid w:val="005065B7"/>
    <w:rsid w:val="005065F8"/>
    <w:rsid w:val="00506632"/>
    <w:rsid w:val="0050670F"/>
    <w:rsid w:val="00506749"/>
    <w:rsid w:val="00506792"/>
    <w:rsid w:val="005067ED"/>
    <w:rsid w:val="005068E8"/>
    <w:rsid w:val="00506917"/>
    <w:rsid w:val="00506986"/>
    <w:rsid w:val="005069EA"/>
    <w:rsid w:val="005069F9"/>
    <w:rsid w:val="00506AF6"/>
    <w:rsid w:val="00506B31"/>
    <w:rsid w:val="00506B56"/>
    <w:rsid w:val="00506B89"/>
    <w:rsid w:val="00506C57"/>
    <w:rsid w:val="00506C59"/>
    <w:rsid w:val="00506C5E"/>
    <w:rsid w:val="00506CB3"/>
    <w:rsid w:val="00506D27"/>
    <w:rsid w:val="00506D88"/>
    <w:rsid w:val="00506DCB"/>
    <w:rsid w:val="00506E11"/>
    <w:rsid w:val="00506EE3"/>
    <w:rsid w:val="00506F18"/>
    <w:rsid w:val="00506F26"/>
    <w:rsid w:val="00506F2B"/>
    <w:rsid w:val="00506F59"/>
    <w:rsid w:val="00507012"/>
    <w:rsid w:val="005070CB"/>
    <w:rsid w:val="005070CD"/>
    <w:rsid w:val="00507164"/>
    <w:rsid w:val="0050719A"/>
    <w:rsid w:val="00507225"/>
    <w:rsid w:val="00507286"/>
    <w:rsid w:val="005072C6"/>
    <w:rsid w:val="00507437"/>
    <w:rsid w:val="0050747B"/>
    <w:rsid w:val="0050754A"/>
    <w:rsid w:val="00507565"/>
    <w:rsid w:val="00507627"/>
    <w:rsid w:val="0050762B"/>
    <w:rsid w:val="00507654"/>
    <w:rsid w:val="00507737"/>
    <w:rsid w:val="00507807"/>
    <w:rsid w:val="005078FC"/>
    <w:rsid w:val="00507900"/>
    <w:rsid w:val="00507950"/>
    <w:rsid w:val="005079DA"/>
    <w:rsid w:val="005079EE"/>
    <w:rsid w:val="00507A61"/>
    <w:rsid w:val="00507A81"/>
    <w:rsid w:val="00507AB4"/>
    <w:rsid w:val="00507AD1"/>
    <w:rsid w:val="00507AD3"/>
    <w:rsid w:val="00507B3D"/>
    <w:rsid w:val="00507B7A"/>
    <w:rsid w:val="00507C69"/>
    <w:rsid w:val="00507CA2"/>
    <w:rsid w:val="00507CFD"/>
    <w:rsid w:val="00507D6D"/>
    <w:rsid w:val="00507DAD"/>
    <w:rsid w:val="00507E25"/>
    <w:rsid w:val="00507E4C"/>
    <w:rsid w:val="00507F0B"/>
    <w:rsid w:val="00507F99"/>
    <w:rsid w:val="00507FB9"/>
    <w:rsid w:val="0051015C"/>
    <w:rsid w:val="00510165"/>
    <w:rsid w:val="00510176"/>
    <w:rsid w:val="0051019E"/>
    <w:rsid w:val="00510265"/>
    <w:rsid w:val="0051036B"/>
    <w:rsid w:val="00510582"/>
    <w:rsid w:val="005105DE"/>
    <w:rsid w:val="00510793"/>
    <w:rsid w:val="00510799"/>
    <w:rsid w:val="005107D5"/>
    <w:rsid w:val="005109FF"/>
    <w:rsid w:val="00510A90"/>
    <w:rsid w:val="00510AEA"/>
    <w:rsid w:val="00510AF1"/>
    <w:rsid w:val="00510AF5"/>
    <w:rsid w:val="00510B6C"/>
    <w:rsid w:val="00510B7C"/>
    <w:rsid w:val="00510C80"/>
    <w:rsid w:val="00510E11"/>
    <w:rsid w:val="00510E29"/>
    <w:rsid w:val="00510E85"/>
    <w:rsid w:val="00510EDF"/>
    <w:rsid w:val="00510F27"/>
    <w:rsid w:val="00510F52"/>
    <w:rsid w:val="005111BD"/>
    <w:rsid w:val="005111EE"/>
    <w:rsid w:val="0051123B"/>
    <w:rsid w:val="00511285"/>
    <w:rsid w:val="00511293"/>
    <w:rsid w:val="005112A4"/>
    <w:rsid w:val="00511350"/>
    <w:rsid w:val="00511374"/>
    <w:rsid w:val="005113AB"/>
    <w:rsid w:val="00511537"/>
    <w:rsid w:val="005115FA"/>
    <w:rsid w:val="0051162A"/>
    <w:rsid w:val="00511648"/>
    <w:rsid w:val="005116A2"/>
    <w:rsid w:val="00511745"/>
    <w:rsid w:val="005118EF"/>
    <w:rsid w:val="00511915"/>
    <w:rsid w:val="00511926"/>
    <w:rsid w:val="005119C8"/>
    <w:rsid w:val="00511A09"/>
    <w:rsid w:val="00511A11"/>
    <w:rsid w:val="00511A52"/>
    <w:rsid w:val="00511ABB"/>
    <w:rsid w:val="00511B51"/>
    <w:rsid w:val="00511B55"/>
    <w:rsid w:val="00511D66"/>
    <w:rsid w:val="00511D69"/>
    <w:rsid w:val="00511DBC"/>
    <w:rsid w:val="00511DC7"/>
    <w:rsid w:val="00511DEE"/>
    <w:rsid w:val="00511ECB"/>
    <w:rsid w:val="005120DD"/>
    <w:rsid w:val="005121BD"/>
    <w:rsid w:val="005121FF"/>
    <w:rsid w:val="0051221F"/>
    <w:rsid w:val="00512248"/>
    <w:rsid w:val="005122F0"/>
    <w:rsid w:val="00512462"/>
    <w:rsid w:val="005124E9"/>
    <w:rsid w:val="005124F0"/>
    <w:rsid w:val="00512519"/>
    <w:rsid w:val="0051252B"/>
    <w:rsid w:val="005125A0"/>
    <w:rsid w:val="0051268D"/>
    <w:rsid w:val="00512754"/>
    <w:rsid w:val="00512787"/>
    <w:rsid w:val="0051280F"/>
    <w:rsid w:val="00512937"/>
    <w:rsid w:val="00512995"/>
    <w:rsid w:val="005129E3"/>
    <w:rsid w:val="005129E6"/>
    <w:rsid w:val="005129FB"/>
    <w:rsid w:val="00512A07"/>
    <w:rsid w:val="00512A2B"/>
    <w:rsid w:val="00512A91"/>
    <w:rsid w:val="00512AFF"/>
    <w:rsid w:val="00512B89"/>
    <w:rsid w:val="00512BB8"/>
    <w:rsid w:val="00512BF7"/>
    <w:rsid w:val="00512C3D"/>
    <w:rsid w:val="00512CA8"/>
    <w:rsid w:val="00512E67"/>
    <w:rsid w:val="00512F68"/>
    <w:rsid w:val="00512FB4"/>
    <w:rsid w:val="00513036"/>
    <w:rsid w:val="005130B2"/>
    <w:rsid w:val="005130B9"/>
    <w:rsid w:val="005131FA"/>
    <w:rsid w:val="00513222"/>
    <w:rsid w:val="005132F6"/>
    <w:rsid w:val="00513312"/>
    <w:rsid w:val="00513321"/>
    <w:rsid w:val="00513373"/>
    <w:rsid w:val="00513472"/>
    <w:rsid w:val="005134DB"/>
    <w:rsid w:val="005135D3"/>
    <w:rsid w:val="0051375B"/>
    <w:rsid w:val="0051375D"/>
    <w:rsid w:val="005137DF"/>
    <w:rsid w:val="005138AF"/>
    <w:rsid w:val="0051391F"/>
    <w:rsid w:val="00513920"/>
    <w:rsid w:val="005139CD"/>
    <w:rsid w:val="005139CE"/>
    <w:rsid w:val="00513A71"/>
    <w:rsid w:val="00513B11"/>
    <w:rsid w:val="00513B82"/>
    <w:rsid w:val="00513BD4"/>
    <w:rsid w:val="00513BDA"/>
    <w:rsid w:val="00513C39"/>
    <w:rsid w:val="00513C56"/>
    <w:rsid w:val="00513CA7"/>
    <w:rsid w:val="00513CB8"/>
    <w:rsid w:val="00513CC0"/>
    <w:rsid w:val="00513D7B"/>
    <w:rsid w:val="00513E1D"/>
    <w:rsid w:val="00513E66"/>
    <w:rsid w:val="00513E71"/>
    <w:rsid w:val="00513EAB"/>
    <w:rsid w:val="00513EFB"/>
    <w:rsid w:val="00513F5D"/>
    <w:rsid w:val="0051402F"/>
    <w:rsid w:val="00514080"/>
    <w:rsid w:val="005140A7"/>
    <w:rsid w:val="00514189"/>
    <w:rsid w:val="005143C9"/>
    <w:rsid w:val="00514501"/>
    <w:rsid w:val="005145AF"/>
    <w:rsid w:val="00514637"/>
    <w:rsid w:val="005146DC"/>
    <w:rsid w:val="0051473A"/>
    <w:rsid w:val="005147E6"/>
    <w:rsid w:val="00514AAD"/>
    <w:rsid w:val="00514B2D"/>
    <w:rsid w:val="00514B92"/>
    <w:rsid w:val="00514BA8"/>
    <w:rsid w:val="00514BAA"/>
    <w:rsid w:val="00514C6D"/>
    <w:rsid w:val="00514CDF"/>
    <w:rsid w:val="00514E83"/>
    <w:rsid w:val="00514EB9"/>
    <w:rsid w:val="00514EC8"/>
    <w:rsid w:val="00514F49"/>
    <w:rsid w:val="00514F8E"/>
    <w:rsid w:val="00514FAB"/>
    <w:rsid w:val="005150E4"/>
    <w:rsid w:val="0051510F"/>
    <w:rsid w:val="00515123"/>
    <w:rsid w:val="00515160"/>
    <w:rsid w:val="005152B5"/>
    <w:rsid w:val="00515482"/>
    <w:rsid w:val="00515570"/>
    <w:rsid w:val="005155E2"/>
    <w:rsid w:val="00515670"/>
    <w:rsid w:val="00515763"/>
    <w:rsid w:val="0051591F"/>
    <w:rsid w:val="00515999"/>
    <w:rsid w:val="00515A20"/>
    <w:rsid w:val="00515A60"/>
    <w:rsid w:val="00515B2E"/>
    <w:rsid w:val="00515BBB"/>
    <w:rsid w:val="00515DB1"/>
    <w:rsid w:val="00515DB6"/>
    <w:rsid w:val="00515DE4"/>
    <w:rsid w:val="00515F44"/>
    <w:rsid w:val="00515FBB"/>
    <w:rsid w:val="005160DE"/>
    <w:rsid w:val="0051639F"/>
    <w:rsid w:val="005163AB"/>
    <w:rsid w:val="0051648D"/>
    <w:rsid w:val="00516553"/>
    <w:rsid w:val="0051657F"/>
    <w:rsid w:val="005165BB"/>
    <w:rsid w:val="005165DD"/>
    <w:rsid w:val="0051667B"/>
    <w:rsid w:val="005166B0"/>
    <w:rsid w:val="005166DE"/>
    <w:rsid w:val="005166EF"/>
    <w:rsid w:val="00516809"/>
    <w:rsid w:val="00516861"/>
    <w:rsid w:val="005168BA"/>
    <w:rsid w:val="00516981"/>
    <w:rsid w:val="00516C2E"/>
    <w:rsid w:val="00516C55"/>
    <w:rsid w:val="00516CB2"/>
    <w:rsid w:val="00516D64"/>
    <w:rsid w:val="00516D68"/>
    <w:rsid w:val="00516F1A"/>
    <w:rsid w:val="00516FA1"/>
    <w:rsid w:val="00517022"/>
    <w:rsid w:val="005170C1"/>
    <w:rsid w:val="005170CD"/>
    <w:rsid w:val="0051712D"/>
    <w:rsid w:val="0051713A"/>
    <w:rsid w:val="00517195"/>
    <w:rsid w:val="005171FC"/>
    <w:rsid w:val="0051726B"/>
    <w:rsid w:val="005172A8"/>
    <w:rsid w:val="005173A9"/>
    <w:rsid w:val="005173D9"/>
    <w:rsid w:val="0051742C"/>
    <w:rsid w:val="0051753D"/>
    <w:rsid w:val="00517920"/>
    <w:rsid w:val="0051799F"/>
    <w:rsid w:val="005179E6"/>
    <w:rsid w:val="005179F3"/>
    <w:rsid w:val="00517AA4"/>
    <w:rsid w:val="00517B2B"/>
    <w:rsid w:val="00517D1F"/>
    <w:rsid w:val="00517DAD"/>
    <w:rsid w:val="00517DC8"/>
    <w:rsid w:val="00517DE1"/>
    <w:rsid w:val="00517E35"/>
    <w:rsid w:val="00517EF9"/>
    <w:rsid w:val="0052006E"/>
    <w:rsid w:val="0052007E"/>
    <w:rsid w:val="005200B9"/>
    <w:rsid w:val="005200DD"/>
    <w:rsid w:val="00520107"/>
    <w:rsid w:val="0052016C"/>
    <w:rsid w:val="005202B1"/>
    <w:rsid w:val="005202E4"/>
    <w:rsid w:val="00520340"/>
    <w:rsid w:val="0052035D"/>
    <w:rsid w:val="00520368"/>
    <w:rsid w:val="00520396"/>
    <w:rsid w:val="005203F9"/>
    <w:rsid w:val="0052043A"/>
    <w:rsid w:val="0052046B"/>
    <w:rsid w:val="0052046D"/>
    <w:rsid w:val="00520623"/>
    <w:rsid w:val="0052068B"/>
    <w:rsid w:val="005207CC"/>
    <w:rsid w:val="0052083B"/>
    <w:rsid w:val="00520889"/>
    <w:rsid w:val="005208E3"/>
    <w:rsid w:val="00520911"/>
    <w:rsid w:val="00520960"/>
    <w:rsid w:val="00520986"/>
    <w:rsid w:val="005209EE"/>
    <w:rsid w:val="00520B00"/>
    <w:rsid w:val="00520B24"/>
    <w:rsid w:val="00520B45"/>
    <w:rsid w:val="00520B7C"/>
    <w:rsid w:val="00520BDB"/>
    <w:rsid w:val="00520C2C"/>
    <w:rsid w:val="00520D08"/>
    <w:rsid w:val="00520D49"/>
    <w:rsid w:val="00520E2C"/>
    <w:rsid w:val="00520E40"/>
    <w:rsid w:val="00520E8B"/>
    <w:rsid w:val="00520F7D"/>
    <w:rsid w:val="00520FFA"/>
    <w:rsid w:val="0052102E"/>
    <w:rsid w:val="0052119F"/>
    <w:rsid w:val="00521239"/>
    <w:rsid w:val="005212B3"/>
    <w:rsid w:val="00521347"/>
    <w:rsid w:val="0052136D"/>
    <w:rsid w:val="0052137F"/>
    <w:rsid w:val="00521384"/>
    <w:rsid w:val="0052143D"/>
    <w:rsid w:val="00521492"/>
    <w:rsid w:val="00521602"/>
    <w:rsid w:val="0052164F"/>
    <w:rsid w:val="00521718"/>
    <w:rsid w:val="005217E0"/>
    <w:rsid w:val="005218B6"/>
    <w:rsid w:val="005218C6"/>
    <w:rsid w:val="005219D3"/>
    <w:rsid w:val="00521A6D"/>
    <w:rsid w:val="00521ABF"/>
    <w:rsid w:val="00521ADF"/>
    <w:rsid w:val="00521CF1"/>
    <w:rsid w:val="00521E32"/>
    <w:rsid w:val="00521E6B"/>
    <w:rsid w:val="00521E92"/>
    <w:rsid w:val="00521EE7"/>
    <w:rsid w:val="0052221B"/>
    <w:rsid w:val="00522414"/>
    <w:rsid w:val="005224FE"/>
    <w:rsid w:val="00522581"/>
    <w:rsid w:val="005225A4"/>
    <w:rsid w:val="0052280D"/>
    <w:rsid w:val="00522932"/>
    <w:rsid w:val="0052297D"/>
    <w:rsid w:val="005229B4"/>
    <w:rsid w:val="005229D0"/>
    <w:rsid w:val="00522ABC"/>
    <w:rsid w:val="00522B66"/>
    <w:rsid w:val="00522C50"/>
    <w:rsid w:val="00522C81"/>
    <w:rsid w:val="00522CD0"/>
    <w:rsid w:val="00522D02"/>
    <w:rsid w:val="00522DC6"/>
    <w:rsid w:val="00522F16"/>
    <w:rsid w:val="00522F7D"/>
    <w:rsid w:val="00523009"/>
    <w:rsid w:val="005231A3"/>
    <w:rsid w:val="005231D4"/>
    <w:rsid w:val="0052322F"/>
    <w:rsid w:val="00523256"/>
    <w:rsid w:val="0052326C"/>
    <w:rsid w:val="005232AE"/>
    <w:rsid w:val="005232C2"/>
    <w:rsid w:val="005233BC"/>
    <w:rsid w:val="0052347C"/>
    <w:rsid w:val="00523485"/>
    <w:rsid w:val="005234D4"/>
    <w:rsid w:val="00523517"/>
    <w:rsid w:val="00523536"/>
    <w:rsid w:val="0052353B"/>
    <w:rsid w:val="0052359B"/>
    <w:rsid w:val="005235BC"/>
    <w:rsid w:val="005236BE"/>
    <w:rsid w:val="0052373D"/>
    <w:rsid w:val="00523761"/>
    <w:rsid w:val="00523777"/>
    <w:rsid w:val="005237CC"/>
    <w:rsid w:val="00523802"/>
    <w:rsid w:val="00523890"/>
    <w:rsid w:val="0052390A"/>
    <w:rsid w:val="00523912"/>
    <w:rsid w:val="0052392A"/>
    <w:rsid w:val="00523948"/>
    <w:rsid w:val="00523955"/>
    <w:rsid w:val="00523956"/>
    <w:rsid w:val="0052395F"/>
    <w:rsid w:val="00523A6A"/>
    <w:rsid w:val="00523AA2"/>
    <w:rsid w:val="00523AB5"/>
    <w:rsid w:val="00523AF9"/>
    <w:rsid w:val="00523B7C"/>
    <w:rsid w:val="00523B8B"/>
    <w:rsid w:val="00523C5E"/>
    <w:rsid w:val="00523CFD"/>
    <w:rsid w:val="00523DB5"/>
    <w:rsid w:val="00523DF0"/>
    <w:rsid w:val="00523E01"/>
    <w:rsid w:val="00523E72"/>
    <w:rsid w:val="00523EBC"/>
    <w:rsid w:val="00523FB1"/>
    <w:rsid w:val="00523FBC"/>
    <w:rsid w:val="00523FF3"/>
    <w:rsid w:val="00524029"/>
    <w:rsid w:val="00524066"/>
    <w:rsid w:val="0052406E"/>
    <w:rsid w:val="0052416E"/>
    <w:rsid w:val="00524185"/>
    <w:rsid w:val="00524216"/>
    <w:rsid w:val="00524219"/>
    <w:rsid w:val="00524252"/>
    <w:rsid w:val="00524271"/>
    <w:rsid w:val="005242B8"/>
    <w:rsid w:val="00524374"/>
    <w:rsid w:val="00524426"/>
    <w:rsid w:val="00524434"/>
    <w:rsid w:val="005244C3"/>
    <w:rsid w:val="005245E6"/>
    <w:rsid w:val="00524647"/>
    <w:rsid w:val="00524657"/>
    <w:rsid w:val="0052469D"/>
    <w:rsid w:val="005246A6"/>
    <w:rsid w:val="005246F5"/>
    <w:rsid w:val="005248C2"/>
    <w:rsid w:val="005248D1"/>
    <w:rsid w:val="005248D7"/>
    <w:rsid w:val="00524947"/>
    <w:rsid w:val="00524986"/>
    <w:rsid w:val="0052499B"/>
    <w:rsid w:val="005249DC"/>
    <w:rsid w:val="00524A00"/>
    <w:rsid w:val="00524A09"/>
    <w:rsid w:val="00524A0B"/>
    <w:rsid w:val="00524AA7"/>
    <w:rsid w:val="00524AA8"/>
    <w:rsid w:val="00524B8E"/>
    <w:rsid w:val="00524C6D"/>
    <w:rsid w:val="00524C87"/>
    <w:rsid w:val="00524DC2"/>
    <w:rsid w:val="00524DF7"/>
    <w:rsid w:val="00524F29"/>
    <w:rsid w:val="0052501D"/>
    <w:rsid w:val="00525033"/>
    <w:rsid w:val="0052505C"/>
    <w:rsid w:val="00525070"/>
    <w:rsid w:val="005250FA"/>
    <w:rsid w:val="005251C7"/>
    <w:rsid w:val="0052525C"/>
    <w:rsid w:val="00525308"/>
    <w:rsid w:val="00525384"/>
    <w:rsid w:val="005255F7"/>
    <w:rsid w:val="00525727"/>
    <w:rsid w:val="00525875"/>
    <w:rsid w:val="00525909"/>
    <w:rsid w:val="00525A19"/>
    <w:rsid w:val="00525AA9"/>
    <w:rsid w:val="00525AEA"/>
    <w:rsid w:val="00525BD3"/>
    <w:rsid w:val="00525C8A"/>
    <w:rsid w:val="00525D69"/>
    <w:rsid w:val="00525E78"/>
    <w:rsid w:val="00525F00"/>
    <w:rsid w:val="00525F82"/>
    <w:rsid w:val="00526021"/>
    <w:rsid w:val="0052605F"/>
    <w:rsid w:val="005260A0"/>
    <w:rsid w:val="005260AC"/>
    <w:rsid w:val="00526149"/>
    <w:rsid w:val="005261AA"/>
    <w:rsid w:val="00526249"/>
    <w:rsid w:val="00526383"/>
    <w:rsid w:val="005263FE"/>
    <w:rsid w:val="00526403"/>
    <w:rsid w:val="0052645E"/>
    <w:rsid w:val="00526486"/>
    <w:rsid w:val="0052649C"/>
    <w:rsid w:val="005264BC"/>
    <w:rsid w:val="005264CC"/>
    <w:rsid w:val="00526566"/>
    <w:rsid w:val="0052657C"/>
    <w:rsid w:val="005265AD"/>
    <w:rsid w:val="00526613"/>
    <w:rsid w:val="0052678F"/>
    <w:rsid w:val="0052681E"/>
    <w:rsid w:val="0052682C"/>
    <w:rsid w:val="00526C1E"/>
    <w:rsid w:val="00526C35"/>
    <w:rsid w:val="00526CFB"/>
    <w:rsid w:val="00526DC0"/>
    <w:rsid w:val="00526F21"/>
    <w:rsid w:val="00526FB6"/>
    <w:rsid w:val="00527302"/>
    <w:rsid w:val="00527366"/>
    <w:rsid w:val="00527414"/>
    <w:rsid w:val="005274B8"/>
    <w:rsid w:val="0052750F"/>
    <w:rsid w:val="005275C9"/>
    <w:rsid w:val="005275DF"/>
    <w:rsid w:val="0052767B"/>
    <w:rsid w:val="005276CD"/>
    <w:rsid w:val="00527889"/>
    <w:rsid w:val="00527984"/>
    <w:rsid w:val="005279E0"/>
    <w:rsid w:val="005279F6"/>
    <w:rsid w:val="00527A29"/>
    <w:rsid w:val="00527AA4"/>
    <w:rsid w:val="00527AC8"/>
    <w:rsid w:val="00527BC3"/>
    <w:rsid w:val="00527CB3"/>
    <w:rsid w:val="00527D11"/>
    <w:rsid w:val="00527DA7"/>
    <w:rsid w:val="00527F82"/>
    <w:rsid w:val="00527F8A"/>
    <w:rsid w:val="00530027"/>
    <w:rsid w:val="0053005C"/>
    <w:rsid w:val="00530096"/>
    <w:rsid w:val="005300BC"/>
    <w:rsid w:val="00530184"/>
    <w:rsid w:val="00530320"/>
    <w:rsid w:val="0053039E"/>
    <w:rsid w:val="005303E5"/>
    <w:rsid w:val="0053040D"/>
    <w:rsid w:val="00530433"/>
    <w:rsid w:val="00530442"/>
    <w:rsid w:val="00530502"/>
    <w:rsid w:val="0053050D"/>
    <w:rsid w:val="005305E2"/>
    <w:rsid w:val="00530685"/>
    <w:rsid w:val="00530708"/>
    <w:rsid w:val="00530931"/>
    <w:rsid w:val="00530A20"/>
    <w:rsid w:val="00530A2F"/>
    <w:rsid w:val="00530AB4"/>
    <w:rsid w:val="00530AEA"/>
    <w:rsid w:val="00530BA8"/>
    <w:rsid w:val="00530BDE"/>
    <w:rsid w:val="00530CA2"/>
    <w:rsid w:val="00530E29"/>
    <w:rsid w:val="00530EA0"/>
    <w:rsid w:val="0053121D"/>
    <w:rsid w:val="005313D2"/>
    <w:rsid w:val="005313D8"/>
    <w:rsid w:val="00531452"/>
    <w:rsid w:val="00531582"/>
    <w:rsid w:val="00531588"/>
    <w:rsid w:val="005315BD"/>
    <w:rsid w:val="005315CA"/>
    <w:rsid w:val="0053164B"/>
    <w:rsid w:val="005316AF"/>
    <w:rsid w:val="005316E8"/>
    <w:rsid w:val="0053172D"/>
    <w:rsid w:val="005317CE"/>
    <w:rsid w:val="005317E1"/>
    <w:rsid w:val="005317E6"/>
    <w:rsid w:val="00531817"/>
    <w:rsid w:val="0053181B"/>
    <w:rsid w:val="005318E7"/>
    <w:rsid w:val="005318F5"/>
    <w:rsid w:val="005318F6"/>
    <w:rsid w:val="00531A0C"/>
    <w:rsid w:val="00531A1B"/>
    <w:rsid w:val="00531A70"/>
    <w:rsid w:val="00531AA4"/>
    <w:rsid w:val="00531AAD"/>
    <w:rsid w:val="00531AB5"/>
    <w:rsid w:val="00531C2B"/>
    <w:rsid w:val="00531CEE"/>
    <w:rsid w:val="00531D19"/>
    <w:rsid w:val="00531E4B"/>
    <w:rsid w:val="00532008"/>
    <w:rsid w:val="0053201F"/>
    <w:rsid w:val="0053202E"/>
    <w:rsid w:val="00532043"/>
    <w:rsid w:val="00532047"/>
    <w:rsid w:val="0053208F"/>
    <w:rsid w:val="005321E4"/>
    <w:rsid w:val="005323D8"/>
    <w:rsid w:val="005324E2"/>
    <w:rsid w:val="00532577"/>
    <w:rsid w:val="00532595"/>
    <w:rsid w:val="00532615"/>
    <w:rsid w:val="005326AF"/>
    <w:rsid w:val="0053270D"/>
    <w:rsid w:val="00532852"/>
    <w:rsid w:val="005328A1"/>
    <w:rsid w:val="005328B2"/>
    <w:rsid w:val="005328FF"/>
    <w:rsid w:val="005329B9"/>
    <w:rsid w:val="00532A2F"/>
    <w:rsid w:val="00532AE4"/>
    <w:rsid w:val="00532B13"/>
    <w:rsid w:val="00532B4E"/>
    <w:rsid w:val="00532B86"/>
    <w:rsid w:val="00532C2D"/>
    <w:rsid w:val="00532DF4"/>
    <w:rsid w:val="00532EE3"/>
    <w:rsid w:val="00532F56"/>
    <w:rsid w:val="00532F6F"/>
    <w:rsid w:val="00532FAE"/>
    <w:rsid w:val="0053300B"/>
    <w:rsid w:val="0053307A"/>
    <w:rsid w:val="00533104"/>
    <w:rsid w:val="00533175"/>
    <w:rsid w:val="0053317F"/>
    <w:rsid w:val="0053318A"/>
    <w:rsid w:val="00533266"/>
    <w:rsid w:val="0053335E"/>
    <w:rsid w:val="00533387"/>
    <w:rsid w:val="005336A4"/>
    <w:rsid w:val="005336E3"/>
    <w:rsid w:val="00533715"/>
    <w:rsid w:val="0053371A"/>
    <w:rsid w:val="0053375B"/>
    <w:rsid w:val="00533873"/>
    <w:rsid w:val="00533A7D"/>
    <w:rsid w:val="00533B30"/>
    <w:rsid w:val="00533BE8"/>
    <w:rsid w:val="00533D1D"/>
    <w:rsid w:val="00533DAF"/>
    <w:rsid w:val="00533E52"/>
    <w:rsid w:val="00533FA9"/>
    <w:rsid w:val="00533FE6"/>
    <w:rsid w:val="005340D1"/>
    <w:rsid w:val="0053412A"/>
    <w:rsid w:val="0053412D"/>
    <w:rsid w:val="00534149"/>
    <w:rsid w:val="00534174"/>
    <w:rsid w:val="0053429C"/>
    <w:rsid w:val="00534398"/>
    <w:rsid w:val="005343C3"/>
    <w:rsid w:val="005343C5"/>
    <w:rsid w:val="00534475"/>
    <w:rsid w:val="005344AC"/>
    <w:rsid w:val="00534552"/>
    <w:rsid w:val="00534577"/>
    <w:rsid w:val="0053463E"/>
    <w:rsid w:val="0053475D"/>
    <w:rsid w:val="00534762"/>
    <w:rsid w:val="00534886"/>
    <w:rsid w:val="00534A46"/>
    <w:rsid w:val="00534A54"/>
    <w:rsid w:val="00534B41"/>
    <w:rsid w:val="00534B93"/>
    <w:rsid w:val="00534BC9"/>
    <w:rsid w:val="00534D28"/>
    <w:rsid w:val="00534D90"/>
    <w:rsid w:val="00534E78"/>
    <w:rsid w:val="00534F55"/>
    <w:rsid w:val="00535088"/>
    <w:rsid w:val="005350E5"/>
    <w:rsid w:val="0053512B"/>
    <w:rsid w:val="00535140"/>
    <w:rsid w:val="00535227"/>
    <w:rsid w:val="005352B6"/>
    <w:rsid w:val="005352C4"/>
    <w:rsid w:val="0053537C"/>
    <w:rsid w:val="005353B6"/>
    <w:rsid w:val="00535457"/>
    <w:rsid w:val="00535491"/>
    <w:rsid w:val="005354E3"/>
    <w:rsid w:val="00535525"/>
    <w:rsid w:val="00535556"/>
    <w:rsid w:val="00535622"/>
    <w:rsid w:val="005356DC"/>
    <w:rsid w:val="005357BD"/>
    <w:rsid w:val="005357D5"/>
    <w:rsid w:val="005357E0"/>
    <w:rsid w:val="00535813"/>
    <w:rsid w:val="005358A5"/>
    <w:rsid w:val="00535928"/>
    <w:rsid w:val="00535984"/>
    <w:rsid w:val="005359AE"/>
    <w:rsid w:val="00535A57"/>
    <w:rsid w:val="00535B89"/>
    <w:rsid w:val="00535C58"/>
    <w:rsid w:val="00535D04"/>
    <w:rsid w:val="00535E5A"/>
    <w:rsid w:val="00535E6A"/>
    <w:rsid w:val="00535ED5"/>
    <w:rsid w:val="00535F00"/>
    <w:rsid w:val="00535FD9"/>
    <w:rsid w:val="00535FE1"/>
    <w:rsid w:val="00536053"/>
    <w:rsid w:val="0053605C"/>
    <w:rsid w:val="005360BE"/>
    <w:rsid w:val="0053610A"/>
    <w:rsid w:val="00536152"/>
    <w:rsid w:val="00536154"/>
    <w:rsid w:val="00536182"/>
    <w:rsid w:val="005361F8"/>
    <w:rsid w:val="0053623C"/>
    <w:rsid w:val="0053626C"/>
    <w:rsid w:val="00536282"/>
    <w:rsid w:val="005362DB"/>
    <w:rsid w:val="005363A4"/>
    <w:rsid w:val="005363A5"/>
    <w:rsid w:val="005363D4"/>
    <w:rsid w:val="00536488"/>
    <w:rsid w:val="005364F8"/>
    <w:rsid w:val="00536524"/>
    <w:rsid w:val="00536543"/>
    <w:rsid w:val="005365E2"/>
    <w:rsid w:val="0053662E"/>
    <w:rsid w:val="0053669D"/>
    <w:rsid w:val="005366D6"/>
    <w:rsid w:val="0053673C"/>
    <w:rsid w:val="005367A8"/>
    <w:rsid w:val="00536803"/>
    <w:rsid w:val="0053687A"/>
    <w:rsid w:val="005369C9"/>
    <w:rsid w:val="005369E3"/>
    <w:rsid w:val="00536A0F"/>
    <w:rsid w:val="00536A21"/>
    <w:rsid w:val="00536A6D"/>
    <w:rsid w:val="00536AAD"/>
    <w:rsid w:val="00536B72"/>
    <w:rsid w:val="00536BE6"/>
    <w:rsid w:val="00536C4A"/>
    <w:rsid w:val="00536C8A"/>
    <w:rsid w:val="00536EA0"/>
    <w:rsid w:val="00536EF3"/>
    <w:rsid w:val="00537076"/>
    <w:rsid w:val="005371A2"/>
    <w:rsid w:val="005371BA"/>
    <w:rsid w:val="005372DB"/>
    <w:rsid w:val="00537354"/>
    <w:rsid w:val="00537361"/>
    <w:rsid w:val="00537586"/>
    <w:rsid w:val="00537602"/>
    <w:rsid w:val="005376AD"/>
    <w:rsid w:val="0053788C"/>
    <w:rsid w:val="005378AC"/>
    <w:rsid w:val="005378F2"/>
    <w:rsid w:val="00537AB2"/>
    <w:rsid w:val="00537AE5"/>
    <w:rsid w:val="00537AE8"/>
    <w:rsid w:val="00537B0E"/>
    <w:rsid w:val="00537B59"/>
    <w:rsid w:val="00537B91"/>
    <w:rsid w:val="00537BCB"/>
    <w:rsid w:val="00537BEF"/>
    <w:rsid w:val="00537C8B"/>
    <w:rsid w:val="00537CA3"/>
    <w:rsid w:val="00537CC3"/>
    <w:rsid w:val="00537CFA"/>
    <w:rsid w:val="00537DE9"/>
    <w:rsid w:val="00537E2D"/>
    <w:rsid w:val="00537EB2"/>
    <w:rsid w:val="00537EC6"/>
    <w:rsid w:val="00537EEA"/>
    <w:rsid w:val="00537F97"/>
    <w:rsid w:val="00537F9B"/>
    <w:rsid w:val="00537FE2"/>
    <w:rsid w:val="00537FE9"/>
    <w:rsid w:val="005400FE"/>
    <w:rsid w:val="005401B0"/>
    <w:rsid w:val="005402A6"/>
    <w:rsid w:val="005402D4"/>
    <w:rsid w:val="00540425"/>
    <w:rsid w:val="005404FE"/>
    <w:rsid w:val="00540523"/>
    <w:rsid w:val="00540606"/>
    <w:rsid w:val="005406A6"/>
    <w:rsid w:val="005406DF"/>
    <w:rsid w:val="0054072B"/>
    <w:rsid w:val="0054078F"/>
    <w:rsid w:val="005407CB"/>
    <w:rsid w:val="0054093F"/>
    <w:rsid w:val="00540947"/>
    <w:rsid w:val="00540A9E"/>
    <w:rsid w:val="00540CA2"/>
    <w:rsid w:val="00540D26"/>
    <w:rsid w:val="00540F4A"/>
    <w:rsid w:val="00540F4C"/>
    <w:rsid w:val="00540FE8"/>
    <w:rsid w:val="00541000"/>
    <w:rsid w:val="00541072"/>
    <w:rsid w:val="005410BF"/>
    <w:rsid w:val="005410FC"/>
    <w:rsid w:val="00541121"/>
    <w:rsid w:val="00541124"/>
    <w:rsid w:val="00541154"/>
    <w:rsid w:val="005411B9"/>
    <w:rsid w:val="00541212"/>
    <w:rsid w:val="00541251"/>
    <w:rsid w:val="00541284"/>
    <w:rsid w:val="005412C8"/>
    <w:rsid w:val="005412F7"/>
    <w:rsid w:val="00541394"/>
    <w:rsid w:val="0054141C"/>
    <w:rsid w:val="0054148F"/>
    <w:rsid w:val="005414EC"/>
    <w:rsid w:val="0054156B"/>
    <w:rsid w:val="00541614"/>
    <w:rsid w:val="005416A7"/>
    <w:rsid w:val="00541732"/>
    <w:rsid w:val="00541792"/>
    <w:rsid w:val="0054191C"/>
    <w:rsid w:val="00541966"/>
    <w:rsid w:val="00541967"/>
    <w:rsid w:val="00541AB7"/>
    <w:rsid w:val="00541B10"/>
    <w:rsid w:val="00541BF5"/>
    <w:rsid w:val="00541C3C"/>
    <w:rsid w:val="00541C61"/>
    <w:rsid w:val="00541C67"/>
    <w:rsid w:val="00541D07"/>
    <w:rsid w:val="00541D65"/>
    <w:rsid w:val="00541D69"/>
    <w:rsid w:val="00541E0E"/>
    <w:rsid w:val="00541E5E"/>
    <w:rsid w:val="00541E8D"/>
    <w:rsid w:val="00541ECE"/>
    <w:rsid w:val="00541EF5"/>
    <w:rsid w:val="00541F5E"/>
    <w:rsid w:val="00541F8A"/>
    <w:rsid w:val="005420B8"/>
    <w:rsid w:val="005420BB"/>
    <w:rsid w:val="005420BF"/>
    <w:rsid w:val="00542146"/>
    <w:rsid w:val="00542155"/>
    <w:rsid w:val="005421BE"/>
    <w:rsid w:val="00542251"/>
    <w:rsid w:val="005422E5"/>
    <w:rsid w:val="005422EE"/>
    <w:rsid w:val="005422F6"/>
    <w:rsid w:val="00542373"/>
    <w:rsid w:val="0054237B"/>
    <w:rsid w:val="005423B3"/>
    <w:rsid w:val="005423BB"/>
    <w:rsid w:val="0054244D"/>
    <w:rsid w:val="00542518"/>
    <w:rsid w:val="005425A7"/>
    <w:rsid w:val="0054262C"/>
    <w:rsid w:val="005426D0"/>
    <w:rsid w:val="005426D9"/>
    <w:rsid w:val="0054271C"/>
    <w:rsid w:val="0054280D"/>
    <w:rsid w:val="00542873"/>
    <w:rsid w:val="00542915"/>
    <w:rsid w:val="00542AA6"/>
    <w:rsid w:val="00542B3A"/>
    <w:rsid w:val="00542B91"/>
    <w:rsid w:val="00542BD5"/>
    <w:rsid w:val="00542BE8"/>
    <w:rsid w:val="00542D2E"/>
    <w:rsid w:val="00542E89"/>
    <w:rsid w:val="00542F11"/>
    <w:rsid w:val="00542FCA"/>
    <w:rsid w:val="0054307B"/>
    <w:rsid w:val="005430D2"/>
    <w:rsid w:val="005430E8"/>
    <w:rsid w:val="0054324A"/>
    <w:rsid w:val="00543264"/>
    <w:rsid w:val="005433BC"/>
    <w:rsid w:val="005433EB"/>
    <w:rsid w:val="00543434"/>
    <w:rsid w:val="00543522"/>
    <w:rsid w:val="0054366C"/>
    <w:rsid w:val="00543766"/>
    <w:rsid w:val="00543AC3"/>
    <w:rsid w:val="00543AF0"/>
    <w:rsid w:val="00543B61"/>
    <w:rsid w:val="00543B6F"/>
    <w:rsid w:val="00543B9B"/>
    <w:rsid w:val="00543C1A"/>
    <w:rsid w:val="00543CEB"/>
    <w:rsid w:val="00543D63"/>
    <w:rsid w:val="00543E00"/>
    <w:rsid w:val="00543E0C"/>
    <w:rsid w:val="00543E35"/>
    <w:rsid w:val="00543E47"/>
    <w:rsid w:val="00543EF6"/>
    <w:rsid w:val="005441CC"/>
    <w:rsid w:val="005441EA"/>
    <w:rsid w:val="0054422F"/>
    <w:rsid w:val="0054437D"/>
    <w:rsid w:val="0054444D"/>
    <w:rsid w:val="00544652"/>
    <w:rsid w:val="005446B4"/>
    <w:rsid w:val="005446C1"/>
    <w:rsid w:val="005446D7"/>
    <w:rsid w:val="0054473E"/>
    <w:rsid w:val="005448A7"/>
    <w:rsid w:val="005448FC"/>
    <w:rsid w:val="0054496F"/>
    <w:rsid w:val="00544A3C"/>
    <w:rsid w:val="00544B35"/>
    <w:rsid w:val="00544B7F"/>
    <w:rsid w:val="00544B98"/>
    <w:rsid w:val="00544BC4"/>
    <w:rsid w:val="00544C4B"/>
    <w:rsid w:val="00544C94"/>
    <w:rsid w:val="00544D71"/>
    <w:rsid w:val="00544DAE"/>
    <w:rsid w:val="00544DB0"/>
    <w:rsid w:val="00544DCD"/>
    <w:rsid w:val="00544DE9"/>
    <w:rsid w:val="00544DF6"/>
    <w:rsid w:val="00544E73"/>
    <w:rsid w:val="00544F60"/>
    <w:rsid w:val="005450F4"/>
    <w:rsid w:val="005451CD"/>
    <w:rsid w:val="00545236"/>
    <w:rsid w:val="005453E7"/>
    <w:rsid w:val="00545439"/>
    <w:rsid w:val="00545464"/>
    <w:rsid w:val="005454E8"/>
    <w:rsid w:val="0054568C"/>
    <w:rsid w:val="005456C9"/>
    <w:rsid w:val="005456E7"/>
    <w:rsid w:val="0054582F"/>
    <w:rsid w:val="0054583D"/>
    <w:rsid w:val="00545A1E"/>
    <w:rsid w:val="00545A57"/>
    <w:rsid w:val="00545A7E"/>
    <w:rsid w:val="00545B08"/>
    <w:rsid w:val="00545D75"/>
    <w:rsid w:val="00545DD6"/>
    <w:rsid w:val="00545EA4"/>
    <w:rsid w:val="00546189"/>
    <w:rsid w:val="005461AA"/>
    <w:rsid w:val="0054623F"/>
    <w:rsid w:val="0054627B"/>
    <w:rsid w:val="005462C3"/>
    <w:rsid w:val="0054631A"/>
    <w:rsid w:val="00546393"/>
    <w:rsid w:val="00546455"/>
    <w:rsid w:val="00546492"/>
    <w:rsid w:val="005465FD"/>
    <w:rsid w:val="0054667A"/>
    <w:rsid w:val="0054667D"/>
    <w:rsid w:val="005467D9"/>
    <w:rsid w:val="00546807"/>
    <w:rsid w:val="005469C9"/>
    <w:rsid w:val="005469DA"/>
    <w:rsid w:val="00546ADF"/>
    <w:rsid w:val="00546B0C"/>
    <w:rsid w:val="00546B3B"/>
    <w:rsid w:val="00546B51"/>
    <w:rsid w:val="00546B5B"/>
    <w:rsid w:val="00546B68"/>
    <w:rsid w:val="00546BCA"/>
    <w:rsid w:val="00546BD3"/>
    <w:rsid w:val="00546C94"/>
    <w:rsid w:val="00546D1F"/>
    <w:rsid w:val="00546DA7"/>
    <w:rsid w:val="00546DEF"/>
    <w:rsid w:val="00546ECD"/>
    <w:rsid w:val="00547014"/>
    <w:rsid w:val="00547094"/>
    <w:rsid w:val="00547104"/>
    <w:rsid w:val="00547112"/>
    <w:rsid w:val="00547227"/>
    <w:rsid w:val="00547440"/>
    <w:rsid w:val="00547443"/>
    <w:rsid w:val="005475F0"/>
    <w:rsid w:val="0054774F"/>
    <w:rsid w:val="005477DE"/>
    <w:rsid w:val="005477F0"/>
    <w:rsid w:val="00547992"/>
    <w:rsid w:val="00547C86"/>
    <w:rsid w:val="00547CAE"/>
    <w:rsid w:val="00547D73"/>
    <w:rsid w:val="00547E8B"/>
    <w:rsid w:val="00547ED4"/>
    <w:rsid w:val="00547EF8"/>
    <w:rsid w:val="00547EFC"/>
    <w:rsid w:val="00547F30"/>
    <w:rsid w:val="00547F3E"/>
    <w:rsid w:val="00547F55"/>
    <w:rsid w:val="00547FE9"/>
    <w:rsid w:val="0055010A"/>
    <w:rsid w:val="005501D6"/>
    <w:rsid w:val="005502A0"/>
    <w:rsid w:val="005502E8"/>
    <w:rsid w:val="005503F7"/>
    <w:rsid w:val="00550477"/>
    <w:rsid w:val="0055055C"/>
    <w:rsid w:val="0055062E"/>
    <w:rsid w:val="005506D6"/>
    <w:rsid w:val="00550720"/>
    <w:rsid w:val="005507AE"/>
    <w:rsid w:val="00550834"/>
    <w:rsid w:val="005508E3"/>
    <w:rsid w:val="005508E5"/>
    <w:rsid w:val="005508ED"/>
    <w:rsid w:val="00550905"/>
    <w:rsid w:val="005509FB"/>
    <w:rsid w:val="00550A7F"/>
    <w:rsid w:val="00550A93"/>
    <w:rsid w:val="00550AA4"/>
    <w:rsid w:val="00550C81"/>
    <w:rsid w:val="00550E97"/>
    <w:rsid w:val="00550FA9"/>
    <w:rsid w:val="0055112D"/>
    <w:rsid w:val="00551169"/>
    <w:rsid w:val="005511B5"/>
    <w:rsid w:val="005511E7"/>
    <w:rsid w:val="00551255"/>
    <w:rsid w:val="00551282"/>
    <w:rsid w:val="0055133B"/>
    <w:rsid w:val="00551486"/>
    <w:rsid w:val="00551498"/>
    <w:rsid w:val="005514D5"/>
    <w:rsid w:val="00551545"/>
    <w:rsid w:val="005515FB"/>
    <w:rsid w:val="0055175D"/>
    <w:rsid w:val="005517DB"/>
    <w:rsid w:val="005518A1"/>
    <w:rsid w:val="005518C6"/>
    <w:rsid w:val="00551962"/>
    <w:rsid w:val="00551990"/>
    <w:rsid w:val="00551997"/>
    <w:rsid w:val="00551A15"/>
    <w:rsid w:val="00551A2D"/>
    <w:rsid w:val="00551A73"/>
    <w:rsid w:val="00551A95"/>
    <w:rsid w:val="00551ACB"/>
    <w:rsid w:val="00551B2D"/>
    <w:rsid w:val="00551B95"/>
    <w:rsid w:val="00551C3C"/>
    <w:rsid w:val="00551C75"/>
    <w:rsid w:val="00551C8B"/>
    <w:rsid w:val="00551DE8"/>
    <w:rsid w:val="00551E01"/>
    <w:rsid w:val="00551E70"/>
    <w:rsid w:val="00551FED"/>
    <w:rsid w:val="00551FF6"/>
    <w:rsid w:val="00552010"/>
    <w:rsid w:val="00552091"/>
    <w:rsid w:val="00552244"/>
    <w:rsid w:val="0055229E"/>
    <w:rsid w:val="005522C6"/>
    <w:rsid w:val="0055233B"/>
    <w:rsid w:val="005523C7"/>
    <w:rsid w:val="0055249F"/>
    <w:rsid w:val="005524A7"/>
    <w:rsid w:val="00552522"/>
    <w:rsid w:val="00552579"/>
    <w:rsid w:val="005525B7"/>
    <w:rsid w:val="00552654"/>
    <w:rsid w:val="00552695"/>
    <w:rsid w:val="005529DD"/>
    <w:rsid w:val="00552B0B"/>
    <w:rsid w:val="00552B42"/>
    <w:rsid w:val="00552BD8"/>
    <w:rsid w:val="00552C45"/>
    <w:rsid w:val="00552D2C"/>
    <w:rsid w:val="00552DB5"/>
    <w:rsid w:val="00552DBF"/>
    <w:rsid w:val="00552DC9"/>
    <w:rsid w:val="00552DD1"/>
    <w:rsid w:val="00552E34"/>
    <w:rsid w:val="00553057"/>
    <w:rsid w:val="005530C1"/>
    <w:rsid w:val="00553340"/>
    <w:rsid w:val="00553345"/>
    <w:rsid w:val="00553493"/>
    <w:rsid w:val="0055379E"/>
    <w:rsid w:val="00553816"/>
    <w:rsid w:val="00553864"/>
    <w:rsid w:val="00553928"/>
    <w:rsid w:val="00553A81"/>
    <w:rsid w:val="00553ACE"/>
    <w:rsid w:val="00553BD3"/>
    <w:rsid w:val="00553C3B"/>
    <w:rsid w:val="00553C41"/>
    <w:rsid w:val="00553C9A"/>
    <w:rsid w:val="00553CA2"/>
    <w:rsid w:val="00553CB0"/>
    <w:rsid w:val="00553D21"/>
    <w:rsid w:val="00553E30"/>
    <w:rsid w:val="00553E48"/>
    <w:rsid w:val="00553ECB"/>
    <w:rsid w:val="005540C5"/>
    <w:rsid w:val="00554208"/>
    <w:rsid w:val="005543FC"/>
    <w:rsid w:val="0055443C"/>
    <w:rsid w:val="00554473"/>
    <w:rsid w:val="005544C5"/>
    <w:rsid w:val="0055451D"/>
    <w:rsid w:val="0055459C"/>
    <w:rsid w:val="005545F6"/>
    <w:rsid w:val="00554643"/>
    <w:rsid w:val="00554644"/>
    <w:rsid w:val="005546F3"/>
    <w:rsid w:val="0055473A"/>
    <w:rsid w:val="0055497A"/>
    <w:rsid w:val="005549A1"/>
    <w:rsid w:val="00554A9E"/>
    <w:rsid w:val="00554ABB"/>
    <w:rsid w:val="00554B18"/>
    <w:rsid w:val="00554B68"/>
    <w:rsid w:val="00554BBA"/>
    <w:rsid w:val="00554D0B"/>
    <w:rsid w:val="00554D77"/>
    <w:rsid w:val="00554DEC"/>
    <w:rsid w:val="00554DF2"/>
    <w:rsid w:val="00554E4C"/>
    <w:rsid w:val="00554F38"/>
    <w:rsid w:val="00554FDC"/>
    <w:rsid w:val="0055508F"/>
    <w:rsid w:val="00555102"/>
    <w:rsid w:val="0055511E"/>
    <w:rsid w:val="005551D4"/>
    <w:rsid w:val="0055525E"/>
    <w:rsid w:val="00555336"/>
    <w:rsid w:val="00555383"/>
    <w:rsid w:val="00555385"/>
    <w:rsid w:val="00555393"/>
    <w:rsid w:val="0055542F"/>
    <w:rsid w:val="00555469"/>
    <w:rsid w:val="005554CD"/>
    <w:rsid w:val="00555551"/>
    <w:rsid w:val="0055555C"/>
    <w:rsid w:val="005556B3"/>
    <w:rsid w:val="005556D1"/>
    <w:rsid w:val="005557FE"/>
    <w:rsid w:val="0055580E"/>
    <w:rsid w:val="00555892"/>
    <w:rsid w:val="0055592C"/>
    <w:rsid w:val="005559E9"/>
    <w:rsid w:val="00555A73"/>
    <w:rsid w:val="00555C1D"/>
    <w:rsid w:val="00555C94"/>
    <w:rsid w:val="00555D81"/>
    <w:rsid w:val="00555F17"/>
    <w:rsid w:val="00555FA8"/>
    <w:rsid w:val="00555FE7"/>
    <w:rsid w:val="00556004"/>
    <w:rsid w:val="0055600C"/>
    <w:rsid w:val="005560A9"/>
    <w:rsid w:val="00556286"/>
    <w:rsid w:val="0055635B"/>
    <w:rsid w:val="00556363"/>
    <w:rsid w:val="005563C4"/>
    <w:rsid w:val="0055644E"/>
    <w:rsid w:val="00556465"/>
    <w:rsid w:val="00556467"/>
    <w:rsid w:val="005564C8"/>
    <w:rsid w:val="005564E6"/>
    <w:rsid w:val="0055657B"/>
    <w:rsid w:val="00556587"/>
    <w:rsid w:val="005565B2"/>
    <w:rsid w:val="005565F8"/>
    <w:rsid w:val="0055661A"/>
    <w:rsid w:val="00556647"/>
    <w:rsid w:val="0055666C"/>
    <w:rsid w:val="00556689"/>
    <w:rsid w:val="0055671C"/>
    <w:rsid w:val="00556794"/>
    <w:rsid w:val="005567F8"/>
    <w:rsid w:val="005568CD"/>
    <w:rsid w:val="00556940"/>
    <w:rsid w:val="00556966"/>
    <w:rsid w:val="00556A69"/>
    <w:rsid w:val="00556B3D"/>
    <w:rsid w:val="00556B8E"/>
    <w:rsid w:val="00556CAE"/>
    <w:rsid w:val="00556CCC"/>
    <w:rsid w:val="00556CE1"/>
    <w:rsid w:val="00556D22"/>
    <w:rsid w:val="00556D4B"/>
    <w:rsid w:val="00556D85"/>
    <w:rsid w:val="00556E8C"/>
    <w:rsid w:val="00556EBE"/>
    <w:rsid w:val="005570A4"/>
    <w:rsid w:val="005570CA"/>
    <w:rsid w:val="005573A7"/>
    <w:rsid w:val="00557414"/>
    <w:rsid w:val="0055748A"/>
    <w:rsid w:val="005574B1"/>
    <w:rsid w:val="005574BC"/>
    <w:rsid w:val="005576FC"/>
    <w:rsid w:val="00557743"/>
    <w:rsid w:val="0055779F"/>
    <w:rsid w:val="005577F2"/>
    <w:rsid w:val="005577F4"/>
    <w:rsid w:val="005577FE"/>
    <w:rsid w:val="00557950"/>
    <w:rsid w:val="005579A1"/>
    <w:rsid w:val="00557A44"/>
    <w:rsid w:val="00557A88"/>
    <w:rsid w:val="00557BBB"/>
    <w:rsid w:val="00557C36"/>
    <w:rsid w:val="00557CDA"/>
    <w:rsid w:val="00557E0D"/>
    <w:rsid w:val="00557EF8"/>
    <w:rsid w:val="00557F79"/>
    <w:rsid w:val="00557F84"/>
    <w:rsid w:val="00560056"/>
    <w:rsid w:val="00560074"/>
    <w:rsid w:val="005600AB"/>
    <w:rsid w:val="00560203"/>
    <w:rsid w:val="005602B9"/>
    <w:rsid w:val="00560342"/>
    <w:rsid w:val="00560412"/>
    <w:rsid w:val="00560512"/>
    <w:rsid w:val="005605C1"/>
    <w:rsid w:val="005606C4"/>
    <w:rsid w:val="0056073C"/>
    <w:rsid w:val="00560763"/>
    <w:rsid w:val="0056077E"/>
    <w:rsid w:val="005608BF"/>
    <w:rsid w:val="0056098A"/>
    <w:rsid w:val="00560A4C"/>
    <w:rsid w:val="00560B07"/>
    <w:rsid w:val="00560CE0"/>
    <w:rsid w:val="00560D35"/>
    <w:rsid w:val="00560D40"/>
    <w:rsid w:val="00560D76"/>
    <w:rsid w:val="00560DBC"/>
    <w:rsid w:val="00560DDA"/>
    <w:rsid w:val="00560EA0"/>
    <w:rsid w:val="00560F21"/>
    <w:rsid w:val="00561039"/>
    <w:rsid w:val="00561093"/>
    <w:rsid w:val="0056109E"/>
    <w:rsid w:val="00561184"/>
    <w:rsid w:val="005611C6"/>
    <w:rsid w:val="005611CB"/>
    <w:rsid w:val="00561283"/>
    <w:rsid w:val="00561292"/>
    <w:rsid w:val="0056130D"/>
    <w:rsid w:val="005613C9"/>
    <w:rsid w:val="00561482"/>
    <w:rsid w:val="005615C9"/>
    <w:rsid w:val="00561617"/>
    <w:rsid w:val="0056163F"/>
    <w:rsid w:val="00561644"/>
    <w:rsid w:val="005617C5"/>
    <w:rsid w:val="0056186E"/>
    <w:rsid w:val="0056187E"/>
    <w:rsid w:val="005618AB"/>
    <w:rsid w:val="005618DE"/>
    <w:rsid w:val="00561937"/>
    <w:rsid w:val="00561963"/>
    <w:rsid w:val="0056198D"/>
    <w:rsid w:val="005619AC"/>
    <w:rsid w:val="005619C0"/>
    <w:rsid w:val="005619CC"/>
    <w:rsid w:val="00561A25"/>
    <w:rsid w:val="00561A60"/>
    <w:rsid w:val="00561B26"/>
    <w:rsid w:val="00561B9E"/>
    <w:rsid w:val="00561BD0"/>
    <w:rsid w:val="00561BE7"/>
    <w:rsid w:val="00561C09"/>
    <w:rsid w:val="005621DF"/>
    <w:rsid w:val="005621E5"/>
    <w:rsid w:val="0056226C"/>
    <w:rsid w:val="0056228C"/>
    <w:rsid w:val="00562405"/>
    <w:rsid w:val="00562414"/>
    <w:rsid w:val="00562450"/>
    <w:rsid w:val="00562463"/>
    <w:rsid w:val="00562483"/>
    <w:rsid w:val="005624DE"/>
    <w:rsid w:val="005625E6"/>
    <w:rsid w:val="00562628"/>
    <w:rsid w:val="00562648"/>
    <w:rsid w:val="00562665"/>
    <w:rsid w:val="00562685"/>
    <w:rsid w:val="005626D9"/>
    <w:rsid w:val="0056275C"/>
    <w:rsid w:val="0056280A"/>
    <w:rsid w:val="00562AB7"/>
    <w:rsid w:val="00562B8E"/>
    <w:rsid w:val="00562C28"/>
    <w:rsid w:val="00562D7B"/>
    <w:rsid w:val="00562DBC"/>
    <w:rsid w:val="00562E00"/>
    <w:rsid w:val="00562E08"/>
    <w:rsid w:val="00562E9E"/>
    <w:rsid w:val="00562F7D"/>
    <w:rsid w:val="00562F8C"/>
    <w:rsid w:val="0056300E"/>
    <w:rsid w:val="005630A5"/>
    <w:rsid w:val="00563107"/>
    <w:rsid w:val="00563108"/>
    <w:rsid w:val="00563129"/>
    <w:rsid w:val="0056321F"/>
    <w:rsid w:val="00563324"/>
    <w:rsid w:val="00563337"/>
    <w:rsid w:val="00563422"/>
    <w:rsid w:val="00563612"/>
    <w:rsid w:val="00563716"/>
    <w:rsid w:val="0056375C"/>
    <w:rsid w:val="00563868"/>
    <w:rsid w:val="0056387D"/>
    <w:rsid w:val="0056388B"/>
    <w:rsid w:val="005638EE"/>
    <w:rsid w:val="00563911"/>
    <w:rsid w:val="0056391B"/>
    <w:rsid w:val="00563A4B"/>
    <w:rsid w:val="00563A71"/>
    <w:rsid w:val="00563AEA"/>
    <w:rsid w:val="00563B89"/>
    <w:rsid w:val="00563C6E"/>
    <w:rsid w:val="00563D41"/>
    <w:rsid w:val="00563D7E"/>
    <w:rsid w:val="00563D99"/>
    <w:rsid w:val="00563EC7"/>
    <w:rsid w:val="00563F3E"/>
    <w:rsid w:val="00563F6C"/>
    <w:rsid w:val="00563FB3"/>
    <w:rsid w:val="00564182"/>
    <w:rsid w:val="0056432B"/>
    <w:rsid w:val="005644B6"/>
    <w:rsid w:val="005644CA"/>
    <w:rsid w:val="005645B8"/>
    <w:rsid w:val="005645E0"/>
    <w:rsid w:val="00564718"/>
    <w:rsid w:val="0056474E"/>
    <w:rsid w:val="005647C2"/>
    <w:rsid w:val="005647DB"/>
    <w:rsid w:val="00564810"/>
    <w:rsid w:val="005648F2"/>
    <w:rsid w:val="00564926"/>
    <w:rsid w:val="00564A4F"/>
    <w:rsid w:val="00564A8C"/>
    <w:rsid w:val="00564B21"/>
    <w:rsid w:val="00564B3F"/>
    <w:rsid w:val="00564BC3"/>
    <w:rsid w:val="00564BD3"/>
    <w:rsid w:val="00564C4C"/>
    <w:rsid w:val="00564CB2"/>
    <w:rsid w:val="00564CFC"/>
    <w:rsid w:val="00564D0C"/>
    <w:rsid w:val="00564D2C"/>
    <w:rsid w:val="00564DE4"/>
    <w:rsid w:val="00564E20"/>
    <w:rsid w:val="00564E7B"/>
    <w:rsid w:val="0056505E"/>
    <w:rsid w:val="005650A9"/>
    <w:rsid w:val="005650B4"/>
    <w:rsid w:val="005650F4"/>
    <w:rsid w:val="005650FB"/>
    <w:rsid w:val="00565184"/>
    <w:rsid w:val="005651BD"/>
    <w:rsid w:val="005651DF"/>
    <w:rsid w:val="005651E5"/>
    <w:rsid w:val="0056523B"/>
    <w:rsid w:val="005652E1"/>
    <w:rsid w:val="0056530A"/>
    <w:rsid w:val="00565347"/>
    <w:rsid w:val="00565348"/>
    <w:rsid w:val="00565372"/>
    <w:rsid w:val="00565392"/>
    <w:rsid w:val="0056542E"/>
    <w:rsid w:val="005654A1"/>
    <w:rsid w:val="00565513"/>
    <w:rsid w:val="00565516"/>
    <w:rsid w:val="00565551"/>
    <w:rsid w:val="00565580"/>
    <w:rsid w:val="005655D9"/>
    <w:rsid w:val="0056564F"/>
    <w:rsid w:val="00565676"/>
    <w:rsid w:val="005656E2"/>
    <w:rsid w:val="0056571D"/>
    <w:rsid w:val="00565720"/>
    <w:rsid w:val="0056575C"/>
    <w:rsid w:val="0056583A"/>
    <w:rsid w:val="005658F1"/>
    <w:rsid w:val="00565914"/>
    <w:rsid w:val="00565A22"/>
    <w:rsid w:val="00565A5F"/>
    <w:rsid w:val="00565B96"/>
    <w:rsid w:val="00565BE1"/>
    <w:rsid w:val="00565C1C"/>
    <w:rsid w:val="00565C37"/>
    <w:rsid w:val="00565C47"/>
    <w:rsid w:val="00565CD6"/>
    <w:rsid w:val="00565CEC"/>
    <w:rsid w:val="00565D2B"/>
    <w:rsid w:val="00565DCA"/>
    <w:rsid w:val="00565E2F"/>
    <w:rsid w:val="00565E3C"/>
    <w:rsid w:val="00565EF9"/>
    <w:rsid w:val="00565F00"/>
    <w:rsid w:val="00565FB6"/>
    <w:rsid w:val="00565FED"/>
    <w:rsid w:val="0056601D"/>
    <w:rsid w:val="0056606C"/>
    <w:rsid w:val="0056606D"/>
    <w:rsid w:val="00566075"/>
    <w:rsid w:val="00566091"/>
    <w:rsid w:val="005660A1"/>
    <w:rsid w:val="005660E0"/>
    <w:rsid w:val="00566102"/>
    <w:rsid w:val="0056615A"/>
    <w:rsid w:val="005661C8"/>
    <w:rsid w:val="005661D5"/>
    <w:rsid w:val="0056620C"/>
    <w:rsid w:val="0056626C"/>
    <w:rsid w:val="005662BD"/>
    <w:rsid w:val="005662D2"/>
    <w:rsid w:val="005663A2"/>
    <w:rsid w:val="005663CD"/>
    <w:rsid w:val="005665B6"/>
    <w:rsid w:val="005667D1"/>
    <w:rsid w:val="00566840"/>
    <w:rsid w:val="005668A7"/>
    <w:rsid w:val="005669AC"/>
    <w:rsid w:val="005669CC"/>
    <w:rsid w:val="00566A1A"/>
    <w:rsid w:val="00566C1C"/>
    <w:rsid w:val="00566C39"/>
    <w:rsid w:val="00566DAB"/>
    <w:rsid w:val="00566E4E"/>
    <w:rsid w:val="00566E53"/>
    <w:rsid w:val="00566EC6"/>
    <w:rsid w:val="00566EE2"/>
    <w:rsid w:val="00566F7A"/>
    <w:rsid w:val="00566F7C"/>
    <w:rsid w:val="0056705B"/>
    <w:rsid w:val="0056706E"/>
    <w:rsid w:val="00567093"/>
    <w:rsid w:val="005670B8"/>
    <w:rsid w:val="0056713B"/>
    <w:rsid w:val="005671C5"/>
    <w:rsid w:val="00567269"/>
    <w:rsid w:val="005672A0"/>
    <w:rsid w:val="00567301"/>
    <w:rsid w:val="005673F3"/>
    <w:rsid w:val="0056745C"/>
    <w:rsid w:val="005674D8"/>
    <w:rsid w:val="005674F9"/>
    <w:rsid w:val="005675E5"/>
    <w:rsid w:val="00567812"/>
    <w:rsid w:val="00567922"/>
    <w:rsid w:val="00567937"/>
    <w:rsid w:val="00567944"/>
    <w:rsid w:val="00567947"/>
    <w:rsid w:val="00567994"/>
    <w:rsid w:val="00567A09"/>
    <w:rsid w:val="00567AB4"/>
    <w:rsid w:val="00567AC5"/>
    <w:rsid w:val="00567ADC"/>
    <w:rsid w:val="00567B1A"/>
    <w:rsid w:val="00567B50"/>
    <w:rsid w:val="00567B84"/>
    <w:rsid w:val="00567BC9"/>
    <w:rsid w:val="00567BEF"/>
    <w:rsid w:val="00567C6E"/>
    <w:rsid w:val="00567D8F"/>
    <w:rsid w:val="00567DD4"/>
    <w:rsid w:val="00567E43"/>
    <w:rsid w:val="00567E9C"/>
    <w:rsid w:val="00567F53"/>
    <w:rsid w:val="00570036"/>
    <w:rsid w:val="00570158"/>
    <w:rsid w:val="00570183"/>
    <w:rsid w:val="005701F5"/>
    <w:rsid w:val="00570281"/>
    <w:rsid w:val="005702CD"/>
    <w:rsid w:val="005703D8"/>
    <w:rsid w:val="00570410"/>
    <w:rsid w:val="00570459"/>
    <w:rsid w:val="005704E3"/>
    <w:rsid w:val="005704F7"/>
    <w:rsid w:val="0057066C"/>
    <w:rsid w:val="005706FC"/>
    <w:rsid w:val="0057084A"/>
    <w:rsid w:val="005709A0"/>
    <w:rsid w:val="00570A0E"/>
    <w:rsid w:val="00570A3D"/>
    <w:rsid w:val="00570B71"/>
    <w:rsid w:val="00570D64"/>
    <w:rsid w:val="00570E0F"/>
    <w:rsid w:val="00570E40"/>
    <w:rsid w:val="00570F06"/>
    <w:rsid w:val="00570F41"/>
    <w:rsid w:val="00571081"/>
    <w:rsid w:val="00571086"/>
    <w:rsid w:val="005710C3"/>
    <w:rsid w:val="005710FB"/>
    <w:rsid w:val="0057111B"/>
    <w:rsid w:val="0057116B"/>
    <w:rsid w:val="0057128E"/>
    <w:rsid w:val="0057134C"/>
    <w:rsid w:val="005713A4"/>
    <w:rsid w:val="005713DD"/>
    <w:rsid w:val="00571404"/>
    <w:rsid w:val="00571475"/>
    <w:rsid w:val="00571567"/>
    <w:rsid w:val="005715C8"/>
    <w:rsid w:val="005716BD"/>
    <w:rsid w:val="005716DF"/>
    <w:rsid w:val="00571727"/>
    <w:rsid w:val="0057174B"/>
    <w:rsid w:val="00571753"/>
    <w:rsid w:val="0057177A"/>
    <w:rsid w:val="0057179E"/>
    <w:rsid w:val="00571807"/>
    <w:rsid w:val="0057184A"/>
    <w:rsid w:val="00571988"/>
    <w:rsid w:val="005719CC"/>
    <w:rsid w:val="00571B2E"/>
    <w:rsid w:val="00571B77"/>
    <w:rsid w:val="00571C25"/>
    <w:rsid w:val="00571CE3"/>
    <w:rsid w:val="00571D48"/>
    <w:rsid w:val="00571E46"/>
    <w:rsid w:val="00571EA1"/>
    <w:rsid w:val="00571FAF"/>
    <w:rsid w:val="00571FCD"/>
    <w:rsid w:val="0057200E"/>
    <w:rsid w:val="005721A2"/>
    <w:rsid w:val="005721F5"/>
    <w:rsid w:val="00572243"/>
    <w:rsid w:val="005722B9"/>
    <w:rsid w:val="005723CD"/>
    <w:rsid w:val="0057246D"/>
    <w:rsid w:val="005724F3"/>
    <w:rsid w:val="005724F5"/>
    <w:rsid w:val="00572535"/>
    <w:rsid w:val="0057260F"/>
    <w:rsid w:val="005726A8"/>
    <w:rsid w:val="005726C0"/>
    <w:rsid w:val="005726E6"/>
    <w:rsid w:val="0057270B"/>
    <w:rsid w:val="00572793"/>
    <w:rsid w:val="00572A44"/>
    <w:rsid w:val="00572AF8"/>
    <w:rsid w:val="00572B13"/>
    <w:rsid w:val="00572CBC"/>
    <w:rsid w:val="00572D72"/>
    <w:rsid w:val="00572EAE"/>
    <w:rsid w:val="00572EC1"/>
    <w:rsid w:val="00573056"/>
    <w:rsid w:val="005730B2"/>
    <w:rsid w:val="005730DA"/>
    <w:rsid w:val="005731E9"/>
    <w:rsid w:val="00573240"/>
    <w:rsid w:val="0057325F"/>
    <w:rsid w:val="00573263"/>
    <w:rsid w:val="00573284"/>
    <w:rsid w:val="005732C0"/>
    <w:rsid w:val="005732CB"/>
    <w:rsid w:val="00573316"/>
    <w:rsid w:val="00573342"/>
    <w:rsid w:val="00573371"/>
    <w:rsid w:val="005733EB"/>
    <w:rsid w:val="00573522"/>
    <w:rsid w:val="005735B2"/>
    <w:rsid w:val="00573610"/>
    <w:rsid w:val="005736CF"/>
    <w:rsid w:val="005737C4"/>
    <w:rsid w:val="00573840"/>
    <w:rsid w:val="0057391A"/>
    <w:rsid w:val="00573926"/>
    <w:rsid w:val="00573947"/>
    <w:rsid w:val="00573961"/>
    <w:rsid w:val="00573A09"/>
    <w:rsid w:val="00573A19"/>
    <w:rsid w:val="00573AE3"/>
    <w:rsid w:val="00573AE5"/>
    <w:rsid w:val="00573B11"/>
    <w:rsid w:val="00573C50"/>
    <w:rsid w:val="00573CA8"/>
    <w:rsid w:val="00573CC2"/>
    <w:rsid w:val="00573CE9"/>
    <w:rsid w:val="00573D0E"/>
    <w:rsid w:val="00573E33"/>
    <w:rsid w:val="00573E5E"/>
    <w:rsid w:val="00573E86"/>
    <w:rsid w:val="00573EA1"/>
    <w:rsid w:val="00573EE4"/>
    <w:rsid w:val="00573EEF"/>
    <w:rsid w:val="00573FF7"/>
    <w:rsid w:val="005740C1"/>
    <w:rsid w:val="00574165"/>
    <w:rsid w:val="00574177"/>
    <w:rsid w:val="005741A3"/>
    <w:rsid w:val="00574234"/>
    <w:rsid w:val="005742B7"/>
    <w:rsid w:val="00574333"/>
    <w:rsid w:val="0057439B"/>
    <w:rsid w:val="0057452D"/>
    <w:rsid w:val="00574586"/>
    <w:rsid w:val="005746C1"/>
    <w:rsid w:val="00574759"/>
    <w:rsid w:val="005747A5"/>
    <w:rsid w:val="005747AC"/>
    <w:rsid w:val="00574830"/>
    <w:rsid w:val="00574857"/>
    <w:rsid w:val="00574901"/>
    <w:rsid w:val="005749E5"/>
    <w:rsid w:val="00574A9D"/>
    <w:rsid w:val="00574B84"/>
    <w:rsid w:val="00574CAE"/>
    <w:rsid w:val="00574CB6"/>
    <w:rsid w:val="00574D15"/>
    <w:rsid w:val="00574D31"/>
    <w:rsid w:val="00574DAE"/>
    <w:rsid w:val="00574EEE"/>
    <w:rsid w:val="00574F48"/>
    <w:rsid w:val="00575101"/>
    <w:rsid w:val="00575153"/>
    <w:rsid w:val="005751E6"/>
    <w:rsid w:val="0057522E"/>
    <w:rsid w:val="00575296"/>
    <w:rsid w:val="005752F1"/>
    <w:rsid w:val="00575311"/>
    <w:rsid w:val="005753A7"/>
    <w:rsid w:val="005755FF"/>
    <w:rsid w:val="0057564F"/>
    <w:rsid w:val="005756DC"/>
    <w:rsid w:val="00575703"/>
    <w:rsid w:val="0057571C"/>
    <w:rsid w:val="005757AA"/>
    <w:rsid w:val="00575894"/>
    <w:rsid w:val="005758E0"/>
    <w:rsid w:val="005758EE"/>
    <w:rsid w:val="00575AB9"/>
    <w:rsid w:val="00575B1B"/>
    <w:rsid w:val="00575BB0"/>
    <w:rsid w:val="00575C3B"/>
    <w:rsid w:val="00575C65"/>
    <w:rsid w:val="00575CB6"/>
    <w:rsid w:val="00575D2D"/>
    <w:rsid w:val="00575EF2"/>
    <w:rsid w:val="00575F58"/>
    <w:rsid w:val="00575F92"/>
    <w:rsid w:val="00575FEC"/>
    <w:rsid w:val="0057605F"/>
    <w:rsid w:val="0057609A"/>
    <w:rsid w:val="005760F3"/>
    <w:rsid w:val="0057612B"/>
    <w:rsid w:val="00576213"/>
    <w:rsid w:val="0057638A"/>
    <w:rsid w:val="005763F5"/>
    <w:rsid w:val="005763FD"/>
    <w:rsid w:val="00576445"/>
    <w:rsid w:val="005764C4"/>
    <w:rsid w:val="00576583"/>
    <w:rsid w:val="0057661B"/>
    <w:rsid w:val="00576707"/>
    <w:rsid w:val="005767BE"/>
    <w:rsid w:val="005767D3"/>
    <w:rsid w:val="005768D2"/>
    <w:rsid w:val="00576917"/>
    <w:rsid w:val="00576937"/>
    <w:rsid w:val="005769BD"/>
    <w:rsid w:val="00576A04"/>
    <w:rsid w:val="00576A71"/>
    <w:rsid w:val="00576B2A"/>
    <w:rsid w:val="00576B66"/>
    <w:rsid w:val="00576B79"/>
    <w:rsid w:val="00576B92"/>
    <w:rsid w:val="00576BB1"/>
    <w:rsid w:val="00576BE0"/>
    <w:rsid w:val="00576C32"/>
    <w:rsid w:val="00576C33"/>
    <w:rsid w:val="00576C3D"/>
    <w:rsid w:val="00576C4E"/>
    <w:rsid w:val="00576CCB"/>
    <w:rsid w:val="00576D45"/>
    <w:rsid w:val="00576E20"/>
    <w:rsid w:val="00576E5C"/>
    <w:rsid w:val="00576F47"/>
    <w:rsid w:val="00576FAE"/>
    <w:rsid w:val="005770D6"/>
    <w:rsid w:val="00577106"/>
    <w:rsid w:val="0057721E"/>
    <w:rsid w:val="005772C5"/>
    <w:rsid w:val="0057732A"/>
    <w:rsid w:val="00577377"/>
    <w:rsid w:val="005773EB"/>
    <w:rsid w:val="00577439"/>
    <w:rsid w:val="0057751B"/>
    <w:rsid w:val="005775A0"/>
    <w:rsid w:val="005775B2"/>
    <w:rsid w:val="005775DE"/>
    <w:rsid w:val="005775E3"/>
    <w:rsid w:val="005775F3"/>
    <w:rsid w:val="00577631"/>
    <w:rsid w:val="005776BF"/>
    <w:rsid w:val="0057775C"/>
    <w:rsid w:val="005777FC"/>
    <w:rsid w:val="0057781A"/>
    <w:rsid w:val="00577966"/>
    <w:rsid w:val="005779F6"/>
    <w:rsid w:val="00577B09"/>
    <w:rsid w:val="00577B8B"/>
    <w:rsid w:val="00577BDD"/>
    <w:rsid w:val="00577BF3"/>
    <w:rsid w:val="00577D29"/>
    <w:rsid w:val="00577DCE"/>
    <w:rsid w:val="00577F08"/>
    <w:rsid w:val="00577F23"/>
    <w:rsid w:val="0058003D"/>
    <w:rsid w:val="005800DD"/>
    <w:rsid w:val="0058023C"/>
    <w:rsid w:val="005803B7"/>
    <w:rsid w:val="005803DF"/>
    <w:rsid w:val="0058040E"/>
    <w:rsid w:val="0058049D"/>
    <w:rsid w:val="00580507"/>
    <w:rsid w:val="00580622"/>
    <w:rsid w:val="00580636"/>
    <w:rsid w:val="0058065F"/>
    <w:rsid w:val="0058071E"/>
    <w:rsid w:val="0058075C"/>
    <w:rsid w:val="00580786"/>
    <w:rsid w:val="0058080A"/>
    <w:rsid w:val="0058086D"/>
    <w:rsid w:val="005808D2"/>
    <w:rsid w:val="005809CA"/>
    <w:rsid w:val="00580AAA"/>
    <w:rsid w:val="00580AF6"/>
    <w:rsid w:val="00580B84"/>
    <w:rsid w:val="00580BB2"/>
    <w:rsid w:val="00580BE6"/>
    <w:rsid w:val="00580C41"/>
    <w:rsid w:val="00580CD6"/>
    <w:rsid w:val="00580D3F"/>
    <w:rsid w:val="00580D7F"/>
    <w:rsid w:val="00580D9A"/>
    <w:rsid w:val="00580DA5"/>
    <w:rsid w:val="00580E92"/>
    <w:rsid w:val="00580F5F"/>
    <w:rsid w:val="00581156"/>
    <w:rsid w:val="0058118D"/>
    <w:rsid w:val="005812F5"/>
    <w:rsid w:val="0058134D"/>
    <w:rsid w:val="00581378"/>
    <w:rsid w:val="005813A9"/>
    <w:rsid w:val="00581412"/>
    <w:rsid w:val="005814F8"/>
    <w:rsid w:val="005815E2"/>
    <w:rsid w:val="00581626"/>
    <w:rsid w:val="00581662"/>
    <w:rsid w:val="005816B2"/>
    <w:rsid w:val="005817D4"/>
    <w:rsid w:val="005818AD"/>
    <w:rsid w:val="005818DB"/>
    <w:rsid w:val="005818F3"/>
    <w:rsid w:val="005819E2"/>
    <w:rsid w:val="00581A30"/>
    <w:rsid w:val="00581B1B"/>
    <w:rsid w:val="00581DFC"/>
    <w:rsid w:val="00581E01"/>
    <w:rsid w:val="0058217C"/>
    <w:rsid w:val="0058221F"/>
    <w:rsid w:val="00582283"/>
    <w:rsid w:val="00582288"/>
    <w:rsid w:val="005822F2"/>
    <w:rsid w:val="0058235C"/>
    <w:rsid w:val="00582375"/>
    <w:rsid w:val="005823DE"/>
    <w:rsid w:val="00582540"/>
    <w:rsid w:val="00582562"/>
    <w:rsid w:val="005825D8"/>
    <w:rsid w:val="00582748"/>
    <w:rsid w:val="005827B9"/>
    <w:rsid w:val="005827E2"/>
    <w:rsid w:val="00582890"/>
    <w:rsid w:val="0058290E"/>
    <w:rsid w:val="0058294C"/>
    <w:rsid w:val="005829B1"/>
    <w:rsid w:val="00582A64"/>
    <w:rsid w:val="00582B05"/>
    <w:rsid w:val="00582B2D"/>
    <w:rsid w:val="00582C11"/>
    <w:rsid w:val="00582C71"/>
    <w:rsid w:val="00582DE8"/>
    <w:rsid w:val="00582F4C"/>
    <w:rsid w:val="00582F54"/>
    <w:rsid w:val="00582FB8"/>
    <w:rsid w:val="00582FC2"/>
    <w:rsid w:val="00583014"/>
    <w:rsid w:val="00583062"/>
    <w:rsid w:val="00583152"/>
    <w:rsid w:val="0058315F"/>
    <w:rsid w:val="005831A3"/>
    <w:rsid w:val="005831F2"/>
    <w:rsid w:val="00583294"/>
    <w:rsid w:val="005833EC"/>
    <w:rsid w:val="0058342F"/>
    <w:rsid w:val="0058344D"/>
    <w:rsid w:val="00583461"/>
    <w:rsid w:val="005834BD"/>
    <w:rsid w:val="00583545"/>
    <w:rsid w:val="005835E8"/>
    <w:rsid w:val="00583626"/>
    <w:rsid w:val="00583666"/>
    <w:rsid w:val="005836BA"/>
    <w:rsid w:val="005837D9"/>
    <w:rsid w:val="005837F6"/>
    <w:rsid w:val="0058389B"/>
    <w:rsid w:val="00583948"/>
    <w:rsid w:val="00583978"/>
    <w:rsid w:val="00583979"/>
    <w:rsid w:val="005839B7"/>
    <w:rsid w:val="005839C5"/>
    <w:rsid w:val="005839DF"/>
    <w:rsid w:val="00583A16"/>
    <w:rsid w:val="00583A62"/>
    <w:rsid w:val="00583B1C"/>
    <w:rsid w:val="00583C18"/>
    <w:rsid w:val="00583C9D"/>
    <w:rsid w:val="00583D04"/>
    <w:rsid w:val="00583F61"/>
    <w:rsid w:val="00584050"/>
    <w:rsid w:val="00584078"/>
    <w:rsid w:val="0058408B"/>
    <w:rsid w:val="0058409F"/>
    <w:rsid w:val="00584159"/>
    <w:rsid w:val="005841A9"/>
    <w:rsid w:val="005841BE"/>
    <w:rsid w:val="00584281"/>
    <w:rsid w:val="0058429D"/>
    <w:rsid w:val="0058436E"/>
    <w:rsid w:val="0058440A"/>
    <w:rsid w:val="0058459E"/>
    <w:rsid w:val="00584699"/>
    <w:rsid w:val="005847F5"/>
    <w:rsid w:val="00584837"/>
    <w:rsid w:val="00584888"/>
    <w:rsid w:val="0058494F"/>
    <w:rsid w:val="005849E1"/>
    <w:rsid w:val="005849E9"/>
    <w:rsid w:val="005849F3"/>
    <w:rsid w:val="00584B3D"/>
    <w:rsid w:val="00584B69"/>
    <w:rsid w:val="00584BB1"/>
    <w:rsid w:val="00584C10"/>
    <w:rsid w:val="00584D26"/>
    <w:rsid w:val="00584E3A"/>
    <w:rsid w:val="00584ED8"/>
    <w:rsid w:val="00584FDB"/>
    <w:rsid w:val="0058500F"/>
    <w:rsid w:val="00585059"/>
    <w:rsid w:val="0058512A"/>
    <w:rsid w:val="0058529B"/>
    <w:rsid w:val="005853BA"/>
    <w:rsid w:val="0058540A"/>
    <w:rsid w:val="005854C4"/>
    <w:rsid w:val="00585501"/>
    <w:rsid w:val="0058554D"/>
    <w:rsid w:val="005855BD"/>
    <w:rsid w:val="005855D6"/>
    <w:rsid w:val="005855E2"/>
    <w:rsid w:val="00585699"/>
    <w:rsid w:val="005856A0"/>
    <w:rsid w:val="005856D8"/>
    <w:rsid w:val="00585817"/>
    <w:rsid w:val="00585879"/>
    <w:rsid w:val="00585996"/>
    <w:rsid w:val="005859F2"/>
    <w:rsid w:val="00585B71"/>
    <w:rsid w:val="00585B78"/>
    <w:rsid w:val="00585C5A"/>
    <w:rsid w:val="00585C62"/>
    <w:rsid w:val="00585CFC"/>
    <w:rsid w:val="00585DAA"/>
    <w:rsid w:val="00585E49"/>
    <w:rsid w:val="00585F03"/>
    <w:rsid w:val="00585FE1"/>
    <w:rsid w:val="00586035"/>
    <w:rsid w:val="005860B5"/>
    <w:rsid w:val="005860DB"/>
    <w:rsid w:val="005860DC"/>
    <w:rsid w:val="005860DD"/>
    <w:rsid w:val="0058613C"/>
    <w:rsid w:val="00586197"/>
    <w:rsid w:val="0058620C"/>
    <w:rsid w:val="00586217"/>
    <w:rsid w:val="005862DD"/>
    <w:rsid w:val="00586360"/>
    <w:rsid w:val="00586379"/>
    <w:rsid w:val="005864A3"/>
    <w:rsid w:val="00586585"/>
    <w:rsid w:val="0058659B"/>
    <w:rsid w:val="005865AB"/>
    <w:rsid w:val="005867B7"/>
    <w:rsid w:val="00586860"/>
    <w:rsid w:val="00586A93"/>
    <w:rsid w:val="00586A9D"/>
    <w:rsid w:val="00586ACE"/>
    <w:rsid w:val="00586C54"/>
    <w:rsid w:val="00586C55"/>
    <w:rsid w:val="00586CA5"/>
    <w:rsid w:val="00586CE9"/>
    <w:rsid w:val="00586CFA"/>
    <w:rsid w:val="00586D97"/>
    <w:rsid w:val="00586DB6"/>
    <w:rsid w:val="00586DE8"/>
    <w:rsid w:val="00586E32"/>
    <w:rsid w:val="00586E63"/>
    <w:rsid w:val="00586E79"/>
    <w:rsid w:val="00586F0E"/>
    <w:rsid w:val="00586F4F"/>
    <w:rsid w:val="00587032"/>
    <w:rsid w:val="0058704F"/>
    <w:rsid w:val="00587060"/>
    <w:rsid w:val="005870B4"/>
    <w:rsid w:val="005871F6"/>
    <w:rsid w:val="00587253"/>
    <w:rsid w:val="005872EE"/>
    <w:rsid w:val="0058733B"/>
    <w:rsid w:val="005873A4"/>
    <w:rsid w:val="005874BD"/>
    <w:rsid w:val="005874C5"/>
    <w:rsid w:val="005874F2"/>
    <w:rsid w:val="00587514"/>
    <w:rsid w:val="005875B0"/>
    <w:rsid w:val="005875BC"/>
    <w:rsid w:val="005875F1"/>
    <w:rsid w:val="00587637"/>
    <w:rsid w:val="005876C1"/>
    <w:rsid w:val="005876E9"/>
    <w:rsid w:val="005877C1"/>
    <w:rsid w:val="00587841"/>
    <w:rsid w:val="00587A20"/>
    <w:rsid w:val="00587A73"/>
    <w:rsid w:val="00587AA0"/>
    <w:rsid w:val="00587AF1"/>
    <w:rsid w:val="00587B0E"/>
    <w:rsid w:val="00587B22"/>
    <w:rsid w:val="00587B5F"/>
    <w:rsid w:val="00587CF7"/>
    <w:rsid w:val="00587D91"/>
    <w:rsid w:val="00587EC8"/>
    <w:rsid w:val="00587F25"/>
    <w:rsid w:val="00587F54"/>
    <w:rsid w:val="0059000C"/>
    <w:rsid w:val="00590058"/>
    <w:rsid w:val="0059008C"/>
    <w:rsid w:val="00590119"/>
    <w:rsid w:val="00590145"/>
    <w:rsid w:val="005901C2"/>
    <w:rsid w:val="0059029C"/>
    <w:rsid w:val="00590367"/>
    <w:rsid w:val="00590383"/>
    <w:rsid w:val="005904C3"/>
    <w:rsid w:val="005904F8"/>
    <w:rsid w:val="0059054E"/>
    <w:rsid w:val="005905C9"/>
    <w:rsid w:val="00590611"/>
    <w:rsid w:val="0059067A"/>
    <w:rsid w:val="005906F0"/>
    <w:rsid w:val="0059073A"/>
    <w:rsid w:val="0059095B"/>
    <w:rsid w:val="005909DA"/>
    <w:rsid w:val="00590ADF"/>
    <w:rsid w:val="00590B50"/>
    <w:rsid w:val="00590B9C"/>
    <w:rsid w:val="00590BD4"/>
    <w:rsid w:val="00590BE8"/>
    <w:rsid w:val="00590C2A"/>
    <w:rsid w:val="00590C83"/>
    <w:rsid w:val="00590CE9"/>
    <w:rsid w:val="00590CF9"/>
    <w:rsid w:val="00590D1B"/>
    <w:rsid w:val="00590D29"/>
    <w:rsid w:val="00590DA6"/>
    <w:rsid w:val="00590F59"/>
    <w:rsid w:val="00590F9C"/>
    <w:rsid w:val="00590FBA"/>
    <w:rsid w:val="0059118B"/>
    <w:rsid w:val="005912B4"/>
    <w:rsid w:val="00591338"/>
    <w:rsid w:val="0059135C"/>
    <w:rsid w:val="00591380"/>
    <w:rsid w:val="00591402"/>
    <w:rsid w:val="005914C4"/>
    <w:rsid w:val="005914E4"/>
    <w:rsid w:val="00591624"/>
    <w:rsid w:val="0059166D"/>
    <w:rsid w:val="005916F0"/>
    <w:rsid w:val="005917DA"/>
    <w:rsid w:val="005917E5"/>
    <w:rsid w:val="005917EF"/>
    <w:rsid w:val="005918C1"/>
    <w:rsid w:val="005918C2"/>
    <w:rsid w:val="005918FB"/>
    <w:rsid w:val="00591907"/>
    <w:rsid w:val="005919CD"/>
    <w:rsid w:val="00591AC6"/>
    <w:rsid w:val="00591B1C"/>
    <w:rsid w:val="00591BE2"/>
    <w:rsid w:val="00591C4D"/>
    <w:rsid w:val="00591D5A"/>
    <w:rsid w:val="00591DEC"/>
    <w:rsid w:val="00591E98"/>
    <w:rsid w:val="00591EA0"/>
    <w:rsid w:val="00591EC3"/>
    <w:rsid w:val="00591EE1"/>
    <w:rsid w:val="00591FEE"/>
    <w:rsid w:val="00592044"/>
    <w:rsid w:val="00592114"/>
    <w:rsid w:val="00592240"/>
    <w:rsid w:val="005923C6"/>
    <w:rsid w:val="0059245F"/>
    <w:rsid w:val="005925F5"/>
    <w:rsid w:val="00592626"/>
    <w:rsid w:val="005927A3"/>
    <w:rsid w:val="005927FA"/>
    <w:rsid w:val="00592808"/>
    <w:rsid w:val="005928D1"/>
    <w:rsid w:val="005929A7"/>
    <w:rsid w:val="00592B9B"/>
    <w:rsid w:val="00592BAE"/>
    <w:rsid w:val="00592BFE"/>
    <w:rsid w:val="00592CD1"/>
    <w:rsid w:val="00592D26"/>
    <w:rsid w:val="00592D2B"/>
    <w:rsid w:val="00592D5C"/>
    <w:rsid w:val="00592D7E"/>
    <w:rsid w:val="00592E93"/>
    <w:rsid w:val="00592EC3"/>
    <w:rsid w:val="00592F4F"/>
    <w:rsid w:val="00593012"/>
    <w:rsid w:val="005931E8"/>
    <w:rsid w:val="005934BE"/>
    <w:rsid w:val="0059352E"/>
    <w:rsid w:val="005935C2"/>
    <w:rsid w:val="005935D8"/>
    <w:rsid w:val="0059361C"/>
    <w:rsid w:val="0059364D"/>
    <w:rsid w:val="00593696"/>
    <w:rsid w:val="005936BC"/>
    <w:rsid w:val="00593749"/>
    <w:rsid w:val="00593769"/>
    <w:rsid w:val="00593897"/>
    <w:rsid w:val="00593AA3"/>
    <w:rsid w:val="00593B5E"/>
    <w:rsid w:val="00593C95"/>
    <w:rsid w:val="00593CA6"/>
    <w:rsid w:val="00593E23"/>
    <w:rsid w:val="00593E5E"/>
    <w:rsid w:val="00593EFA"/>
    <w:rsid w:val="00593FB9"/>
    <w:rsid w:val="005940A4"/>
    <w:rsid w:val="005940D4"/>
    <w:rsid w:val="005940F2"/>
    <w:rsid w:val="00594197"/>
    <w:rsid w:val="005943C7"/>
    <w:rsid w:val="00594420"/>
    <w:rsid w:val="00594527"/>
    <w:rsid w:val="00594551"/>
    <w:rsid w:val="00594575"/>
    <w:rsid w:val="005946B9"/>
    <w:rsid w:val="005946ED"/>
    <w:rsid w:val="00594780"/>
    <w:rsid w:val="005947CE"/>
    <w:rsid w:val="005947E6"/>
    <w:rsid w:val="005948B9"/>
    <w:rsid w:val="00594970"/>
    <w:rsid w:val="0059497F"/>
    <w:rsid w:val="005949B4"/>
    <w:rsid w:val="00594A22"/>
    <w:rsid w:val="00594A63"/>
    <w:rsid w:val="00594AA9"/>
    <w:rsid w:val="00594BFD"/>
    <w:rsid w:val="00594C86"/>
    <w:rsid w:val="00594CA8"/>
    <w:rsid w:val="00594D0F"/>
    <w:rsid w:val="00594D12"/>
    <w:rsid w:val="00594D54"/>
    <w:rsid w:val="00594E28"/>
    <w:rsid w:val="00594E40"/>
    <w:rsid w:val="00594ECB"/>
    <w:rsid w:val="00594EFD"/>
    <w:rsid w:val="00594FE7"/>
    <w:rsid w:val="005950F1"/>
    <w:rsid w:val="0059512F"/>
    <w:rsid w:val="00595233"/>
    <w:rsid w:val="0059528B"/>
    <w:rsid w:val="0059535B"/>
    <w:rsid w:val="005953D1"/>
    <w:rsid w:val="005953E4"/>
    <w:rsid w:val="0059575A"/>
    <w:rsid w:val="005957AF"/>
    <w:rsid w:val="00595829"/>
    <w:rsid w:val="00595832"/>
    <w:rsid w:val="005959D2"/>
    <w:rsid w:val="005959E7"/>
    <w:rsid w:val="00595A17"/>
    <w:rsid w:val="00595AA9"/>
    <w:rsid w:val="00595AE9"/>
    <w:rsid w:val="00595B33"/>
    <w:rsid w:val="00595B6B"/>
    <w:rsid w:val="00595D14"/>
    <w:rsid w:val="00595D28"/>
    <w:rsid w:val="00595D2F"/>
    <w:rsid w:val="00595D3C"/>
    <w:rsid w:val="00595E2A"/>
    <w:rsid w:val="00595F80"/>
    <w:rsid w:val="00595FCD"/>
    <w:rsid w:val="00595FEA"/>
    <w:rsid w:val="00595FF6"/>
    <w:rsid w:val="00596141"/>
    <w:rsid w:val="005961DF"/>
    <w:rsid w:val="0059625D"/>
    <w:rsid w:val="005962CB"/>
    <w:rsid w:val="005963AC"/>
    <w:rsid w:val="005963DD"/>
    <w:rsid w:val="0059647E"/>
    <w:rsid w:val="00596530"/>
    <w:rsid w:val="00596599"/>
    <w:rsid w:val="005965D3"/>
    <w:rsid w:val="00596643"/>
    <w:rsid w:val="00596679"/>
    <w:rsid w:val="005966A9"/>
    <w:rsid w:val="00596726"/>
    <w:rsid w:val="00596763"/>
    <w:rsid w:val="00596768"/>
    <w:rsid w:val="00596879"/>
    <w:rsid w:val="00596A67"/>
    <w:rsid w:val="00596AA6"/>
    <w:rsid w:val="00596AF8"/>
    <w:rsid w:val="00596B4A"/>
    <w:rsid w:val="00596B82"/>
    <w:rsid w:val="00596B8E"/>
    <w:rsid w:val="00596B9B"/>
    <w:rsid w:val="00596BB8"/>
    <w:rsid w:val="00596D9C"/>
    <w:rsid w:val="00596EDB"/>
    <w:rsid w:val="005970C9"/>
    <w:rsid w:val="00597182"/>
    <w:rsid w:val="0059720F"/>
    <w:rsid w:val="00597258"/>
    <w:rsid w:val="0059725D"/>
    <w:rsid w:val="00597294"/>
    <w:rsid w:val="0059729C"/>
    <w:rsid w:val="00597324"/>
    <w:rsid w:val="0059744D"/>
    <w:rsid w:val="00597520"/>
    <w:rsid w:val="00597539"/>
    <w:rsid w:val="0059758A"/>
    <w:rsid w:val="005975F0"/>
    <w:rsid w:val="00597686"/>
    <w:rsid w:val="005976A8"/>
    <w:rsid w:val="005976C5"/>
    <w:rsid w:val="0059772B"/>
    <w:rsid w:val="00597767"/>
    <w:rsid w:val="005977E9"/>
    <w:rsid w:val="005977EA"/>
    <w:rsid w:val="0059781C"/>
    <w:rsid w:val="005978EF"/>
    <w:rsid w:val="0059794D"/>
    <w:rsid w:val="0059799E"/>
    <w:rsid w:val="00597AFF"/>
    <w:rsid w:val="00597C9A"/>
    <w:rsid w:val="00597CA8"/>
    <w:rsid w:val="00597DC3"/>
    <w:rsid w:val="00597DEF"/>
    <w:rsid w:val="00597E24"/>
    <w:rsid w:val="00597EC6"/>
    <w:rsid w:val="005A005F"/>
    <w:rsid w:val="005A0141"/>
    <w:rsid w:val="005A0171"/>
    <w:rsid w:val="005A0201"/>
    <w:rsid w:val="005A02A6"/>
    <w:rsid w:val="005A03C7"/>
    <w:rsid w:val="005A040C"/>
    <w:rsid w:val="005A0450"/>
    <w:rsid w:val="005A05F9"/>
    <w:rsid w:val="005A0621"/>
    <w:rsid w:val="005A06A7"/>
    <w:rsid w:val="005A071A"/>
    <w:rsid w:val="005A0757"/>
    <w:rsid w:val="005A0851"/>
    <w:rsid w:val="005A08B3"/>
    <w:rsid w:val="005A0924"/>
    <w:rsid w:val="005A098D"/>
    <w:rsid w:val="005A09D4"/>
    <w:rsid w:val="005A0AE7"/>
    <w:rsid w:val="005A0B0F"/>
    <w:rsid w:val="005A0C9F"/>
    <w:rsid w:val="005A0CDE"/>
    <w:rsid w:val="005A0D64"/>
    <w:rsid w:val="005A0ECF"/>
    <w:rsid w:val="005A0F62"/>
    <w:rsid w:val="005A0F79"/>
    <w:rsid w:val="005A1072"/>
    <w:rsid w:val="005A109C"/>
    <w:rsid w:val="005A10BB"/>
    <w:rsid w:val="005A1198"/>
    <w:rsid w:val="005A11C3"/>
    <w:rsid w:val="005A1253"/>
    <w:rsid w:val="005A1269"/>
    <w:rsid w:val="005A12A7"/>
    <w:rsid w:val="005A12F5"/>
    <w:rsid w:val="005A1306"/>
    <w:rsid w:val="005A1355"/>
    <w:rsid w:val="005A13B2"/>
    <w:rsid w:val="005A13BE"/>
    <w:rsid w:val="005A1476"/>
    <w:rsid w:val="005A1555"/>
    <w:rsid w:val="005A161A"/>
    <w:rsid w:val="005A1652"/>
    <w:rsid w:val="005A1721"/>
    <w:rsid w:val="005A1722"/>
    <w:rsid w:val="005A178E"/>
    <w:rsid w:val="005A17A4"/>
    <w:rsid w:val="005A195F"/>
    <w:rsid w:val="005A1A1A"/>
    <w:rsid w:val="005A1A3A"/>
    <w:rsid w:val="005A1AEF"/>
    <w:rsid w:val="005A1B47"/>
    <w:rsid w:val="005A1BAE"/>
    <w:rsid w:val="005A1BC8"/>
    <w:rsid w:val="005A1BD9"/>
    <w:rsid w:val="005A1CF8"/>
    <w:rsid w:val="005A1D68"/>
    <w:rsid w:val="005A1D90"/>
    <w:rsid w:val="005A1DBB"/>
    <w:rsid w:val="005A1EB5"/>
    <w:rsid w:val="005A1FEE"/>
    <w:rsid w:val="005A2025"/>
    <w:rsid w:val="005A202C"/>
    <w:rsid w:val="005A212D"/>
    <w:rsid w:val="005A21C7"/>
    <w:rsid w:val="005A2459"/>
    <w:rsid w:val="005A24F3"/>
    <w:rsid w:val="005A26B0"/>
    <w:rsid w:val="005A278B"/>
    <w:rsid w:val="005A287A"/>
    <w:rsid w:val="005A2A71"/>
    <w:rsid w:val="005A2C17"/>
    <w:rsid w:val="005A2C98"/>
    <w:rsid w:val="005A2D3B"/>
    <w:rsid w:val="005A2D66"/>
    <w:rsid w:val="005A2D98"/>
    <w:rsid w:val="005A2E02"/>
    <w:rsid w:val="005A2E28"/>
    <w:rsid w:val="005A2FA1"/>
    <w:rsid w:val="005A2FED"/>
    <w:rsid w:val="005A3033"/>
    <w:rsid w:val="005A311B"/>
    <w:rsid w:val="005A314E"/>
    <w:rsid w:val="005A3273"/>
    <w:rsid w:val="005A3304"/>
    <w:rsid w:val="005A333D"/>
    <w:rsid w:val="005A3373"/>
    <w:rsid w:val="005A33F4"/>
    <w:rsid w:val="005A3417"/>
    <w:rsid w:val="005A3520"/>
    <w:rsid w:val="005A362C"/>
    <w:rsid w:val="005A3649"/>
    <w:rsid w:val="005A365A"/>
    <w:rsid w:val="005A36AE"/>
    <w:rsid w:val="005A37B5"/>
    <w:rsid w:val="005A393D"/>
    <w:rsid w:val="005A39D8"/>
    <w:rsid w:val="005A3A21"/>
    <w:rsid w:val="005A3B05"/>
    <w:rsid w:val="005A3B07"/>
    <w:rsid w:val="005A3B19"/>
    <w:rsid w:val="005A3C1D"/>
    <w:rsid w:val="005A3C24"/>
    <w:rsid w:val="005A3C45"/>
    <w:rsid w:val="005A3CA0"/>
    <w:rsid w:val="005A3D2E"/>
    <w:rsid w:val="005A3E31"/>
    <w:rsid w:val="005A3E70"/>
    <w:rsid w:val="005A3E8F"/>
    <w:rsid w:val="005A3E9C"/>
    <w:rsid w:val="005A3EB1"/>
    <w:rsid w:val="005A3F3C"/>
    <w:rsid w:val="005A3F78"/>
    <w:rsid w:val="005A42DC"/>
    <w:rsid w:val="005A44AD"/>
    <w:rsid w:val="005A44C6"/>
    <w:rsid w:val="005A44F8"/>
    <w:rsid w:val="005A4524"/>
    <w:rsid w:val="005A4564"/>
    <w:rsid w:val="005A45E6"/>
    <w:rsid w:val="005A4663"/>
    <w:rsid w:val="005A482E"/>
    <w:rsid w:val="005A4852"/>
    <w:rsid w:val="005A4888"/>
    <w:rsid w:val="005A48A6"/>
    <w:rsid w:val="005A491E"/>
    <w:rsid w:val="005A496E"/>
    <w:rsid w:val="005A49A0"/>
    <w:rsid w:val="005A49DD"/>
    <w:rsid w:val="005A4A23"/>
    <w:rsid w:val="005A4A62"/>
    <w:rsid w:val="005A4A9E"/>
    <w:rsid w:val="005A4C04"/>
    <w:rsid w:val="005A4C1B"/>
    <w:rsid w:val="005A4C2C"/>
    <w:rsid w:val="005A4DDB"/>
    <w:rsid w:val="005A4DF6"/>
    <w:rsid w:val="005A4E4C"/>
    <w:rsid w:val="005A4EC3"/>
    <w:rsid w:val="005A4FC7"/>
    <w:rsid w:val="005A5109"/>
    <w:rsid w:val="005A5201"/>
    <w:rsid w:val="005A521C"/>
    <w:rsid w:val="005A53BD"/>
    <w:rsid w:val="005A53FC"/>
    <w:rsid w:val="005A548E"/>
    <w:rsid w:val="005A54F0"/>
    <w:rsid w:val="005A551C"/>
    <w:rsid w:val="005A55D0"/>
    <w:rsid w:val="005A5613"/>
    <w:rsid w:val="005A5694"/>
    <w:rsid w:val="005A57DA"/>
    <w:rsid w:val="005A5859"/>
    <w:rsid w:val="005A5899"/>
    <w:rsid w:val="005A593C"/>
    <w:rsid w:val="005A5A07"/>
    <w:rsid w:val="005A5AA9"/>
    <w:rsid w:val="005A5ACF"/>
    <w:rsid w:val="005A5AEA"/>
    <w:rsid w:val="005A5B33"/>
    <w:rsid w:val="005A5B9C"/>
    <w:rsid w:val="005A5C5E"/>
    <w:rsid w:val="005A5D60"/>
    <w:rsid w:val="005A5E71"/>
    <w:rsid w:val="005A5EF6"/>
    <w:rsid w:val="005A5F3C"/>
    <w:rsid w:val="005A5F89"/>
    <w:rsid w:val="005A5F99"/>
    <w:rsid w:val="005A6033"/>
    <w:rsid w:val="005A60A4"/>
    <w:rsid w:val="005A60A8"/>
    <w:rsid w:val="005A60C1"/>
    <w:rsid w:val="005A61FD"/>
    <w:rsid w:val="005A62AF"/>
    <w:rsid w:val="005A62B6"/>
    <w:rsid w:val="005A63C2"/>
    <w:rsid w:val="005A63CB"/>
    <w:rsid w:val="005A640E"/>
    <w:rsid w:val="005A6488"/>
    <w:rsid w:val="005A6557"/>
    <w:rsid w:val="005A6575"/>
    <w:rsid w:val="005A6613"/>
    <w:rsid w:val="005A665C"/>
    <w:rsid w:val="005A6680"/>
    <w:rsid w:val="005A66A3"/>
    <w:rsid w:val="005A66E6"/>
    <w:rsid w:val="005A678C"/>
    <w:rsid w:val="005A683F"/>
    <w:rsid w:val="005A688D"/>
    <w:rsid w:val="005A6984"/>
    <w:rsid w:val="005A6AB7"/>
    <w:rsid w:val="005A6B42"/>
    <w:rsid w:val="005A6B6B"/>
    <w:rsid w:val="005A6BF0"/>
    <w:rsid w:val="005A6C1C"/>
    <w:rsid w:val="005A6CA0"/>
    <w:rsid w:val="005A6D98"/>
    <w:rsid w:val="005A6DC7"/>
    <w:rsid w:val="005A6E4D"/>
    <w:rsid w:val="005A6F22"/>
    <w:rsid w:val="005A6F97"/>
    <w:rsid w:val="005A6FCE"/>
    <w:rsid w:val="005A702D"/>
    <w:rsid w:val="005A7089"/>
    <w:rsid w:val="005A71FA"/>
    <w:rsid w:val="005A7257"/>
    <w:rsid w:val="005A72D1"/>
    <w:rsid w:val="005A72D2"/>
    <w:rsid w:val="005A72DD"/>
    <w:rsid w:val="005A7358"/>
    <w:rsid w:val="005A73A4"/>
    <w:rsid w:val="005A7407"/>
    <w:rsid w:val="005A745A"/>
    <w:rsid w:val="005A754F"/>
    <w:rsid w:val="005A758C"/>
    <w:rsid w:val="005A7755"/>
    <w:rsid w:val="005A7783"/>
    <w:rsid w:val="005A7889"/>
    <w:rsid w:val="005A78DA"/>
    <w:rsid w:val="005A7927"/>
    <w:rsid w:val="005A793B"/>
    <w:rsid w:val="005A7943"/>
    <w:rsid w:val="005A7A64"/>
    <w:rsid w:val="005A7A6E"/>
    <w:rsid w:val="005A7AE5"/>
    <w:rsid w:val="005A7CFC"/>
    <w:rsid w:val="005A7D1F"/>
    <w:rsid w:val="005A7D2F"/>
    <w:rsid w:val="005A7D62"/>
    <w:rsid w:val="005A7D69"/>
    <w:rsid w:val="005A7DA9"/>
    <w:rsid w:val="005A7DBC"/>
    <w:rsid w:val="005A7FC8"/>
    <w:rsid w:val="005B011E"/>
    <w:rsid w:val="005B018C"/>
    <w:rsid w:val="005B01A7"/>
    <w:rsid w:val="005B01B4"/>
    <w:rsid w:val="005B01CD"/>
    <w:rsid w:val="005B02F2"/>
    <w:rsid w:val="005B03EF"/>
    <w:rsid w:val="005B03FA"/>
    <w:rsid w:val="005B0474"/>
    <w:rsid w:val="005B04DB"/>
    <w:rsid w:val="005B05CD"/>
    <w:rsid w:val="005B0773"/>
    <w:rsid w:val="005B077B"/>
    <w:rsid w:val="005B0783"/>
    <w:rsid w:val="005B0946"/>
    <w:rsid w:val="005B0954"/>
    <w:rsid w:val="005B0992"/>
    <w:rsid w:val="005B09AA"/>
    <w:rsid w:val="005B0AE7"/>
    <w:rsid w:val="005B0B42"/>
    <w:rsid w:val="005B0B76"/>
    <w:rsid w:val="005B0BBC"/>
    <w:rsid w:val="005B0C61"/>
    <w:rsid w:val="005B0C64"/>
    <w:rsid w:val="005B0DD6"/>
    <w:rsid w:val="005B0E65"/>
    <w:rsid w:val="005B0F08"/>
    <w:rsid w:val="005B0F29"/>
    <w:rsid w:val="005B0F4A"/>
    <w:rsid w:val="005B0F75"/>
    <w:rsid w:val="005B100E"/>
    <w:rsid w:val="005B10DB"/>
    <w:rsid w:val="005B1147"/>
    <w:rsid w:val="005B1276"/>
    <w:rsid w:val="005B127A"/>
    <w:rsid w:val="005B128F"/>
    <w:rsid w:val="005B12AF"/>
    <w:rsid w:val="005B1466"/>
    <w:rsid w:val="005B148D"/>
    <w:rsid w:val="005B14D3"/>
    <w:rsid w:val="005B14D8"/>
    <w:rsid w:val="005B14E2"/>
    <w:rsid w:val="005B164F"/>
    <w:rsid w:val="005B16BB"/>
    <w:rsid w:val="005B1846"/>
    <w:rsid w:val="005B18FB"/>
    <w:rsid w:val="005B191A"/>
    <w:rsid w:val="005B1964"/>
    <w:rsid w:val="005B19A9"/>
    <w:rsid w:val="005B19E0"/>
    <w:rsid w:val="005B19EF"/>
    <w:rsid w:val="005B1A09"/>
    <w:rsid w:val="005B1A14"/>
    <w:rsid w:val="005B1A28"/>
    <w:rsid w:val="005B1A60"/>
    <w:rsid w:val="005B1B0D"/>
    <w:rsid w:val="005B1B44"/>
    <w:rsid w:val="005B1BB3"/>
    <w:rsid w:val="005B1C7E"/>
    <w:rsid w:val="005B1D8A"/>
    <w:rsid w:val="005B1DA5"/>
    <w:rsid w:val="005B1DD1"/>
    <w:rsid w:val="005B1E05"/>
    <w:rsid w:val="005B1EAE"/>
    <w:rsid w:val="005B1F0C"/>
    <w:rsid w:val="005B1F5A"/>
    <w:rsid w:val="005B20D9"/>
    <w:rsid w:val="005B2181"/>
    <w:rsid w:val="005B22FB"/>
    <w:rsid w:val="005B230B"/>
    <w:rsid w:val="005B23AD"/>
    <w:rsid w:val="005B23EB"/>
    <w:rsid w:val="005B2412"/>
    <w:rsid w:val="005B24AD"/>
    <w:rsid w:val="005B24B9"/>
    <w:rsid w:val="005B25F8"/>
    <w:rsid w:val="005B261A"/>
    <w:rsid w:val="005B27E7"/>
    <w:rsid w:val="005B27ED"/>
    <w:rsid w:val="005B283B"/>
    <w:rsid w:val="005B28A0"/>
    <w:rsid w:val="005B28BA"/>
    <w:rsid w:val="005B290E"/>
    <w:rsid w:val="005B2966"/>
    <w:rsid w:val="005B29E5"/>
    <w:rsid w:val="005B2A72"/>
    <w:rsid w:val="005B2AA3"/>
    <w:rsid w:val="005B2B32"/>
    <w:rsid w:val="005B2B67"/>
    <w:rsid w:val="005B2B72"/>
    <w:rsid w:val="005B2C16"/>
    <w:rsid w:val="005B2C93"/>
    <w:rsid w:val="005B2CBE"/>
    <w:rsid w:val="005B2CCA"/>
    <w:rsid w:val="005B2D92"/>
    <w:rsid w:val="005B2DAC"/>
    <w:rsid w:val="005B2E43"/>
    <w:rsid w:val="005B2E7A"/>
    <w:rsid w:val="005B2EDE"/>
    <w:rsid w:val="005B2F7B"/>
    <w:rsid w:val="005B301E"/>
    <w:rsid w:val="005B3124"/>
    <w:rsid w:val="005B32B1"/>
    <w:rsid w:val="005B333E"/>
    <w:rsid w:val="005B346E"/>
    <w:rsid w:val="005B34BD"/>
    <w:rsid w:val="005B34CD"/>
    <w:rsid w:val="005B3514"/>
    <w:rsid w:val="005B352A"/>
    <w:rsid w:val="005B36BF"/>
    <w:rsid w:val="005B375E"/>
    <w:rsid w:val="005B3896"/>
    <w:rsid w:val="005B39B8"/>
    <w:rsid w:val="005B3A5C"/>
    <w:rsid w:val="005B3A6A"/>
    <w:rsid w:val="005B3B49"/>
    <w:rsid w:val="005B3B98"/>
    <w:rsid w:val="005B3B9B"/>
    <w:rsid w:val="005B3D21"/>
    <w:rsid w:val="005B3D7F"/>
    <w:rsid w:val="005B3DB6"/>
    <w:rsid w:val="005B3DDE"/>
    <w:rsid w:val="005B3E38"/>
    <w:rsid w:val="005B3E5F"/>
    <w:rsid w:val="005B3EB3"/>
    <w:rsid w:val="005B3EC9"/>
    <w:rsid w:val="005B3EF2"/>
    <w:rsid w:val="005B3F3C"/>
    <w:rsid w:val="005B3F94"/>
    <w:rsid w:val="005B406E"/>
    <w:rsid w:val="005B4125"/>
    <w:rsid w:val="005B4189"/>
    <w:rsid w:val="005B41DB"/>
    <w:rsid w:val="005B426D"/>
    <w:rsid w:val="005B42B4"/>
    <w:rsid w:val="005B4308"/>
    <w:rsid w:val="005B4372"/>
    <w:rsid w:val="005B43C0"/>
    <w:rsid w:val="005B4405"/>
    <w:rsid w:val="005B4491"/>
    <w:rsid w:val="005B44D6"/>
    <w:rsid w:val="005B451D"/>
    <w:rsid w:val="005B4588"/>
    <w:rsid w:val="005B46E9"/>
    <w:rsid w:val="005B46FC"/>
    <w:rsid w:val="005B4708"/>
    <w:rsid w:val="005B471F"/>
    <w:rsid w:val="005B4849"/>
    <w:rsid w:val="005B48CC"/>
    <w:rsid w:val="005B4917"/>
    <w:rsid w:val="005B4995"/>
    <w:rsid w:val="005B4A2D"/>
    <w:rsid w:val="005B4B06"/>
    <w:rsid w:val="005B4B1E"/>
    <w:rsid w:val="005B4C15"/>
    <w:rsid w:val="005B4CC7"/>
    <w:rsid w:val="005B4E2B"/>
    <w:rsid w:val="005B4E4E"/>
    <w:rsid w:val="005B4E61"/>
    <w:rsid w:val="005B4EAC"/>
    <w:rsid w:val="005B4EBD"/>
    <w:rsid w:val="005B4F2D"/>
    <w:rsid w:val="005B4FB5"/>
    <w:rsid w:val="005B5035"/>
    <w:rsid w:val="005B504D"/>
    <w:rsid w:val="005B50A2"/>
    <w:rsid w:val="005B5158"/>
    <w:rsid w:val="005B51DB"/>
    <w:rsid w:val="005B5231"/>
    <w:rsid w:val="005B5304"/>
    <w:rsid w:val="005B531E"/>
    <w:rsid w:val="005B537D"/>
    <w:rsid w:val="005B5381"/>
    <w:rsid w:val="005B546D"/>
    <w:rsid w:val="005B54F8"/>
    <w:rsid w:val="005B54F9"/>
    <w:rsid w:val="005B5587"/>
    <w:rsid w:val="005B55A4"/>
    <w:rsid w:val="005B5694"/>
    <w:rsid w:val="005B56CC"/>
    <w:rsid w:val="005B56EB"/>
    <w:rsid w:val="005B57B4"/>
    <w:rsid w:val="005B5836"/>
    <w:rsid w:val="005B58CD"/>
    <w:rsid w:val="005B5924"/>
    <w:rsid w:val="005B5925"/>
    <w:rsid w:val="005B593A"/>
    <w:rsid w:val="005B59AC"/>
    <w:rsid w:val="005B59C7"/>
    <w:rsid w:val="005B5A47"/>
    <w:rsid w:val="005B5A53"/>
    <w:rsid w:val="005B5A77"/>
    <w:rsid w:val="005B5BFF"/>
    <w:rsid w:val="005B5E6E"/>
    <w:rsid w:val="005B5EB9"/>
    <w:rsid w:val="005B5F1B"/>
    <w:rsid w:val="005B5F86"/>
    <w:rsid w:val="005B5FB8"/>
    <w:rsid w:val="005B6005"/>
    <w:rsid w:val="005B6007"/>
    <w:rsid w:val="005B60D9"/>
    <w:rsid w:val="005B6221"/>
    <w:rsid w:val="005B62FF"/>
    <w:rsid w:val="005B6467"/>
    <w:rsid w:val="005B64CA"/>
    <w:rsid w:val="005B64FC"/>
    <w:rsid w:val="005B6679"/>
    <w:rsid w:val="005B6688"/>
    <w:rsid w:val="005B6749"/>
    <w:rsid w:val="005B689C"/>
    <w:rsid w:val="005B6922"/>
    <w:rsid w:val="005B693C"/>
    <w:rsid w:val="005B697C"/>
    <w:rsid w:val="005B69AB"/>
    <w:rsid w:val="005B6A43"/>
    <w:rsid w:val="005B6A67"/>
    <w:rsid w:val="005B6A7A"/>
    <w:rsid w:val="005B6B8B"/>
    <w:rsid w:val="005B6B9C"/>
    <w:rsid w:val="005B6C52"/>
    <w:rsid w:val="005B6EEC"/>
    <w:rsid w:val="005B6EFA"/>
    <w:rsid w:val="005B6F32"/>
    <w:rsid w:val="005B701F"/>
    <w:rsid w:val="005B7025"/>
    <w:rsid w:val="005B70C8"/>
    <w:rsid w:val="005B724A"/>
    <w:rsid w:val="005B7316"/>
    <w:rsid w:val="005B739D"/>
    <w:rsid w:val="005B73E9"/>
    <w:rsid w:val="005B73FD"/>
    <w:rsid w:val="005B7433"/>
    <w:rsid w:val="005B75A9"/>
    <w:rsid w:val="005B7619"/>
    <w:rsid w:val="005B7643"/>
    <w:rsid w:val="005B76D1"/>
    <w:rsid w:val="005B77E8"/>
    <w:rsid w:val="005B7853"/>
    <w:rsid w:val="005B7894"/>
    <w:rsid w:val="005B78D7"/>
    <w:rsid w:val="005B791F"/>
    <w:rsid w:val="005B7936"/>
    <w:rsid w:val="005B796C"/>
    <w:rsid w:val="005B7B3E"/>
    <w:rsid w:val="005B7BE2"/>
    <w:rsid w:val="005B7C08"/>
    <w:rsid w:val="005B7C11"/>
    <w:rsid w:val="005B7C20"/>
    <w:rsid w:val="005B7D9B"/>
    <w:rsid w:val="005B7DD5"/>
    <w:rsid w:val="005B7FA6"/>
    <w:rsid w:val="005C0000"/>
    <w:rsid w:val="005C0024"/>
    <w:rsid w:val="005C01D2"/>
    <w:rsid w:val="005C025A"/>
    <w:rsid w:val="005C02FB"/>
    <w:rsid w:val="005C036D"/>
    <w:rsid w:val="005C0376"/>
    <w:rsid w:val="005C037D"/>
    <w:rsid w:val="005C047B"/>
    <w:rsid w:val="005C04EB"/>
    <w:rsid w:val="005C0596"/>
    <w:rsid w:val="005C05DF"/>
    <w:rsid w:val="005C0603"/>
    <w:rsid w:val="005C0605"/>
    <w:rsid w:val="005C0691"/>
    <w:rsid w:val="005C0694"/>
    <w:rsid w:val="005C0709"/>
    <w:rsid w:val="005C0764"/>
    <w:rsid w:val="005C078C"/>
    <w:rsid w:val="005C0812"/>
    <w:rsid w:val="005C08F0"/>
    <w:rsid w:val="005C0913"/>
    <w:rsid w:val="005C092E"/>
    <w:rsid w:val="005C0954"/>
    <w:rsid w:val="005C0A06"/>
    <w:rsid w:val="005C0B93"/>
    <w:rsid w:val="005C0C1D"/>
    <w:rsid w:val="005C0C8C"/>
    <w:rsid w:val="005C0CF4"/>
    <w:rsid w:val="005C0D66"/>
    <w:rsid w:val="005C0E1E"/>
    <w:rsid w:val="005C0E52"/>
    <w:rsid w:val="005C0E7C"/>
    <w:rsid w:val="005C0EAD"/>
    <w:rsid w:val="005C0F69"/>
    <w:rsid w:val="005C0F78"/>
    <w:rsid w:val="005C0FD3"/>
    <w:rsid w:val="005C11A9"/>
    <w:rsid w:val="005C1279"/>
    <w:rsid w:val="005C12B6"/>
    <w:rsid w:val="005C135F"/>
    <w:rsid w:val="005C13D5"/>
    <w:rsid w:val="005C14A3"/>
    <w:rsid w:val="005C1577"/>
    <w:rsid w:val="005C164A"/>
    <w:rsid w:val="005C173E"/>
    <w:rsid w:val="005C1793"/>
    <w:rsid w:val="005C179B"/>
    <w:rsid w:val="005C1876"/>
    <w:rsid w:val="005C18FC"/>
    <w:rsid w:val="005C198A"/>
    <w:rsid w:val="005C19ED"/>
    <w:rsid w:val="005C1AEA"/>
    <w:rsid w:val="005C1B39"/>
    <w:rsid w:val="005C1DDA"/>
    <w:rsid w:val="005C1E47"/>
    <w:rsid w:val="005C1F3A"/>
    <w:rsid w:val="005C1F73"/>
    <w:rsid w:val="005C1FB3"/>
    <w:rsid w:val="005C1FE5"/>
    <w:rsid w:val="005C1FF0"/>
    <w:rsid w:val="005C2057"/>
    <w:rsid w:val="005C20A3"/>
    <w:rsid w:val="005C20F8"/>
    <w:rsid w:val="005C2131"/>
    <w:rsid w:val="005C215F"/>
    <w:rsid w:val="005C2180"/>
    <w:rsid w:val="005C21EA"/>
    <w:rsid w:val="005C2217"/>
    <w:rsid w:val="005C2309"/>
    <w:rsid w:val="005C2344"/>
    <w:rsid w:val="005C255E"/>
    <w:rsid w:val="005C25D4"/>
    <w:rsid w:val="005C26D5"/>
    <w:rsid w:val="005C285A"/>
    <w:rsid w:val="005C2903"/>
    <w:rsid w:val="005C2918"/>
    <w:rsid w:val="005C2984"/>
    <w:rsid w:val="005C2AE0"/>
    <w:rsid w:val="005C2B24"/>
    <w:rsid w:val="005C2B91"/>
    <w:rsid w:val="005C2CAE"/>
    <w:rsid w:val="005C2CFD"/>
    <w:rsid w:val="005C2CFE"/>
    <w:rsid w:val="005C2D40"/>
    <w:rsid w:val="005C2DB5"/>
    <w:rsid w:val="005C2E25"/>
    <w:rsid w:val="005C2E3C"/>
    <w:rsid w:val="005C2E7C"/>
    <w:rsid w:val="005C2EA1"/>
    <w:rsid w:val="005C301D"/>
    <w:rsid w:val="005C301E"/>
    <w:rsid w:val="005C3027"/>
    <w:rsid w:val="005C304E"/>
    <w:rsid w:val="005C3081"/>
    <w:rsid w:val="005C30BA"/>
    <w:rsid w:val="005C30F0"/>
    <w:rsid w:val="005C30FE"/>
    <w:rsid w:val="005C3189"/>
    <w:rsid w:val="005C3202"/>
    <w:rsid w:val="005C3225"/>
    <w:rsid w:val="005C326D"/>
    <w:rsid w:val="005C32BC"/>
    <w:rsid w:val="005C34BD"/>
    <w:rsid w:val="005C34ED"/>
    <w:rsid w:val="005C3689"/>
    <w:rsid w:val="005C36CB"/>
    <w:rsid w:val="005C3756"/>
    <w:rsid w:val="005C37C4"/>
    <w:rsid w:val="005C3829"/>
    <w:rsid w:val="005C3993"/>
    <w:rsid w:val="005C39E9"/>
    <w:rsid w:val="005C3B2D"/>
    <w:rsid w:val="005C3B56"/>
    <w:rsid w:val="005C3BE3"/>
    <w:rsid w:val="005C3C04"/>
    <w:rsid w:val="005C3CA1"/>
    <w:rsid w:val="005C3D6F"/>
    <w:rsid w:val="005C3D95"/>
    <w:rsid w:val="005C3DC7"/>
    <w:rsid w:val="005C3E13"/>
    <w:rsid w:val="005C3F1B"/>
    <w:rsid w:val="005C3F6F"/>
    <w:rsid w:val="005C4051"/>
    <w:rsid w:val="005C408C"/>
    <w:rsid w:val="005C413A"/>
    <w:rsid w:val="005C419E"/>
    <w:rsid w:val="005C41A7"/>
    <w:rsid w:val="005C4296"/>
    <w:rsid w:val="005C4304"/>
    <w:rsid w:val="005C430D"/>
    <w:rsid w:val="005C4361"/>
    <w:rsid w:val="005C4549"/>
    <w:rsid w:val="005C4603"/>
    <w:rsid w:val="005C4704"/>
    <w:rsid w:val="005C470C"/>
    <w:rsid w:val="005C4726"/>
    <w:rsid w:val="005C475F"/>
    <w:rsid w:val="005C4781"/>
    <w:rsid w:val="005C4861"/>
    <w:rsid w:val="005C49A5"/>
    <w:rsid w:val="005C49E0"/>
    <w:rsid w:val="005C4A24"/>
    <w:rsid w:val="005C4A2B"/>
    <w:rsid w:val="005C4A86"/>
    <w:rsid w:val="005C4BDE"/>
    <w:rsid w:val="005C4C73"/>
    <w:rsid w:val="005C4CFC"/>
    <w:rsid w:val="005C4D0E"/>
    <w:rsid w:val="005C4DD5"/>
    <w:rsid w:val="005C4E0B"/>
    <w:rsid w:val="005C4E1F"/>
    <w:rsid w:val="005C4EEE"/>
    <w:rsid w:val="005C4F54"/>
    <w:rsid w:val="005C4F6E"/>
    <w:rsid w:val="005C4F6F"/>
    <w:rsid w:val="005C5001"/>
    <w:rsid w:val="005C5058"/>
    <w:rsid w:val="005C50E5"/>
    <w:rsid w:val="005C510F"/>
    <w:rsid w:val="005C519F"/>
    <w:rsid w:val="005C51F0"/>
    <w:rsid w:val="005C5292"/>
    <w:rsid w:val="005C52C6"/>
    <w:rsid w:val="005C5423"/>
    <w:rsid w:val="005C5484"/>
    <w:rsid w:val="005C54A8"/>
    <w:rsid w:val="005C5632"/>
    <w:rsid w:val="005C5681"/>
    <w:rsid w:val="005C568F"/>
    <w:rsid w:val="005C5763"/>
    <w:rsid w:val="005C58BA"/>
    <w:rsid w:val="005C5945"/>
    <w:rsid w:val="005C595E"/>
    <w:rsid w:val="005C5997"/>
    <w:rsid w:val="005C59EA"/>
    <w:rsid w:val="005C5A62"/>
    <w:rsid w:val="005C5A7F"/>
    <w:rsid w:val="005C5A8B"/>
    <w:rsid w:val="005C5AFB"/>
    <w:rsid w:val="005C5B51"/>
    <w:rsid w:val="005C5BBE"/>
    <w:rsid w:val="005C5C2A"/>
    <w:rsid w:val="005C5C55"/>
    <w:rsid w:val="005C5CD5"/>
    <w:rsid w:val="005C5D7E"/>
    <w:rsid w:val="005C5D94"/>
    <w:rsid w:val="005C5DDD"/>
    <w:rsid w:val="005C5E00"/>
    <w:rsid w:val="005C5EA4"/>
    <w:rsid w:val="005C5EF4"/>
    <w:rsid w:val="005C5F08"/>
    <w:rsid w:val="005C5FD9"/>
    <w:rsid w:val="005C6033"/>
    <w:rsid w:val="005C603F"/>
    <w:rsid w:val="005C60F6"/>
    <w:rsid w:val="005C61A2"/>
    <w:rsid w:val="005C61A6"/>
    <w:rsid w:val="005C6271"/>
    <w:rsid w:val="005C634A"/>
    <w:rsid w:val="005C63F2"/>
    <w:rsid w:val="005C6412"/>
    <w:rsid w:val="005C6436"/>
    <w:rsid w:val="005C64F9"/>
    <w:rsid w:val="005C6515"/>
    <w:rsid w:val="005C6582"/>
    <w:rsid w:val="005C65D5"/>
    <w:rsid w:val="005C6687"/>
    <w:rsid w:val="005C6728"/>
    <w:rsid w:val="005C680A"/>
    <w:rsid w:val="005C6919"/>
    <w:rsid w:val="005C697D"/>
    <w:rsid w:val="005C69CC"/>
    <w:rsid w:val="005C6A66"/>
    <w:rsid w:val="005C6B53"/>
    <w:rsid w:val="005C6B88"/>
    <w:rsid w:val="005C6BD4"/>
    <w:rsid w:val="005C6D04"/>
    <w:rsid w:val="005C6D7F"/>
    <w:rsid w:val="005C6D8A"/>
    <w:rsid w:val="005C6E63"/>
    <w:rsid w:val="005C6F3F"/>
    <w:rsid w:val="005C6F55"/>
    <w:rsid w:val="005C6F8F"/>
    <w:rsid w:val="005C7096"/>
    <w:rsid w:val="005C70A0"/>
    <w:rsid w:val="005C70CF"/>
    <w:rsid w:val="005C70DC"/>
    <w:rsid w:val="005C7107"/>
    <w:rsid w:val="005C7190"/>
    <w:rsid w:val="005C726C"/>
    <w:rsid w:val="005C729D"/>
    <w:rsid w:val="005C72AA"/>
    <w:rsid w:val="005C7317"/>
    <w:rsid w:val="005C7396"/>
    <w:rsid w:val="005C73C7"/>
    <w:rsid w:val="005C74CA"/>
    <w:rsid w:val="005C7520"/>
    <w:rsid w:val="005C7534"/>
    <w:rsid w:val="005C764C"/>
    <w:rsid w:val="005C76B7"/>
    <w:rsid w:val="005C7783"/>
    <w:rsid w:val="005C7822"/>
    <w:rsid w:val="005C7839"/>
    <w:rsid w:val="005C78CB"/>
    <w:rsid w:val="005C79B6"/>
    <w:rsid w:val="005C79BC"/>
    <w:rsid w:val="005C7A33"/>
    <w:rsid w:val="005C7A49"/>
    <w:rsid w:val="005C7A7A"/>
    <w:rsid w:val="005C7BF7"/>
    <w:rsid w:val="005C7C26"/>
    <w:rsid w:val="005C7D48"/>
    <w:rsid w:val="005C7D4C"/>
    <w:rsid w:val="005C7D52"/>
    <w:rsid w:val="005C7D9D"/>
    <w:rsid w:val="005C7DFF"/>
    <w:rsid w:val="005C7E68"/>
    <w:rsid w:val="005C7ECB"/>
    <w:rsid w:val="005C7F3F"/>
    <w:rsid w:val="005C7FC6"/>
    <w:rsid w:val="005C7FD9"/>
    <w:rsid w:val="005D0022"/>
    <w:rsid w:val="005D0163"/>
    <w:rsid w:val="005D017B"/>
    <w:rsid w:val="005D01E0"/>
    <w:rsid w:val="005D01EA"/>
    <w:rsid w:val="005D02F6"/>
    <w:rsid w:val="005D0314"/>
    <w:rsid w:val="005D03B9"/>
    <w:rsid w:val="005D0403"/>
    <w:rsid w:val="005D0423"/>
    <w:rsid w:val="005D0521"/>
    <w:rsid w:val="005D0613"/>
    <w:rsid w:val="005D0624"/>
    <w:rsid w:val="005D0645"/>
    <w:rsid w:val="005D066D"/>
    <w:rsid w:val="005D0798"/>
    <w:rsid w:val="005D07C6"/>
    <w:rsid w:val="005D07E4"/>
    <w:rsid w:val="005D081D"/>
    <w:rsid w:val="005D0849"/>
    <w:rsid w:val="005D0855"/>
    <w:rsid w:val="005D08D6"/>
    <w:rsid w:val="005D091F"/>
    <w:rsid w:val="005D096D"/>
    <w:rsid w:val="005D0A09"/>
    <w:rsid w:val="005D0A1D"/>
    <w:rsid w:val="005D0A84"/>
    <w:rsid w:val="005D0B0F"/>
    <w:rsid w:val="005D0B3E"/>
    <w:rsid w:val="005D0CA2"/>
    <w:rsid w:val="005D0CFD"/>
    <w:rsid w:val="005D0D21"/>
    <w:rsid w:val="005D0D42"/>
    <w:rsid w:val="005D0DEA"/>
    <w:rsid w:val="005D0E39"/>
    <w:rsid w:val="005D0F1E"/>
    <w:rsid w:val="005D0F5A"/>
    <w:rsid w:val="005D0F9F"/>
    <w:rsid w:val="005D0FBB"/>
    <w:rsid w:val="005D1032"/>
    <w:rsid w:val="005D1078"/>
    <w:rsid w:val="005D1098"/>
    <w:rsid w:val="005D10D2"/>
    <w:rsid w:val="005D11EF"/>
    <w:rsid w:val="005D128D"/>
    <w:rsid w:val="005D12EB"/>
    <w:rsid w:val="005D12F4"/>
    <w:rsid w:val="005D13EA"/>
    <w:rsid w:val="005D1472"/>
    <w:rsid w:val="005D1484"/>
    <w:rsid w:val="005D153E"/>
    <w:rsid w:val="005D1583"/>
    <w:rsid w:val="005D1618"/>
    <w:rsid w:val="005D1667"/>
    <w:rsid w:val="005D1718"/>
    <w:rsid w:val="005D1833"/>
    <w:rsid w:val="005D18A8"/>
    <w:rsid w:val="005D18C7"/>
    <w:rsid w:val="005D18E0"/>
    <w:rsid w:val="005D1924"/>
    <w:rsid w:val="005D195B"/>
    <w:rsid w:val="005D19A9"/>
    <w:rsid w:val="005D1B23"/>
    <w:rsid w:val="005D1B58"/>
    <w:rsid w:val="005D1B98"/>
    <w:rsid w:val="005D1BAC"/>
    <w:rsid w:val="005D1BDC"/>
    <w:rsid w:val="005D1C6C"/>
    <w:rsid w:val="005D1C70"/>
    <w:rsid w:val="005D1C7C"/>
    <w:rsid w:val="005D1DD1"/>
    <w:rsid w:val="005D1DFA"/>
    <w:rsid w:val="005D1EB1"/>
    <w:rsid w:val="005D1F22"/>
    <w:rsid w:val="005D1FC0"/>
    <w:rsid w:val="005D205A"/>
    <w:rsid w:val="005D21A6"/>
    <w:rsid w:val="005D21D3"/>
    <w:rsid w:val="005D21EE"/>
    <w:rsid w:val="005D223E"/>
    <w:rsid w:val="005D2255"/>
    <w:rsid w:val="005D22D0"/>
    <w:rsid w:val="005D239C"/>
    <w:rsid w:val="005D242B"/>
    <w:rsid w:val="005D2470"/>
    <w:rsid w:val="005D2534"/>
    <w:rsid w:val="005D25BF"/>
    <w:rsid w:val="005D2637"/>
    <w:rsid w:val="005D2766"/>
    <w:rsid w:val="005D278A"/>
    <w:rsid w:val="005D28CF"/>
    <w:rsid w:val="005D294F"/>
    <w:rsid w:val="005D2950"/>
    <w:rsid w:val="005D2979"/>
    <w:rsid w:val="005D29D9"/>
    <w:rsid w:val="005D2A43"/>
    <w:rsid w:val="005D2AE2"/>
    <w:rsid w:val="005D2B68"/>
    <w:rsid w:val="005D2C61"/>
    <w:rsid w:val="005D2CC3"/>
    <w:rsid w:val="005D2CD3"/>
    <w:rsid w:val="005D2D61"/>
    <w:rsid w:val="005D2DA7"/>
    <w:rsid w:val="005D2DE1"/>
    <w:rsid w:val="005D2F20"/>
    <w:rsid w:val="005D2F48"/>
    <w:rsid w:val="005D31A2"/>
    <w:rsid w:val="005D3234"/>
    <w:rsid w:val="005D33D0"/>
    <w:rsid w:val="005D33D7"/>
    <w:rsid w:val="005D343F"/>
    <w:rsid w:val="005D349C"/>
    <w:rsid w:val="005D3521"/>
    <w:rsid w:val="005D356C"/>
    <w:rsid w:val="005D3744"/>
    <w:rsid w:val="005D377F"/>
    <w:rsid w:val="005D3789"/>
    <w:rsid w:val="005D37ED"/>
    <w:rsid w:val="005D3825"/>
    <w:rsid w:val="005D3942"/>
    <w:rsid w:val="005D395A"/>
    <w:rsid w:val="005D395E"/>
    <w:rsid w:val="005D39B7"/>
    <w:rsid w:val="005D3A1C"/>
    <w:rsid w:val="005D3A32"/>
    <w:rsid w:val="005D3A39"/>
    <w:rsid w:val="005D3A66"/>
    <w:rsid w:val="005D3AEC"/>
    <w:rsid w:val="005D3B72"/>
    <w:rsid w:val="005D3B81"/>
    <w:rsid w:val="005D3C0A"/>
    <w:rsid w:val="005D3DAB"/>
    <w:rsid w:val="005D3E73"/>
    <w:rsid w:val="005D3F69"/>
    <w:rsid w:val="005D4038"/>
    <w:rsid w:val="005D4066"/>
    <w:rsid w:val="005D41BF"/>
    <w:rsid w:val="005D421A"/>
    <w:rsid w:val="005D424B"/>
    <w:rsid w:val="005D4272"/>
    <w:rsid w:val="005D431F"/>
    <w:rsid w:val="005D4389"/>
    <w:rsid w:val="005D43F1"/>
    <w:rsid w:val="005D45DC"/>
    <w:rsid w:val="005D46D0"/>
    <w:rsid w:val="005D48DD"/>
    <w:rsid w:val="005D490B"/>
    <w:rsid w:val="005D4A29"/>
    <w:rsid w:val="005D4A3F"/>
    <w:rsid w:val="005D4A44"/>
    <w:rsid w:val="005D4A7C"/>
    <w:rsid w:val="005D4AE8"/>
    <w:rsid w:val="005D4B64"/>
    <w:rsid w:val="005D4B6E"/>
    <w:rsid w:val="005D4B9C"/>
    <w:rsid w:val="005D4BA1"/>
    <w:rsid w:val="005D4BB1"/>
    <w:rsid w:val="005D4BB3"/>
    <w:rsid w:val="005D4BEC"/>
    <w:rsid w:val="005D4BFE"/>
    <w:rsid w:val="005D4C1F"/>
    <w:rsid w:val="005D4D9A"/>
    <w:rsid w:val="005D4E81"/>
    <w:rsid w:val="005D4EB3"/>
    <w:rsid w:val="005D4EBD"/>
    <w:rsid w:val="005D4EFD"/>
    <w:rsid w:val="005D50AB"/>
    <w:rsid w:val="005D50E3"/>
    <w:rsid w:val="005D511C"/>
    <w:rsid w:val="005D514F"/>
    <w:rsid w:val="005D523C"/>
    <w:rsid w:val="005D5352"/>
    <w:rsid w:val="005D53D6"/>
    <w:rsid w:val="005D55CF"/>
    <w:rsid w:val="005D566B"/>
    <w:rsid w:val="005D5695"/>
    <w:rsid w:val="005D5714"/>
    <w:rsid w:val="005D5886"/>
    <w:rsid w:val="005D59F2"/>
    <w:rsid w:val="005D59FC"/>
    <w:rsid w:val="005D5A51"/>
    <w:rsid w:val="005D5B1B"/>
    <w:rsid w:val="005D5BAD"/>
    <w:rsid w:val="005D5BCE"/>
    <w:rsid w:val="005D5C23"/>
    <w:rsid w:val="005D5D15"/>
    <w:rsid w:val="005D5D61"/>
    <w:rsid w:val="005D5EA0"/>
    <w:rsid w:val="005D5F75"/>
    <w:rsid w:val="005D5FD5"/>
    <w:rsid w:val="005D5FF1"/>
    <w:rsid w:val="005D602E"/>
    <w:rsid w:val="005D60D9"/>
    <w:rsid w:val="005D60DF"/>
    <w:rsid w:val="005D60E0"/>
    <w:rsid w:val="005D61CA"/>
    <w:rsid w:val="005D625D"/>
    <w:rsid w:val="005D62DB"/>
    <w:rsid w:val="005D62F1"/>
    <w:rsid w:val="005D6310"/>
    <w:rsid w:val="005D6314"/>
    <w:rsid w:val="005D64BD"/>
    <w:rsid w:val="005D64F9"/>
    <w:rsid w:val="005D654C"/>
    <w:rsid w:val="005D6574"/>
    <w:rsid w:val="005D65C2"/>
    <w:rsid w:val="005D65E8"/>
    <w:rsid w:val="005D6696"/>
    <w:rsid w:val="005D671B"/>
    <w:rsid w:val="005D6892"/>
    <w:rsid w:val="005D68C9"/>
    <w:rsid w:val="005D68F8"/>
    <w:rsid w:val="005D693F"/>
    <w:rsid w:val="005D6A4F"/>
    <w:rsid w:val="005D6B48"/>
    <w:rsid w:val="005D6B82"/>
    <w:rsid w:val="005D6C15"/>
    <w:rsid w:val="005D6CB3"/>
    <w:rsid w:val="005D6D40"/>
    <w:rsid w:val="005D6D49"/>
    <w:rsid w:val="005D6D67"/>
    <w:rsid w:val="005D6DA7"/>
    <w:rsid w:val="005D6DF3"/>
    <w:rsid w:val="005D6ED2"/>
    <w:rsid w:val="005D7003"/>
    <w:rsid w:val="005D7026"/>
    <w:rsid w:val="005D71AD"/>
    <w:rsid w:val="005D71C6"/>
    <w:rsid w:val="005D7289"/>
    <w:rsid w:val="005D72BC"/>
    <w:rsid w:val="005D7478"/>
    <w:rsid w:val="005D752A"/>
    <w:rsid w:val="005D7531"/>
    <w:rsid w:val="005D7533"/>
    <w:rsid w:val="005D75FC"/>
    <w:rsid w:val="005D7694"/>
    <w:rsid w:val="005D76D1"/>
    <w:rsid w:val="005D770A"/>
    <w:rsid w:val="005D7804"/>
    <w:rsid w:val="005D79D8"/>
    <w:rsid w:val="005D7A23"/>
    <w:rsid w:val="005D7A3F"/>
    <w:rsid w:val="005D7C96"/>
    <w:rsid w:val="005D7D2F"/>
    <w:rsid w:val="005D7D4D"/>
    <w:rsid w:val="005D7FF4"/>
    <w:rsid w:val="005E0006"/>
    <w:rsid w:val="005E00D3"/>
    <w:rsid w:val="005E0112"/>
    <w:rsid w:val="005E016B"/>
    <w:rsid w:val="005E01B2"/>
    <w:rsid w:val="005E029D"/>
    <w:rsid w:val="005E039A"/>
    <w:rsid w:val="005E03D8"/>
    <w:rsid w:val="005E0592"/>
    <w:rsid w:val="005E05BC"/>
    <w:rsid w:val="005E05DE"/>
    <w:rsid w:val="005E0637"/>
    <w:rsid w:val="005E06A4"/>
    <w:rsid w:val="005E06C0"/>
    <w:rsid w:val="005E0760"/>
    <w:rsid w:val="005E07CA"/>
    <w:rsid w:val="005E0853"/>
    <w:rsid w:val="005E091D"/>
    <w:rsid w:val="005E09AE"/>
    <w:rsid w:val="005E0AAA"/>
    <w:rsid w:val="005E0ADC"/>
    <w:rsid w:val="005E0B26"/>
    <w:rsid w:val="005E0B2D"/>
    <w:rsid w:val="005E0CD5"/>
    <w:rsid w:val="005E0D97"/>
    <w:rsid w:val="005E0DAA"/>
    <w:rsid w:val="005E0ED8"/>
    <w:rsid w:val="005E0F78"/>
    <w:rsid w:val="005E0FBC"/>
    <w:rsid w:val="005E0FE3"/>
    <w:rsid w:val="005E1064"/>
    <w:rsid w:val="005E11EC"/>
    <w:rsid w:val="005E1346"/>
    <w:rsid w:val="005E14B4"/>
    <w:rsid w:val="005E14C8"/>
    <w:rsid w:val="005E15DF"/>
    <w:rsid w:val="005E1615"/>
    <w:rsid w:val="005E16CF"/>
    <w:rsid w:val="005E16D4"/>
    <w:rsid w:val="005E1733"/>
    <w:rsid w:val="005E17BB"/>
    <w:rsid w:val="005E18E4"/>
    <w:rsid w:val="005E18FB"/>
    <w:rsid w:val="005E18FD"/>
    <w:rsid w:val="005E1A54"/>
    <w:rsid w:val="005E1A83"/>
    <w:rsid w:val="005E1B2E"/>
    <w:rsid w:val="005E1B79"/>
    <w:rsid w:val="005E1BA4"/>
    <w:rsid w:val="005E1D20"/>
    <w:rsid w:val="005E1DDF"/>
    <w:rsid w:val="005E1E0B"/>
    <w:rsid w:val="005E1F58"/>
    <w:rsid w:val="005E1FDA"/>
    <w:rsid w:val="005E1FDE"/>
    <w:rsid w:val="005E2139"/>
    <w:rsid w:val="005E21AC"/>
    <w:rsid w:val="005E2228"/>
    <w:rsid w:val="005E228A"/>
    <w:rsid w:val="005E2294"/>
    <w:rsid w:val="005E22CE"/>
    <w:rsid w:val="005E22D3"/>
    <w:rsid w:val="005E22F7"/>
    <w:rsid w:val="005E2480"/>
    <w:rsid w:val="005E248F"/>
    <w:rsid w:val="005E2493"/>
    <w:rsid w:val="005E24E4"/>
    <w:rsid w:val="005E25E2"/>
    <w:rsid w:val="005E2635"/>
    <w:rsid w:val="005E272A"/>
    <w:rsid w:val="005E2757"/>
    <w:rsid w:val="005E2827"/>
    <w:rsid w:val="005E29FD"/>
    <w:rsid w:val="005E2A61"/>
    <w:rsid w:val="005E2C89"/>
    <w:rsid w:val="005E2CD0"/>
    <w:rsid w:val="005E2CED"/>
    <w:rsid w:val="005E2D72"/>
    <w:rsid w:val="005E2DBE"/>
    <w:rsid w:val="005E2E82"/>
    <w:rsid w:val="005E2F90"/>
    <w:rsid w:val="005E30B6"/>
    <w:rsid w:val="005E330F"/>
    <w:rsid w:val="005E3322"/>
    <w:rsid w:val="005E3332"/>
    <w:rsid w:val="005E334E"/>
    <w:rsid w:val="005E3353"/>
    <w:rsid w:val="005E3551"/>
    <w:rsid w:val="005E35AF"/>
    <w:rsid w:val="005E35C5"/>
    <w:rsid w:val="005E38B3"/>
    <w:rsid w:val="005E395B"/>
    <w:rsid w:val="005E3A51"/>
    <w:rsid w:val="005E3B9A"/>
    <w:rsid w:val="005E3BB9"/>
    <w:rsid w:val="005E3BD5"/>
    <w:rsid w:val="005E3C10"/>
    <w:rsid w:val="005E3D5F"/>
    <w:rsid w:val="005E3D79"/>
    <w:rsid w:val="005E3D93"/>
    <w:rsid w:val="005E3F05"/>
    <w:rsid w:val="005E3F29"/>
    <w:rsid w:val="005E4164"/>
    <w:rsid w:val="005E41FF"/>
    <w:rsid w:val="005E4255"/>
    <w:rsid w:val="005E42DA"/>
    <w:rsid w:val="005E4349"/>
    <w:rsid w:val="005E43EA"/>
    <w:rsid w:val="005E4543"/>
    <w:rsid w:val="005E45BE"/>
    <w:rsid w:val="005E46C3"/>
    <w:rsid w:val="005E46C8"/>
    <w:rsid w:val="005E4763"/>
    <w:rsid w:val="005E4770"/>
    <w:rsid w:val="005E47CF"/>
    <w:rsid w:val="005E47F7"/>
    <w:rsid w:val="005E4860"/>
    <w:rsid w:val="005E48A4"/>
    <w:rsid w:val="005E4934"/>
    <w:rsid w:val="005E493D"/>
    <w:rsid w:val="005E49D7"/>
    <w:rsid w:val="005E4A72"/>
    <w:rsid w:val="005E4A75"/>
    <w:rsid w:val="005E4BE0"/>
    <w:rsid w:val="005E4D30"/>
    <w:rsid w:val="005E4EFD"/>
    <w:rsid w:val="005E4F46"/>
    <w:rsid w:val="005E4FAD"/>
    <w:rsid w:val="005E4FB4"/>
    <w:rsid w:val="005E50BC"/>
    <w:rsid w:val="005E538B"/>
    <w:rsid w:val="005E53C3"/>
    <w:rsid w:val="005E53F7"/>
    <w:rsid w:val="005E549E"/>
    <w:rsid w:val="005E5580"/>
    <w:rsid w:val="005E55CC"/>
    <w:rsid w:val="005E5731"/>
    <w:rsid w:val="005E5763"/>
    <w:rsid w:val="005E591D"/>
    <w:rsid w:val="005E5944"/>
    <w:rsid w:val="005E5A6F"/>
    <w:rsid w:val="005E5B2A"/>
    <w:rsid w:val="005E5BA2"/>
    <w:rsid w:val="005E5BE3"/>
    <w:rsid w:val="005E5CA2"/>
    <w:rsid w:val="005E5CAC"/>
    <w:rsid w:val="005E5D80"/>
    <w:rsid w:val="005E5E46"/>
    <w:rsid w:val="005E5E7A"/>
    <w:rsid w:val="005E5F13"/>
    <w:rsid w:val="005E5FF5"/>
    <w:rsid w:val="005E60F9"/>
    <w:rsid w:val="005E615E"/>
    <w:rsid w:val="005E61BF"/>
    <w:rsid w:val="005E63C4"/>
    <w:rsid w:val="005E64F9"/>
    <w:rsid w:val="005E6509"/>
    <w:rsid w:val="005E65A4"/>
    <w:rsid w:val="005E65B1"/>
    <w:rsid w:val="005E660D"/>
    <w:rsid w:val="005E665A"/>
    <w:rsid w:val="005E66C4"/>
    <w:rsid w:val="005E6743"/>
    <w:rsid w:val="005E675C"/>
    <w:rsid w:val="005E67A6"/>
    <w:rsid w:val="005E689F"/>
    <w:rsid w:val="005E6901"/>
    <w:rsid w:val="005E6AE0"/>
    <w:rsid w:val="005E6B3B"/>
    <w:rsid w:val="005E6B3C"/>
    <w:rsid w:val="005E6BAD"/>
    <w:rsid w:val="005E6C20"/>
    <w:rsid w:val="005E6C46"/>
    <w:rsid w:val="005E6CF2"/>
    <w:rsid w:val="005E6DA9"/>
    <w:rsid w:val="005E6E4B"/>
    <w:rsid w:val="005E6FBF"/>
    <w:rsid w:val="005E705A"/>
    <w:rsid w:val="005E70FC"/>
    <w:rsid w:val="005E7113"/>
    <w:rsid w:val="005E71C7"/>
    <w:rsid w:val="005E71E1"/>
    <w:rsid w:val="005E7264"/>
    <w:rsid w:val="005E7342"/>
    <w:rsid w:val="005E7344"/>
    <w:rsid w:val="005E73AD"/>
    <w:rsid w:val="005E740D"/>
    <w:rsid w:val="005E7469"/>
    <w:rsid w:val="005E7485"/>
    <w:rsid w:val="005E76B2"/>
    <w:rsid w:val="005E76FC"/>
    <w:rsid w:val="005E7A48"/>
    <w:rsid w:val="005E7AB8"/>
    <w:rsid w:val="005E7AE4"/>
    <w:rsid w:val="005E7B7A"/>
    <w:rsid w:val="005E7C24"/>
    <w:rsid w:val="005E7C8D"/>
    <w:rsid w:val="005E7D7A"/>
    <w:rsid w:val="005F0013"/>
    <w:rsid w:val="005F0097"/>
    <w:rsid w:val="005F02A4"/>
    <w:rsid w:val="005F0357"/>
    <w:rsid w:val="005F038F"/>
    <w:rsid w:val="005F03ED"/>
    <w:rsid w:val="005F03F9"/>
    <w:rsid w:val="005F0402"/>
    <w:rsid w:val="005F0454"/>
    <w:rsid w:val="005F0497"/>
    <w:rsid w:val="005F04AA"/>
    <w:rsid w:val="005F04B3"/>
    <w:rsid w:val="005F06C9"/>
    <w:rsid w:val="005F06D0"/>
    <w:rsid w:val="005F07A6"/>
    <w:rsid w:val="005F07A9"/>
    <w:rsid w:val="005F07B8"/>
    <w:rsid w:val="005F07D3"/>
    <w:rsid w:val="005F0812"/>
    <w:rsid w:val="005F0833"/>
    <w:rsid w:val="005F08C0"/>
    <w:rsid w:val="005F08C4"/>
    <w:rsid w:val="005F08E5"/>
    <w:rsid w:val="005F0948"/>
    <w:rsid w:val="005F0968"/>
    <w:rsid w:val="005F096D"/>
    <w:rsid w:val="005F09D9"/>
    <w:rsid w:val="005F0A70"/>
    <w:rsid w:val="005F0B16"/>
    <w:rsid w:val="005F0B64"/>
    <w:rsid w:val="005F0BA3"/>
    <w:rsid w:val="005F0BBD"/>
    <w:rsid w:val="005F0BDD"/>
    <w:rsid w:val="005F0C69"/>
    <w:rsid w:val="005F0C71"/>
    <w:rsid w:val="005F0C87"/>
    <w:rsid w:val="005F0CF5"/>
    <w:rsid w:val="005F0DD9"/>
    <w:rsid w:val="005F0E09"/>
    <w:rsid w:val="005F0E25"/>
    <w:rsid w:val="005F0E3A"/>
    <w:rsid w:val="005F0E47"/>
    <w:rsid w:val="005F0E52"/>
    <w:rsid w:val="005F0EA5"/>
    <w:rsid w:val="005F0F4F"/>
    <w:rsid w:val="005F0FB0"/>
    <w:rsid w:val="005F1081"/>
    <w:rsid w:val="005F10E7"/>
    <w:rsid w:val="005F1232"/>
    <w:rsid w:val="005F1268"/>
    <w:rsid w:val="005F12FF"/>
    <w:rsid w:val="005F1331"/>
    <w:rsid w:val="005F136D"/>
    <w:rsid w:val="005F1384"/>
    <w:rsid w:val="005F138B"/>
    <w:rsid w:val="005F13B6"/>
    <w:rsid w:val="005F13BA"/>
    <w:rsid w:val="005F142E"/>
    <w:rsid w:val="005F147D"/>
    <w:rsid w:val="005F14AB"/>
    <w:rsid w:val="005F152E"/>
    <w:rsid w:val="005F15A6"/>
    <w:rsid w:val="005F15FD"/>
    <w:rsid w:val="005F1610"/>
    <w:rsid w:val="005F16CA"/>
    <w:rsid w:val="005F1720"/>
    <w:rsid w:val="005F172A"/>
    <w:rsid w:val="005F17CE"/>
    <w:rsid w:val="005F17F1"/>
    <w:rsid w:val="005F1864"/>
    <w:rsid w:val="005F1880"/>
    <w:rsid w:val="005F18B9"/>
    <w:rsid w:val="005F1A3B"/>
    <w:rsid w:val="005F1A6C"/>
    <w:rsid w:val="005F1ADB"/>
    <w:rsid w:val="005F1C0F"/>
    <w:rsid w:val="005F1D60"/>
    <w:rsid w:val="005F1DCF"/>
    <w:rsid w:val="005F1DD3"/>
    <w:rsid w:val="005F1E3C"/>
    <w:rsid w:val="005F1EC2"/>
    <w:rsid w:val="005F1ED4"/>
    <w:rsid w:val="005F1F09"/>
    <w:rsid w:val="005F2062"/>
    <w:rsid w:val="005F2101"/>
    <w:rsid w:val="005F2223"/>
    <w:rsid w:val="005F22A0"/>
    <w:rsid w:val="005F239B"/>
    <w:rsid w:val="005F23ED"/>
    <w:rsid w:val="005F241C"/>
    <w:rsid w:val="005F2420"/>
    <w:rsid w:val="005F2482"/>
    <w:rsid w:val="005F24EA"/>
    <w:rsid w:val="005F25F1"/>
    <w:rsid w:val="005F262F"/>
    <w:rsid w:val="005F2686"/>
    <w:rsid w:val="005F26B6"/>
    <w:rsid w:val="005F26F2"/>
    <w:rsid w:val="005F2860"/>
    <w:rsid w:val="005F2A0D"/>
    <w:rsid w:val="005F2B4E"/>
    <w:rsid w:val="005F2BAD"/>
    <w:rsid w:val="005F2BCE"/>
    <w:rsid w:val="005F2D09"/>
    <w:rsid w:val="005F2D58"/>
    <w:rsid w:val="005F2D7D"/>
    <w:rsid w:val="005F2E1E"/>
    <w:rsid w:val="005F2E7D"/>
    <w:rsid w:val="005F2F10"/>
    <w:rsid w:val="005F2F97"/>
    <w:rsid w:val="005F300D"/>
    <w:rsid w:val="005F30BC"/>
    <w:rsid w:val="005F30BD"/>
    <w:rsid w:val="005F318F"/>
    <w:rsid w:val="005F31FA"/>
    <w:rsid w:val="005F336F"/>
    <w:rsid w:val="005F33AA"/>
    <w:rsid w:val="005F340E"/>
    <w:rsid w:val="005F3439"/>
    <w:rsid w:val="005F34D5"/>
    <w:rsid w:val="005F36EB"/>
    <w:rsid w:val="005F3716"/>
    <w:rsid w:val="005F3738"/>
    <w:rsid w:val="005F3744"/>
    <w:rsid w:val="005F381F"/>
    <w:rsid w:val="005F38FC"/>
    <w:rsid w:val="005F394D"/>
    <w:rsid w:val="005F3959"/>
    <w:rsid w:val="005F3A8C"/>
    <w:rsid w:val="005F3B2C"/>
    <w:rsid w:val="005F3BAB"/>
    <w:rsid w:val="005F3BC1"/>
    <w:rsid w:val="005F3C3A"/>
    <w:rsid w:val="005F3C43"/>
    <w:rsid w:val="005F3CCB"/>
    <w:rsid w:val="005F3D74"/>
    <w:rsid w:val="005F3E16"/>
    <w:rsid w:val="005F3E3B"/>
    <w:rsid w:val="005F3EC2"/>
    <w:rsid w:val="005F3EC3"/>
    <w:rsid w:val="005F3F1B"/>
    <w:rsid w:val="005F3FD3"/>
    <w:rsid w:val="005F3FF8"/>
    <w:rsid w:val="005F407F"/>
    <w:rsid w:val="005F4089"/>
    <w:rsid w:val="005F40B9"/>
    <w:rsid w:val="005F40C9"/>
    <w:rsid w:val="005F4108"/>
    <w:rsid w:val="005F4124"/>
    <w:rsid w:val="005F4272"/>
    <w:rsid w:val="005F42D3"/>
    <w:rsid w:val="005F42F2"/>
    <w:rsid w:val="005F438D"/>
    <w:rsid w:val="005F43A5"/>
    <w:rsid w:val="005F43B4"/>
    <w:rsid w:val="005F4513"/>
    <w:rsid w:val="005F4599"/>
    <w:rsid w:val="005F4627"/>
    <w:rsid w:val="005F46B4"/>
    <w:rsid w:val="005F46B9"/>
    <w:rsid w:val="005F47A0"/>
    <w:rsid w:val="005F4883"/>
    <w:rsid w:val="005F4918"/>
    <w:rsid w:val="005F4A2B"/>
    <w:rsid w:val="005F4A91"/>
    <w:rsid w:val="005F4B17"/>
    <w:rsid w:val="005F4B82"/>
    <w:rsid w:val="005F4BC6"/>
    <w:rsid w:val="005F4BDE"/>
    <w:rsid w:val="005F4C30"/>
    <w:rsid w:val="005F4C68"/>
    <w:rsid w:val="005F4D42"/>
    <w:rsid w:val="005F4D7C"/>
    <w:rsid w:val="005F4E40"/>
    <w:rsid w:val="005F502B"/>
    <w:rsid w:val="005F5045"/>
    <w:rsid w:val="005F5075"/>
    <w:rsid w:val="005F50C6"/>
    <w:rsid w:val="005F50D4"/>
    <w:rsid w:val="005F5160"/>
    <w:rsid w:val="005F5174"/>
    <w:rsid w:val="005F51B0"/>
    <w:rsid w:val="005F5268"/>
    <w:rsid w:val="005F5318"/>
    <w:rsid w:val="005F541A"/>
    <w:rsid w:val="005F548A"/>
    <w:rsid w:val="005F54BE"/>
    <w:rsid w:val="005F54D6"/>
    <w:rsid w:val="005F54DC"/>
    <w:rsid w:val="005F54DD"/>
    <w:rsid w:val="005F5534"/>
    <w:rsid w:val="005F559E"/>
    <w:rsid w:val="005F560B"/>
    <w:rsid w:val="005F5631"/>
    <w:rsid w:val="005F5686"/>
    <w:rsid w:val="005F5697"/>
    <w:rsid w:val="005F571C"/>
    <w:rsid w:val="005F5805"/>
    <w:rsid w:val="005F5879"/>
    <w:rsid w:val="005F59BC"/>
    <w:rsid w:val="005F59D8"/>
    <w:rsid w:val="005F5A05"/>
    <w:rsid w:val="005F5A45"/>
    <w:rsid w:val="005F5B53"/>
    <w:rsid w:val="005F5BCF"/>
    <w:rsid w:val="005F5DAD"/>
    <w:rsid w:val="005F5F18"/>
    <w:rsid w:val="005F5F32"/>
    <w:rsid w:val="005F60A3"/>
    <w:rsid w:val="005F6121"/>
    <w:rsid w:val="005F618C"/>
    <w:rsid w:val="005F619A"/>
    <w:rsid w:val="005F627F"/>
    <w:rsid w:val="005F62B2"/>
    <w:rsid w:val="005F632E"/>
    <w:rsid w:val="005F6366"/>
    <w:rsid w:val="005F6368"/>
    <w:rsid w:val="005F637F"/>
    <w:rsid w:val="005F639B"/>
    <w:rsid w:val="005F6447"/>
    <w:rsid w:val="005F6467"/>
    <w:rsid w:val="005F6479"/>
    <w:rsid w:val="005F66E5"/>
    <w:rsid w:val="005F676F"/>
    <w:rsid w:val="005F6784"/>
    <w:rsid w:val="005F67FC"/>
    <w:rsid w:val="005F6835"/>
    <w:rsid w:val="005F68B1"/>
    <w:rsid w:val="005F6926"/>
    <w:rsid w:val="005F694A"/>
    <w:rsid w:val="005F6A73"/>
    <w:rsid w:val="005F6ABF"/>
    <w:rsid w:val="005F6AF4"/>
    <w:rsid w:val="005F6B72"/>
    <w:rsid w:val="005F6BB4"/>
    <w:rsid w:val="005F6C00"/>
    <w:rsid w:val="005F6C11"/>
    <w:rsid w:val="005F6CAA"/>
    <w:rsid w:val="005F6D5D"/>
    <w:rsid w:val="005F6E21"/>
    <w:rsid w:val="005F6EC0"/>
    <w:rsid w:val="005F6F1A"/>
    <w:rsid w:val="005F6FBA"/>
    <w:rsid w:val="005F701A"/>
    <w:rsid w:val="005F701F"/>
    <w:rsid w:val="005F70A1"/>
    <w:rsid w:val="005F70A7"/>
    <w:rsid w:val="005F70AE"/>
    <w:rsid w:val="005F711F"/>
    <w:rsid w:val="005F721B"/>
    <w:rsid w:val="005F726A"/>
    <w:rsid w:val="005F730C"/>
    <w:rsid w:val="005F7477"/>
    <w:rsid w:val="005F753F"/>
    <w:rsid w:val="005F75C8"/>
    <w:rsid w:val="005F765D"/>
    <w:rsid w:val="005F7667"/>
    <w:rsid w:val="005F780C"/>
    <w:rsid w:val="005F7831"/>
    <w:rsid w:val="005F7903"/>
    <w:rsid w:val="005F7918"/>
    <w:rsid w:val="005F79B7"/>
    <w:rsid w:val="005F7A8F"/>
    <w:rsid w:val="005F7AE2"/>
    <w:rsid w:val="005F7B15"/>
    <w:rsid w:val="005F7BCE"/>
    <w:rsid w:val="005F7BD4"/>
    <w:rsid w:val="005F7BF0"/>
    <w:rsid w:val="005F7BFA"/>
    <w:rsid w:val="005F7C56"/>
    <w:rsid w:val="005F7C72"/>
    <w:rsid w:val="005F7CB7"/>
    <w:rsid w:val="005F7D2C"/>
    <w:rsid w:val="005F7DBF"/>
    <w:rsid w:val="005F7E3B"/>
    <w:rsid w:val="005F7E3D"/>
    <w:rsid w:val="005F7F2B"/>
    <w:rsid w:val="00600076"/>
    <w:rsid w:val="006000A5"/>
    <w:rsid w:val="0060012B"/>
    <w:rsid w:val="0060015E"/>
    <w:rsid w:val="0060019F"/>
    <w:rsid w:val="006001FA"/>
    <w:rsid w:val="0060021F"/>
    <w:rsid w:val="006002A7"/>
    <w:rsid w:val="006002AF"/>
    <w:rsid w:val="00600310"/>
    <w:rsid w:val="00600331"/>
    <w:rsid w:val="006003C0"/>
    <w:rsid w:val="0060059C"/>
    <w:rsid w:val="006005BA"/>
    <w:rsid w:val="006005E3"/>
    <w:rsid w:val="00600725"/>
    <w:rsid w:val="00600767"/>
    <w:rsid w:val="00600788"/>
    <w:rsid w:val="006007E5"/>
    <w:rsid w:val="006007F5"/>
    <w:rsid w:val="006009D9"/>
    <w:rsid w:val="00600A52"/>
    <w:rsid w:val="00600A9B"/>
    <w:rsid w:val="00600AE5"/>
    <w:rsid w:val="00600B1E"/>
    <w:rsid w:val="00600C3A"/>
    <w:rsid w:val="00600C9C"/>
    <w:rsid w:val="00600CD2"/>
    <w:rsid w:val="00600D4C"/>
    <w:rsid w:val="00600E5A"/>
    <w:rsid w:val="00600E90"/>
    <w:rsid w:val="00600F09"/>
    <w:rsid w:val="00600F45"/>
    <w:rsid w:val="00600F9E"/>
    <w:rsid w:val="00601120"/>
    <w:rsid w:val="00601191"/>
    <w:rsid w:val="00601208"/>
    <w:rsid w:val="00601387"/>
    <w:rsid w:val="006013FC"/>
    <w:rsid w:val="0060142E"/>
    <w:rsid w:val="0060146D"/>
    <w:rsid w:val="00601684"/>
    <w:rsid w:val="00601832"/>
    <w:rsid w:val="006018F2"/>
    <w:rsid w:val="0060197E"/>
    <w:rsid w:val="00601B0C"/>
    <w:rsid w:val="00601B0D"/>
    <w:rsid w:val="00601B0E"/>
    <w:rsid w:val="00601B12"/>
    <w:rsid w:val="00601BBC"/>
    <w:rsid w:val="00601BDE"/>
    <w:rsid w:val="00601BED"/>
    <w:rsid w:val="00601BF6"/>
    <w:rsid w:val="00601C90"/>
    <w:rsid w:val="00601CA0"/>
    <w:rsid w:val="00601CB8"/>
    <w:rsid w:val="00601CCE"/>
    <w:rsid w:val="00601D28"/>
    <w:rsid w:val="00601D4E"/>
    <w:rsid w:val="00601D58"/>
    <w:rsid w:val="00601E85"/>
    <w:rsid w:val="00601F9B"/>
    <w:rsid w:val="00601FB2"/>
    <w:rsid w:val="0060201D"/>
    <w:rsid w:val="0060208B"/>
    <w:rsid w:val="006020CE"/>
    <w:rsid w:val="00602132"/>
    <w:rsid w:val="006021D0"/>
    <w:rsid w:val="006021F8"/>
    <w:rsid w:val="0060236A"/>
    <w:rsid w:val="00602373"/>
    <w:rsid w:val="0060241D"/>
    <w:rsid w:val="0060243F"/>
    <w:rsid w:val="0060253D"/>
    <w:rsid w:val="0060253E"/>
    <w:rsid w:val="006025ED"/>
    <w:rsid w:val="006026D3"/>
    <w:rsid w:val="0060291F"/>
    <w:rsid w:val="00602934"/>
    <w:rsid w:val="00602A12"/>
    <w:rsid w:val="00602A2B"/>
    <w:rsid w:val="00602A4C"/>
    <w:rsid w:val="00602C21"/>
    <w:rsid w:val="00602C4C"/>
    <w:rsid w:val="00602CE4"/>
    <w:rsid w:val="00602D6C"/>
    <w:rsid w:val="00602E24"/>
    <w:rsid w:val="00602F11"/>
    <w:rsid w:val="00602F9E"/>
    <w:rsid w:val="00602FC1"/>
    <w:rsid w:val="00602FE0"/>
    <w:rsid w:val="00602FF2"/>
    <w:rsid w:val="00603000"/>
    <w:rsid w:val="00603071"/>
    <w:rsid w:val="006030CF"/>
    <w:rsid w:val="006030F5"/>
    <w:rsid w:val="00603122"/>
    <w:rsid w:val="006031B3"/>
    <w:rsid w:val="006031D8"/>
    <w:rsid w:val="006031FC"/>
    <w:rsid w:val="00603277"/>
    <w:rsid w:val="00603507"/>
    <w:rsid w:val="006035B1"/>
    <w:rsid w:val="006035BF"/>
    <w:rsid w:val="006035E6"/>
    <w:rsid w:val="00603621"/>
    <w:rsid w:val="006036AF"/>
    <w:rsid w:val="006038EB"/>
    <w:rsid w:val="00603935"/>
    <w:rsid w:val="006039B6"/>
    <w:rsid w:val="00603AA5"/>
    <w:rsid w:val="00603AC7"/>
    <w:rsid w:val="00603B84"/>
    <w:rsid w:val="00603B95"/>
    <w:rsid w:val="00603C34"/>
    <w:rsid w:val="00603C65"/>
    <w:rsid w:val="00603C70"/>
    <w:rsid w:val="00603C76"/>
    <w:rsid w:val="00603C9C"/>
    <w:rsid w:val="00603CA7"/>
    <w:rsid w:val="00603CAF"/>
    <w:rsid w:val="00603CF4"/>
    <w:rsid w:val="00603EDC"/>
    <w:rsid w:val="00603EE6"/>
    <w:rsid w:val="00603F6B"/>
    <w:rsid w:val="00604024"/>
    <w:rsid w:val="006042D2"/>
    <w:rsid w:val="00604417"/>
    <w:rsid w:val="00604470"/>
    <w:rsid w:val="0060448E"/>
    <w:rsid w:val="0060468E"/>
    <w:rsid w:val="00604691"/>
    <w:rsid w:val="0060469A"/>
    <w:rsid w:val="006046FB"/>
    <w:rsid w:val="00604750"/>
    <w:rsid w:val="0060480D"/>
    <w:rsid w:val="0060481A"/>
    <w:rsid w:val="00604829"/>
    <w:rsid w:val="00604908"/>
    <w:rsid w:val="00604924"/>
    <w:rsid w:val="00604971"/>
    <w:rsid w:val="00604A90"/>
    <w:rsid w:val="00604AA9"/>
    <w:rsid w:val="00604B1E"/>
    <w:rsid w:val="00604B29"/>
    <w:rsid w:val="00604BFA"/>
    <w:rsid w:val="00604C92"/>
    <w:rsid w:val="00604D8E"/>
    <w:rsid w:val="00604DB4"/>
    <w:rsid w:val="00604DC3"/>
    <w:rsid w:val="00604E2F"/>
    <w:rsid w:val="00604E60"/>
    <w:rsid w:val="00604E95"/>
    <w:rsid w:val="00604EC0"/>
    <w:rsid w:val="00604F19"/>
    <w:rsid w:val="00604FBF"/>
    <w:rsid w:val="00605042"/>
    <w:rsid w:val="006051F4"/>
    <w:rsid w:val="00605228"/>
    <w:rsid w:val="0060525D"/>
    <w:rsid w:val="00605285"/>
    <w:rsid w:val="006052F5"/>
    <w:rsid w:val="0060530F"/>
    <w:rsid w:val="00605438"/>
    <w:rsid w:val="0060543F"/>
    <w:rsid w:val="006054F5"/>
    <w:rsid w:val="00605541"/>
    <w:rsid w:val="00605569"/>
    <w:rsid w:val="00605582"/>
    <w:rsid w:val="0060571F"/>
    <w:rsid w:val="00605843"/>
    <w:rsid w:val="00605876"/>
    <w:rsid w:val="00605897"/>
    <w:rsid w:val="006058D2"/>
    <w:rsid w:val="006058F1"/>
    <w:rsid w:val="00605924"/>
    <w:rsid w:val="00605AEF"/>
    <w:rsid w:val="00605B3E"/>
    <w:rsid w:val="00605B42"/>
    <w:rsid w:val="00605BB9"/>
    <w:rsid w:val="00605DAD"/>
    <w:rsid w:val="00605DB5"/>
    <w:rsid w:val="00605DB7"/>
    <w:rsid w:val="00605FE9"/>
    <w:rsid w:val="00606028"/>
    <w:rsid w:val="00606119"/>
    <w:rsid w:val="00606145"/>
    <w:rsid w:val="00606226"/>
    <w:rsid w:val="0060622E"/>
    <w:rsid w:val="0060624D"/>
    <w:rsid w:val="006062B7"/>
    <w:rsid w:val="00606308"/>
    <w:rsid w:val="00606431"/>
    <w:rsid w:val="00606442"/>
    <w:rsid w:val="006064BE"/>
    <w:rsid w:val="0060653D"/>
    <w:rsid w:val="006065F6"/>
    <w:rsid w:val="0060677C"/>
    <w:rsid w:val="006067C0"/>
    <w:rsid w:val="006068C3"/>
    <w:rsid w:val="006068F5"/>
    <w:rsid w:val="00606946"/>
    <w:rsid w:val="0060696E"/>
    <w:rsid w:val="006069C9"/>
    <w:rsid w:val="00606A3A"/>
    <w:rsid w:val="00606ADB"/>
    <w:rsid w:val="00606B40"/>
    <w:rsid w:val="00606C79"/>
    <w:rsid w:val="00606C9A"/>
    <w:rsid w:val="00606D93"/>
    <w:rsid w:val="00606DE7"/>
    <w:rsid w:val="00606E1F"/>
    <w:rsid w:val="00606E26"/>
    <w:rsid w:val="00606F73"/>
    <w:rsid w:val="00606F99"/>
    <w:rsid w:val="00606FD6"/>
    <w:rsid w:val="0060711E"/>
    <w:rsid w:val="00607177"/>
    <w:rsid w:val="0060725D"/>
    <w:rsid w:val="006072C0"/>
    <w:rsid w:val="006072D5"/>
    <w:rsid w:val="006072F2"/>
    <w:rsid w:val="0060745D"/>
    <w:rsid w:val="00607554"/>
    <w:rsid w:val="00607562"/>
    <w:rsid w:val="00607564"/>
    <w:rsid w:val="006075CA"/>
    <w:rsid w:val="00607613"/>
    <w:rsid w:val="006076EA"/>
    <w:rsid w:val="00607706"/>
    <w:rsid w:val="006077B9"/>
    <w:rsid w:val="00607929"/>
    <w:rsid w:val="00607947"/>
    <w:rsid w:val="0060798A"/>
    <w:rsid w:val="006079A4"/>
    <w:rsid w:val="00607C27"/>
    <w:rsid w:val="00607CD1"/>
    <w:rsid w:val="00607F06"/>
    <w:rsid w:val="00607F31"/>
    <w:rsid w:val="00607F98"/>
    <w:rsid w:val="0061006A"/>
    <w:rsid w:val="00610099"/>
    <w:rsid w:val="006100D6"/>
    <w:rsid w:val="0061014A"/>
    <w:rsid w:val="0061023D"/>
    <w:rsid w:val="006102C6"/>
    <w:rsid w:val="0061035C"/>
    <w:rsid w:val="00610425"/>
    <w:rsid w:val="00610488"/>
    <w:rsid w:val="006104D5"/>
    <w:rsid w:val="00610512"/>
    <w:rsid w:val="0061054E"/>
    <w:rsid w:val="00610577"/>
    <w:rsid w:val="00610578"/>
    <w:rsid w:val="00610594"/>
    <w:rsid w:val="00610669"/>
    <w:rsid w:val="0061067B"/>
    <w:rsid w:val="00610725"/>
    <w:rsid w:val="0061074C"/>
    <w:rsid w:val="00610765"/>
    <w:rsid w:val="00610774"/>
    <w:rsid w:val="00610790"/>
    <w:rsid w:val="0061081D"/>
    <w:rsid w:val="006108BA"/>
    <w:rsid w:val="00610A44"/>
    <w:rsid w:val="00610B0A"/>
    <w:rsid w:val="00610B3C"/>
    <w:rsid w:val="00610B56"/>
    <w:rsid w:val="00610CB1"/>
    <w:rsid w:val="00610D08"/>
    <w:rsid w:val="00610DB2"/>
    <w:rsid w:val="00610E1E"/>
    <w:rsid w:val="00610EC9"/>
    <w:rsid w:val="00610EFF"/>
    <w:rsid w:val="00610F0B"/>
    <w:rsid w:val="00611070"/>
    <w:rsid w:val="00611253"/>
    <w:rsid w:val="00611254"/>
    <w:rsid w:val="006112A4"/>
    <w:rsid w:val="006112AD"/>
    <w:rsid w:val="006112E0"/>
    <w:rsid w:val="0061147D"/>
    <w:rsid w:val="00611488"/>
    <w:rsid w:val="0061149B"/>
    <w:rsid w:val="00611521"/>
    <w:rsid w:val="00611546"/>
    <w:rsid w:val="00611704"/>
    <w:rsid w:val="0061184A"/>
    <w:rsid w:val="00611870"/>
    <w:rsid w:val="0061188B"/>
    <w:rsid w:val="006118D1"/>
    <w:rsid w:val="0061190E"/>
    <w:rsid w:val="00611948"/>
    <w:rsid w:val="0061199D"/>
    <w:rsid w:val="00611AD3"/>
    <w:rsid w:val="00611B57"/>
    <w:rsid w:val="00611BBE"/>
    <w:rsid w:val="00611C37"/>
    <w:rsid w:val="00611C58"/>
    <w:rsid w:val="00611D14"/>
    <w:rsid w:val="00611DEF"/>
    <w:rsid w:val="00611EC6"/>
    <w:rsid w:val="00611F3D"/>
    <w:rsid w:val="00611F49"/>
    <w:rsid w:val="00611F79"/>
    <w:rsid w:val="00612039"/>
    <w:rsid w:val="00612087"/>
    <w:rsid w:val="00612094"/>
    <w:rsid w:val="0061222D"/>
    <w:rsid w:val="00612242"/>
    <w:rsid w:val="006122C4"/>
    <w:rsid w:val="006123D6"/>
    <w:rsid w:val="0061240D"/>
    <w:rsid w:val="00612429"/>
    <w:rsid w:val="00612492"/>
    <w:rsid w:val="006124E5"/>
    <w:rsid w:val="0061251D"/>
    <w:rsid w:val="00612602"/>
    <w:rsid w:val="0061262C"/>
    <w:rsid w:val="00612667"/>
    <w:rsid w:val="0061274D"/>
    <w:rsid w:val="006128C5"/>
    <w:rsid w:val="00612906"/>
    <w:rsid w:val="00612964"/>
    <w:rsid w:val="00612A82"/>
    <w:rsid w:val="00612AB4"/>
    <w:rsid w:val="00612B6B"/>
    <w:rsid w:val="00612BC3"/>
    <w:rsid w:val="00612BF9"/>
    <w:rsid w:val="00612CA0"/>
    <w:rsid w:val="00612CAD"/>
    <w:rsid w:val="00612D2C"/>
    <w:rsid w:val="00612EC3"/>
    <w:rsid w:val="00612F8E"/>
    <w:rsid w:val="00612F94"/>
    <w:rsid w:val="00613081"/>
    <w:rsid w:val="00613164"/>
    <w:rsid w:val="006131B3"/>
    <w:rsid w:val="00613204"/>
    <w:rsid w:val="006133C5"/>
    <w:rsid w:val="0061348D"/>
    <w:rsid w:val="006134A6"/>
    <w:rsid w:val="0061354B"/>
    <w:rsid w:val="006135C0"/>
    <w:rsid w:val="00613643"/>
    <w:rsid w:val="0061366F"/>
    <w:rsid w:val="006137B9"/>
    <w:rsid w:val="006137DB"/>
    <w:rsid w:val="006137E8"/>
    <w:rsid w:val="0061387B"/>
    <w:rsid w:val="00613921"/>
    <w:rsid w:val="00613AC1"/>
    <w:rsid w:val="00613DA8"/>
    <w:rsid w:val="00613DD3"/>
    <w:rsid w:val="00613E20"/>
    <w:rsid w:val="00613E31"/>
    <w:rsid w:val="00613F79"/>
    <w:rsid w:val="00613F81"/>
    <w:rsid w:val="00614110"/>
    <w:rsid w:val="00614123"/>
    <w:rsid w:val="006141E1"/>
    <w:rsid w:val="006142B0"/>
    <w:rsid w:val="006143F4"/>
    <w:rsid w:val="00614409"/>
    <w:rsid w:val="00614436"/>
    <w:rsid w:val="006144E1"/>
    <w:rsid w:val="00614664"/>
    <w:rsid w:val="006146EA"/>
    <w:rsid w:val="00614739"/>
    <w:rsid w:val="0061476A"/>
    <w:rsid w:val="00614774"/>
    <w:rsid w:val="00614854"/>
    <w:rsid w:val="00614866"/>
    <w:rsid w:val="006148AA"/>
    <w:rsid w:val="0061491C"/>
    <w:rsid w:val="006149D6"/>
    <w:rsid w:val="00614A19"/>
    <w:rsid w:val="00614A2D"/>
    <w:rsid w:val="00614CA4"/>
    <w:rsid w:val="00614D4C"/>
    <w:rsid w:val="00614D4E"/>
    <w:rsid w:val="00614DB1"/>
    <w:rsid w:val="00614DDD"/>
    <w:rsid w:val="00614E44"/>
    <w:rsid w:val="00614ECB"/>
    <w:rsid w:val="00614ED4"/>
    <w:rsid w:val="00614F0A"/>
    <w:rsid w:val="00614F38"/>
    <w:rsid w:val="00614F99"/>
    <w:rsid w:val="00615089"/>
    <w:rsid w:val="006150B8"/>
    <w:rsid w:val="00615103"/>
    <w:rsid w:val="00615273"/>
    <w:rsid w:val="00615393"/>
    <w:rsid w:val="00615490"/>
    <w:rsid w:val="0061566B"/>
    <w:rsid w:val="0061567F"/>
    <w:rsid w:val="006157CA"/>
    <w:rsid w:val="0061588F"/>
    <w:rsid w:val="00615958"/>
    <w:rsid w:val="006159D6"/>
    <w:rsid w:val="00615B4B"/>
    <w:rsid w:val="00615C0E"/>
    <w:rsid w:val="00615D47"/>
    <w:rsid w:val="00615DCA"/>
    <w:rsid w:val="00615E2D"/>
    <w:rsid w:val="00615E72"/>
    <w:rsid w:val="00615E9E"/>
    <w:rsid w:val="00615F00"/>
    <w:rsid w:val="00615F13"/>
    <w:rsid w:val="00615F9A"/>
    <w:rsid w:val="00615FE1"/>
    <w:rsid w:val="00615FEB"/>
    <w:rsid w:val="0061611C"/>
    <w:rsid w:val="0061615E"/>
    <w:rsid w:val="006161B8"/>
    <w:rsid w:val="006161C4"/>
    <w:rsid w:val="006161FA"/>
    <w:rsid w:val="006163E8"/>
    <w:rsid w:val="00616415"/>
    <w:rsid w:val="00616431"/>
    <w:rsid w:val="0061644E"/>
    <w:rsid w:val="0061657F"/>
    <w:rsid w:val="0061660A"/>
    <w:rsid w:val="0061664D"/>
    <w:rsid w:val="006166C3"/>
    <w:rsid w:val="00616781"/>
    <w:rsid w:val="006167C8"/>
    <w:rsid w:val="00616890"/>
    <w:rsid w:val="006168FA"/>
    <w:rsid w:val="00616940"/>
    <w:rsid w:val="0061697D"/>
    <w:rsid w:val="0061699E"/>
    <w:rsid w:val="006169A1"/>
    <w:rsid w:val="00616A58"/>
    <w:rsid w:val="00616A68"/>
    <w:rsid w:val="00616A90"/>
    <w:rsid w:val="00616B61"/>
    <w:rsid w:val="00616C54"/>
    <w:rsid w:val="00616D53"/>
    <w:rsid w:val="00616F81"/>
    <w:rsid w:val="006171B0"/>
    <w:rsid w:val="0061727F"/>
    <w:rsid w:val="0061740F"/>
    <w:rsid w:val="00617432"/>
    <w:rsid w:val="00617436"/>
    <w:rsid w:val="00617581"/>
    <w:rsid w:val="0061758C"/>
    <w:rsid w:val="0061765C"/>
    <w:rsid w:val="00617684"/>
    <w:rsid w:val="006179EF"/>
    <w:rsid w:val="00617A02"/>
    <w:rsid w:val="00617A04"/>
    <w:rsid w:val="00617A53"/>
    <w:rsid w:val="00617A7E"/>
    <w:rsid w:val="00617AE5"/>
    <w:rsid w:val="00617B70"/>
    <w:rsid w:val="00617BBD"/>
    <w:rsid w:val="00617CA5"/>
    <w:rsid w:val="00617CC7"/>
    <w:rsid w:val="00617E72"/>
    <w:rsid w:val="00617ED7"/>
    <w:rsid w:val="00617EF3"/>
    <w:rsid w:val="0062012A"/>
    <w:rsid w:val="0062015D"/>
    <w:rsid w:val="00620182"/>
    <w:rsid w:val="00620189"/>
    <w:rsid w:val="006201DC"/>
    <w:rsid w:val="00620209"/>
    <w:rsid w:val="006202F3"/>
    <w:rsid w:val="006203E4"/>
    <w:rsid w:val="006203F2"/>
    <w:rsid w:val="00620452"/>
    <w:rsid w:val="00620476"/>
    <w:rsid w:val="00620495"/>
    <w:rsid w:val="006204A0"/>
    <w:rsid w:val="006204A8"/>
    <w:rsid w:val="006204B2"/>
    <w:rsid w:val="0062057B"/>
    <w:rsid w:val="006205E3"/>
    <w:rsid w:val="006205EA"/>
    <w:rsid w:val="0062062F"/>
    <w:rsid w:val="00620637"/>
    <w:rsid w:val="00620772"/>
    <w:rsid w:val="00620792"/>
    <w:rsid w:val="006207FB"/>
    <w:rsid w:val="00620A8D"/>
    <w:rsid w:val="00620C03"/>
    <w:rsid w:val="00620D3A"/>
    <w:rsid w:val="00620ED8"/>
    <w:rsid w:val="00620F4D"/>
    <w:rsid w:val="00620F70"/>
    <w:rsid w:val="0062105E"/>
    <w:rsid w:val="006210AA"/>
    <w:rsid w:val="00621127"/>
    <w:rsid w:val="006212F2"/>
    <w:rsid w:val="006213F4"/>
    <w:rsid w:val="0062141A"/>
    <w:rsid w:val="00621555"/>
    <w:rsid w:val="0062166D"/>
    <w:rsid w:val="0062172F"/>
    <w:rsid w:val="00621796"/>
    <w:rsid w:val="006217BE"/>
    <w:rsid w:val="00621889"/>
    <w:rsid w:val="00621A15"/>
    <w:rsid w:val="00621A2C"/>
    <w:rsid w:val="00621A3E"/>
    <w:rsid w:val="00621B93"/>
    <w:rsid w:val="00621CE0"/>
    <w:rsid w:val="00621D71"/>
    <w:rsid w:val="00621EA1"/>
    <w:rsid w:val="00621F02"/>
    <w:rsid w:val="00621F41"/>
    <w:rsid w:val="00621FA0"/>
    <w:rsid w:val="00621FA8"/>
    <w:rsid w:val="00621FEA"/>
    <w:rsid w:val="006220B9"/>
    <w:rsid w:val="00622121"/>
    <w:rsid w:val="006221A0"/>
    <w:rsid w:val="00622257"/>
    <w:rsid w:val="0062228A"/>
    <w:rsid w:val="006222CD"/>
    <w:rsid w:val="006223E5"/>
    <w:rsid w:val="006224CA"/>
    <w:rsid w:val="006224DA"/>
    <w:rsid w:val="0062250B"/>
    <w:rsid w:val="00622534"/>
    <w:rsid w:val="0062256D"/>
    <w:rsid w:val="0062258C"/>
    <w:rsid w:val="00622618"/>
    <w:rsid w:val="00622677"/>
    <w:rsid w:val="0062268B"/>
    <w:rsid w:val="0062269B"/>
    <w:rsid w:val="0062279E"/>
    <w:rsid w:val="006228E2"/>
    <w:rsid w:val="006229B0"/>
    <w:rsid w:val="00622A6F"/>
    <w:rsid w:val="00622A73"/>
    <w:rsid w:val="00622AA1"/>
    <w:rsid w:val="00622B08"/>
    <w:rsid w:val="00622B1F"/>
    <w:rsid w:val="00622B25"/>
    <w:rsid w:val="00622B45"/>
    <w:rsid w:val="00622B60"/>
    <w:rsid w:val="00622BE8"/>
    <w:rsid w:val="00622CC1"/>
    <w:rsid w:val="00622CF5"/>
    <w:rsid w:val="00622D36"/>
    <w:rsid w:val="00622E88"/>
    <w:rsid w:val="00622F04"/>
    <w:rsid w:val="00622F68"/>
    <w:rsid w:val="00622F7A"/>
    <w:rsid w:val="00622FAA"/>
    <w:rsid w:val="00622FB0"/>
    <w:rsid w:val="00622FFF"/>
    <w:rsid w:val="0062300E"/>
    <w:rsid w:val="0062301C"/>
    <w:rsid w:val="0062301D"/>
    <w:rsid w:val="0062304D"/>
    <w:rsid w:val="00623116"/>
    <w:rsid w:val="00623278"/>
    <w:rsid w:val="00623282"/>
    <w:rsid w:val="006232F0"/>
    <w:rsid w:val="00623356"/>
    <w:rsid w:val="0062335B"/>
    <w:rsid w:val="00623372"/>
    <w:rsid w:val="006233AE"/>
    <w:rsid w:val="006233FC"/>
    <w:rsid w:val="00623418"/>
    <w:rsid w:val="006234C1"/>
    <w:rsid w:val="006234CF"/>
    <w:rsid w:val="006234EA"/>
    <w:rsid w:val="006234EC"/>
    <w:rsid w:val="0062359D"/>
    <w:rsid w:val="006235A5"/>
    <w:rsid w:val="00623600"/>
    <w:rsid w:val="0062366B"/>
    <w:rsid w:val="00623671"/>
    <w:rsid w:val="00623717"/>
    <w:rsid w:val="006237A1"/>
    <w:rsid w:val="006237AA"/>
    <w:rsid w:val="006237E0"/>
    <w:rsid w:val="006237F4"/>
    <w:rsid w:val="006237F8"/>
    <w:rsid w:val="00623879"/>
    <w:rsid w:val="0062387B"/>
    <w:rsid w:val="0062388F"/>
    <w:rsid w:val="0062396A"/>
    <w:rsid w:val="006239E3"/>
    <w:rsid w:val="006239F5"/>
    <w:rsid w:val="00623ACD"/>
    <w:rsid w:val="00623B14"/>
    <w:rsid w:val="00623B4C"/>
    <w:rsid w:val="00623BB1"/>
    <w:rsid w:val="00623C46"/>
    <w:rsid w:val="00623C5F"/>
    <w:rsid w:val="00623C6E"/>
    <w:rsid w:val="00623CA4"/>
    <w:rsid w:val="00623CAE"/>
    <w:rsid w:val="00623DF5"/>
    <w:rsid w:val="00623E7D"/>
    <w:rsid w:val="00623FCE"/>
    <w:rsid w:val="00624023"/>
    <w:rsid w:val="00624091"/>
    <w:rsid w:val="006240F5"/>
    <w:rsid w:val="0062411D"/>
    <w:rsid w:val="00624143"/>
    <w:rsid w:val="006241CD"/>
    <w:rsid w:val="006241E1"/>
    <w:rsid w:val="00624216"/>
    <w:rsid w:val="006242A1"/>
    <w:rsid w:val="006243A5"/>
    <w:rsid w:val="0062441A"/>
    <w:rsid w:val="006244CA"/>
    <w:rsid w:val="0062452F"/>
    <w:rsid w:val="00624592"/>
    <w:rsid w:val="006247E7"/>
    <w:rsid w:val="006247ED"/>
    <w:rsid w:val="006247F4"/>
    <w:rsid w:val="0062486C"/>
    <w:rsid w:val="00624957"/>
    <w:rsid w:val="006249F7"/>
    <w:rsid w:val="00624A15"/>
    <w:rsid w:val="00624A51"/>
    <w:rsid w:val="00624AAC"/>
    <w:rsid w:val="00624B30"/>
    <w:rsid w:val="00624C5F"/>
    <w:rsid w:val="00624E3B"/>
    <w:rsid w:val="00624EB5"/>
    <w:rsid w:val="00624EEE"/>
    <w:rsid w:val="00624F20"/>
    <w:rsid w:val="00624FA7"/>
    <w:rsid w:val="00624FD1"/>
    <w:rsid w:val="00624FD5"/>
    <w:rsid w:val="0062512C"/>
    <w:rsid w:val="00625152"/>
    <w:rsid w:val="006252B7"/>
    <w:rsid w:val="006252EC"/>
    <w:rsid w:val="006252F5"/>
    <w:rsid w:val="006253DD"/>
    <w:rsid w:val="006253E1"/>
    <w:rsid w:val="00625401"/>
    <w:rsid w:val="006254D9"/>
    <w:rsid w:val="006254FC"/>
    <w:rsid w:val="0062557D"/>
    <w:rsid w:val="00625606"/>
    <w:rsid w:val="00625615"/>
    <w:rsid w:val="0062563D"/>
    <w:rsid w:val="006256D5"/>
    <w:rsid w:val="006257C5"/>
    <w:rsid w:val="006257E0"/>
    <w:rsid w:val="006257F4"/>
    <w:rsid w:val="00625842"/>
    <w:rsid w:val="00625908"/>
    <w:rsid w:val="00625A06"/>
    <w:rsid w:val="00625A66"/>
    <w:rsid w:val="00625BD9"/>
    <w:rsid w:val="00625BDE"/>
    <w:rsid w:val="00625C84"/>
    <w:rsid w:val="00625E0B"/>
    <w:rsid w:val="00625EA2"/>
    <w:rsid w:val="00625EAA"/>
    <w:rsid w:val="00625FF8"/>
    <w:rsid w:val="00626018"/>
    <w:rsid w:val="0062610A"/>
    <w:rsid w:val="006261A3"/>
    <w:rsid w:val="006261BE"/>
    <w:rsid w:val="006261D4"/>
    <w:rsid w:val="0062620C"/>
    <w:rsid w:val="00626297"/>
    <w:rsid w:val="006262CD"/>
    <w:rsid w:val="006262E4"/>
    <w:rsid w:val="0062638D"/>
    <w:rsid w:val="0062646C"/>
    <w:rsid w:val="0062648A"/>
    <w:rsid w:val="00626595"/>
    <w:rsid w:val="006265E3"/>
    <w:rsid w:val="00626618"/>
    <w:rsid w:val="00626684"/>
    <w:rsid w:val="00626688"/>
    <w:rsid w:val="00626716"/>
    <w:rsid w:val="00626734"/>
    <w:rsid w:val="006267AE"/>
    <w:rsid w:val="006267C9"/>
    <w:rsid w:val="0062687A"/>
    <w:rsid w:val="006268A8"/>
    <w:rsid w:val="0062693E"/>
    <w:rsid w:val="00626940"/>
    <w:rsid w:val="00626949"/>
    <w:rsid w:val="006269B1"/>
    <w:rsid w:val="00626A9D"/>
    <w:rsid w:val="00626AFA"/>
    <w:rsid w:val="00626B03"/>
    <w:rsid w:val="00626BA1"/>
    <w:rsid w:val="00626BF8"/>
    <w:rsid w:val="00626C02"/>
    <w:rsid w:val="00626C3D"/>
    <w:rsid w:val="00626CB6"/>
    <w:rsid w:val="00626DDB"/>
    <w:rsid w:val="00626DEE"/>
    <w:rsid w:val="00626E03"/>
    <w:rsid w:val="00626E70"/>
    <w:rsid w:val="00626E71"/>
    <w:rsid w:val="0062701D"/>
    <w:rsid w:val="00627024"/>
    <w:rsid w:val="00627123"/>
    <w:rsid w:val="0062734D"/>
    <w:rsid w:val="0062735D"/>
    <w:rsid w:val="00627372"/>
    <w:rsid w:val="00627567"/>
    <w:rsid w:val="00627583"/>
    <w:rsid w:val="006275FF"/>
    <w:rsid w:val="0062761D"/>
    <w:rsid w:val="00627705"/>
    <w:rsid w:val="00627835"/>
    <w:rsid w:val="00627892"/>
    <w:rsid w:val="006279DA"/>
    <w:rsid w:val="006279ED"/>
    <w:rsid w:val="00627A6B"/>
    <w:rsid w:val="00627AC1"/>
    <w:rsid w:val="00627AF5"/>
    <w:rsid w:val="00627B39"/>
    <w:rsid w:val="00627B4C"/>
    <w:rsid w:val="00627B5F"/>
    <w:rsid w:val="00627DE4"/>
    <w:rsid w:val="0063004C"/>
    <w:rsid w:val="006300DD"/>
    <w:rsid w:val="006300F0"/>
    <w:rsid w:val="0063010D"/>
    <w:rsid w:val="00630110"/>
    <w:rsid w:val="006301D6"/>
    <w:rsid w:val="006301F5"/>
    <w:rsid w:val="00630267"/>
    <w:rsid w:val="00630345"/>
    <w:rsid w:val="006304E6"/>
    <w:rsid w:val="006305C1"/>
    <w:rsid w:val="00630607"/>
    <w:rsid w:val="006307D1"/>
    <w:rsid w:val="006308D5"/>
    <w:rsid w:val="00630962"/>
    <w:rsid w:val="006309C5"/>
    <w:rsid w:val="00630A0D"/>
    <w:rsid w:val="00630A5D"/>
    <w:rsid w:val="00630ABD"/>
    <w:rsid w:val="00630ACE"/>
    <w:rsid w:val="00630AF4"/>
    <w:rsid w:val="00630BA9"/>
    <w:rsid w:val="00630BF3"/>
    <w:rsid w:val="00630CAA"/>
    <w:rsid w:val="00630DAB"/>
    <w:rsid w:val="00630DEC"/>
    <w:rsid w:val="00630EE1"/>
    <w:rsid w:val="00630FDC"/>
    <w:rsid w:val="00630FF7"/>
    <w:rsid w:val="0063103F"/>
    <w:rsid w:val="006310F2"/>
    <w:rsid w:val="00631299"/>
    <w:rsid w:val="0063145E"/>
    <w:rsid w:val="0063147C"/>
    <w:rsid w:val="0063163A"/>
    <w:rsid w:val="0063166E"/>
    <w:rsid w:val="00631694"/>
    <w:rsid w:val="006317B3"/>
    <w:rsid w:val="00631850"/>
    <w:rsid w:val="00631889"/>
    <w:rsid w:val="006318BC"/>
    <w:rsid w:val="0063190C"/>
    <w:rsid w:val="00631923"/>
    <w:rsid w:val="00631974"/>
    <w:rsid w:val="00631A49"/>
    <w:rsid w:val="00631BE0"/>
    <w:rsid w:val="00631C31"/>
    <w:rsid w:val="00631C3B"/>
    <w:rsid w:val="00631C8E"/>
    <w:rsid w:val="00631D60"/>
    <w:rsid w:val="00631DE8"/>
    <w:rsid w:val="00631E32"/>
    <w:rsid w:val="00631E93"/>
    <w:rsid w:val="00631E9F"/>
    <w:rsid w:val="00631EA7"/>
    <w:rsid w:val="00631EB4"/>
    <w:rsid w:val="00631F44"/>
    <w:rsid w:val="00631FC0"/>
    <w:rsid w:val="00632060"/>
    <w:rsid w:val="006320C5"/>
    <w:rsid w:val="00632280"/>
    <w:rsid w:val="00632295"/>
    <w:rsid w:val="006323DF"/>
    <w:rsid w:val="0063247A"/>
    <w:rsid w:val="0063250E"/>
    <w:rsid w:val="00632523"/>
    <w:rsid w:val="006325DD"/>
    <w:rsid w:val="006325EA"/>
    <w:rsid w:val="0063260F"/>
    <w:rsid w:val="0063270A"/>
    <w:rsid w:val="00632734"/>
    <w:rsid w:val="0063274E"/>
    <w:rsid w:val="00632880"/>
    <w:rsid w:val="00632913"/>
    <w:rsid w:val="0063295C"/>
    <w:rsid w:val="00632A5A"/>
    <w:rsid w:val="00632A7D"/>
    <w:rsid w:val="00632ABE"/>
    <w:rsid w:val="00632AD3"/>
    <w:rsid w:val="00632AF5"/>
    <w:rsid w:val="00632B1F"/>
    <w:rsid w:val="00632BE2"/>
    <w:rsid w:val="00632BF8"/>
    <w:rsid w:val="00632CC1"/>
    <w:rsid w:val="00632CF0"/>
    <w:rsid w:val="00632E28"/>
    <w:rsid w:val="00632E61"/>
    <w:rsid w:val="00632F18"/>
    <w:rsid w:val="00632F49"/>
    <w:rsid w:val="006330A8"/>
    <w:rsid w:val="006330E2"/>
    <w:rsid w:val="006330EC"/>
    <w:rsid w:val="00633107"/>
    <w:rsid w:val="0063313F"/>
    <w:rsid w:val="006332BD"/>
    <w:rsid w:val="0063335B"/>
    <w:rsid w:val="00633412"/>
    <w:rsid w:val="00633473"/>
    <w:rsid w:val="006334A6"/>
    <w:rsid w:val="006334FC"/>
    <w:rsid w:val="006335BB"/>
    <w:rsid w:val="006335C4"/>
    <w:rsid w:val="00633601"/>
    <w:rsid w:val="00633643"/>
    <w:rsid w:val="00633831"/>
    <w:rsid w:val="00633912"/>
    <w:rsid w:val="006339FB"/>
    <w:rsid w:val="00633A0A"/>
    <w:rsid w:val="00633A68"/>
    <w:rsid w:val="00633A96"/>
    <w:rsid w:val="00633B3F"/>
    <w:rsid w:val="00633B82"/>
    <w:rsid w:val="00633BD4"/>
    <w:rsid w:val="00633C59"/>
    <w:rsid w:val="00633C5B"/>
    <w:rsid w:val="00633D09"/>
    <w:rsid w:val="00633E2C"/>
    <w:rsid w:val="00633FCF"/>
    <w:rsid w:val="00634093"/>
    <w:rsid w:val="0063415F"/>
    <w:rsid w:val="006342AE"/>
    <w:rsid w:val="006343F6"/>
    <w:rsid w:val="0063445D"/>
    <w:rsid w:val="006344DB"/>
    <w:rsid w:val="006344FD"/>
    <w:rsid w:val="006345F0"/>
    <w:rsid w:val="00634652"/>
    <w:rsid w:val="0063470A"/>
    <w:rsid w:val="00634748"/>
    <w:rsid w:val="00634759"/>
    <w:rsid w:val="00634840"/>
    <w:rsid w:val="00634A1A"/>
    <w:rsid w:val="00634A1E"/>
    <w:rsid w:val="00634B05"/>
    <w:rsid w:val="00634B5F"/>
    <w:rsid w:val="00634BCC"/>
    <w:rsid w:val="00634BDC"/>
    <w:rsid w:val="00634DA1"/>
    <w:rsid w:val="00634E92"/>
    <w:rsid w:val="00634F77"/>
    <w:rsid w:val="00635007"/>
    <w:rsid w:val="0063502E"/>
    <w:rsid w:val="006350F5"/>
    <w:rsid w:val="006351C2"/>
    <w:rsid w:val="00635285"/>
    <w:rsid w:val="006352EB"/>
    <w:rsid w:val="0063535D"/>
    <w:rsid w:val="006353A9"/>
    <w:rsid w:val="006353D9"/>
    <w:rsid w:val="0063541F"/>
    <w:rsid w:val="0063544E"/>
    <w:rsid w:val="00635471"/>
    <w:rsid w:val="0063557A"/>
    <w:rsid w:val="0063559B"/>
    <w:rsid w:val="006355B5"/>
    <w:rsid w:val="00635640"/>
    <w:rsid w:val="006356EE"/>
    <w:rsid w:val="00635790"/>
    <w:rsid w:val="006357AF"/>
    <w:rsid w:val="006357B5"/>
    <w:rsid w:val="0063581D"/>
    <w:rsid w:val="00635869"/>
    <w:rsid w:val="006358D6"/>
    <w:rsid w:val="006359B8"/>
    <w:rsid w:val="00635AB3"/>
    <w:rsid w:val="00635AC3"/>
    <w:rsid w:val="00635AC9"/>
    <w:rsid w:val="00635B07"/>
    <w:rsid w:val="00635B13"/>
    <w:rsid w:val="00635B2C"/>
    <w:rsid w:val="00635B38"/>
    <w:rsid w:val="00635B53"/>
    <w:rsid w:val="00635B5C"/>
    <w:rsid w:val="00635B78"/>
    <w:rsid w:val="00635B91"/>
    <w:rsid w:val="00635B9B"/>
    <w:rsid w:val="00635CB3"/>
    <w:rsid w:val="00635DDA"/>
    <w:rsid w:val="00635DEB"/>
    <w:rsid w:val="00635E08"/>
    <w:rsid w:val="00635E6A"/>
    <w:rsid w:val="00635F7F"/>
    <w:rsid w:val="00635F8B"/>
    <w:rsid w:val="00635FC9"/>
    <w:rsid w:val="006360C7"/>
    <w:rsid w:val="0063610B"/>
    <w:rsid w:val="006361AB"/>
    <w:rsid w:val="006362ED"/>
    <w:rsid w:val="0063638B"/>
    <w:rsid w:val="006363C1"/>
    <w:rsid w:val="006365DA"/>
    <w:rsid w:val="0063661D"/>
    <w:rsid w:val="0063666E"/>
    <w:rsid w:val="00636729"/>
    <w:rsid w:val="006367AC"/>
    <w:rsid w:val="006367E0"/>
    <w:rsid w:val="006367F9"/>
    <w:rsid w:val="006367FB"/>
    <w:rsid w:val="00636830"/>
    <w:rsid w:val="00636958"/>
    <w:rsid w:val="0063698E"/>
    <w:rsid w:val="00636A44"/>
    <w:rsid w:val="00636A74"/>
    <w:rsid w:val="00636ACC"/>
    <w:rsid w:val="00636B45"/>
    <w:rsid w:val="00636DB1"/>
    <w:rsid w:val="00636DE9"/>
    <w:rsid w:val="00636E0C"/>
    <w:rsid w:val="00636E45"/>
    <w:rsid w:val="00636E5F"/>
    <w:rsid w:val="0063703E"/>
    <w:rsid w:val="006370A5"/>
    <w:rsid w:val="0063713A"/>
    <w:rsid w:val="00637193"/>
    <w:rsid w:val="006371A1"/>
    <w:rsid w:val="006371AC"/>
    <w:rsid w:val="00637293"/>
    <w:rsid w:val="0063736B"/>
    <w:rsid w:val="00637426"/>
    <w:rsid w:val="006374C9"/>
    <w:rsid w:val="00637517"/>
    <w:rsid w:val="00637550"/>
    <w:rsid w:val="00637593"/>
    <w:rsid w:val="006375E3"/>
    <w:rsid w:val="00637654"/>
    <w:rsid w:val="0063770D"/>
    <w:rsid w:val="00637740"/>
    <w:rsid w:val="00637764"/>
    <w:rsid w:val="00637886"/>
    <w:rsid w:val="006378A0"/>
    <w:rsid w:val="006378A6"/>
    <w:rsid w:val="0063796F"/>
    <w:rsid w:val="00637ACE"/>
    <w:rsid w:val="00637C0E"/>
    <w:rsid w:val="00637D03"/>
    <w:rsid w:val="00637D39"/>
    <w:rsid w:val="00637D98"/>
    <w:rsid w:val="00637D9D"/>
    <w:rsid w:val="00637DE4"/>
    <w:rsid w:val="00637E2C"/>
    <w:rsid w:val="00640112"/>
    <w:rsid w:val="006401B4"/>
    <w:rsid w:val="00640212"/>
    <w:rsid w:val="006402B0"/>
    <w:rsid w:val="00640313"/>
    <w:rsid w:val="00640398"/>
    <w:rsid w:val="00640467"/>
    <w:rsid w:val="00640493"/>
    <w:rsid w:val="006404A3"/>
    <w:rsid w:val="00640586"/>
    <w:rsid w:val="006405B2"/>
    <w:rsid w:val="006405FD"/>
    <w:rsid w:val="00640644"/>
    <w:rsid w:val="0064071F"/>
    <w:rsid w:val="0064073D"/>
    <w:rsid w:val="006407A3"/>
    <w:rsid w:val="00640810"/>
    <w:rsid w:val="00640A68"/>
    <w:rsid w:val="00640A71"/>
    <w:rsid w:val="00640A9D"/>
    <w:rsid w:val="00640AA4"/>
    <w:rsid w:val="00640AE2"/>
    <w:rsid w:val="00640BAA"/>
    <w:rsid w:val="00640C38"/>
    <w:rsid w:val="00640C4F"/>
    <w:rsid w:val="00640CC3"/>
    <w:rsid w:val="00640E68"/>
    <w:rsid w:val="00640F56"/>
    <w:rsid w:val="0064107E"/>
    <w:rsid w:val="006410A5"/>
    <w:rsid w:val="0064113B"/>
    <w:rsid w:val="0064115E"/>
    <w:rsid w:val="00641169"/>
    <w:rsid w:val="006411AE"/>
    <w:rsid w:val="006411D2"/>
    <w:rsid w:val="00641286"/>
    <w:rsid w:val="006413A0"/>
    <w:rsid w:val="006413A6"/>
    <w:rsid w:val="00641431"/>
    <w:rsid w:val="00641458"/>
    <w:rsid w:val="006414B1"/>
    <w:rsid w:val="00641512"/>
    <w:rsid w:val="00641552"/>
    <w:rsid w:val="00641580"/>
    <w:rsid w:val="00641609"/>
    <w:rsid w:val="0064167D"/>
    <w:rsid w:val="00641765"/>
    <w:rsid w:val="0064176A"/>
    <w:rsid w:val="00641779"/>
    <w:rsid w:val="006417A6"/>
    <w:rsid w:val="00641866"/>
    <w:rsid w:val="006419E0"/>
    <w:rsid w:val="006419F3"/>
    <w:rsid w:val="00641B44"/>
    <w:rsid w:val="00641C57"/>
    <w:rsid w:val="00641D7A"/>
    <w:rsid w:val="00641DF5"/>
    <w:rsid w:val="00641F70"/>
    <w:rsid w:val="0064204E"/>
    <w:rsid w:val="006421AB"/>
    <w:rsid w:val="006422A8"/>
    <w:rsid w:val="00642434"/>
    <w:rsid w:val="00642492"/>
    <w:rsid w:val="006424D5"/>
    <w:rsid w:val="00642553"/>
    <w:rsid w:val="006426AC"/>
    <w:rsid w:val="006426B5"/>
    <w:rsid w:val="00642847"/>
    <w:rsid w:val="00642882"/>
    <w:rsid w:val="0064289C"/>
    <w:rsid w:val="006429DD"/>
    <w:rsid w:val="00642AE5"/>
    <w:rsid w:val="00642B09"/>
    <w:rsid w:val="00642C6A"/>
    <w:rsid w:val="00642D3D"/>
    <w:rsid w:val="00642D3F"/>
    <w:rsid w:val="00642E2F"/>
    <w:rsid w:val="006430CE"/>
    <w:rsid w:val="0064318E"/>
    <w:rsid w:val="00643216"/>
    <w:rsid w:val="00643293"/>
    <w:rsid w:val="00643308"/>
    <w:rsid w:val="00643368"/>
    <w:rsid w:val="00643413"/>
    <w:rsid w:val="00643576"/>
    <w:rsid w:val="0064362D"/>
    <w:rsid w:val="00643637"/>
    <w:rsid w:val="00643680"/>
    <w:rsid w:val="006436A5"/>
    <w:rsid w:val="006436B7"/>
    <w:rsid w:val="0064376C"/>
    <w:rsid w:val="006437FF"/>
    <w:rsid w:val="00643832"/>
    <w:rsid w:val="006438C0"/>
    <w:rsid w:val="0064392A"/>
    <w:rsid w:val="00643A8D"/>
    <w:rsid w:val="00643B9B"/>
    <w:rsid w:val="00643C59"/>
    <w:rsid w:val="00643C93"/>
    <w:rsid w:val="00643CA4"/>
    <w:rsid w:val="00643CFA"/>
    <w:rsid w:val="00643CFC"/>
    <w:rsid w:val="00643D77"/>
    <w:rsid w:val="00643DEB"/>
    <w:rsid w:val="00643E20"/>
    <w:rsid w:val="00643E81"/>
    <w:rsid w:val="00644030"/>
    <w:rsid w:val="006440BA"/>
    <w:rsid w:val="006440BC"/>
    <w:rsid w:val="006440C4"/>
    <w:rsid w:val="006440DA"/>
    <w:rsid w:val="00644108"/>
    <w:rsid w:val="0064410B"/>
    <w:rsid w:val="006441AE"/>
    <w:rsid w:val="006441C5"/>
    <w:rsid w:val="006442FC"/>
    <w:rsid w:val="0064436D"/>
    <w:rsid w:val="006443D4"/>
    <w:rsid w:val="006444E3"/>
    <w:rsid w:val="006445ED"/>
    <w:rsid w:val="00644630"/>
    <w:rsid w:val="0064466C"/>
    <w:rsid w:val="00644700"/>
    <w:rsid w:val="00644709"/>
    <w:rsid w:val="0064475A"/>
    <w:rsid w:val="00644790"/>
    <w:rsid w:val="00644830"/>
    <w:rsid w:val="00644B3E"/>
    <w:rsid w:val="00644B79"/>
    <w:rsid w:val="00644C5A"/>
    <w:rsid w:val="00644C63"/>
    <w:rsid w:val="00644CE7"/>
    <w:rsid w:val="00644CF8"/>
    <w:rsid w:val="00644D1E"/>
    <w:rsid w:val="00644DA6"/>
    <w:rsid w:val="00644E60"/>
    <w:rsid w:val="00644E74"/>
    <w:rsid w:val="00644EC4"/>
    <w:rsid w:val="00644FCC"/>
    <w:rsid w:val="0064511C"/>
    <w:rsid w:val="00645126"/>
    <w:rsid w:val="0064521C"/>
    <w:rsid w:val="00645231"/>
    <w:rsid w:val="006452E9"/>
    <w:rsid w:val="0064533D"/>
    <w:rsid w:val="00645451"/>
    <w:rsid w:val="00645469"/>
    <w:rsid w:val="00645484"/>
    <w:rsid w:val="006454F2"/>
    <w:rsid w:val="0064558B"/>
    <w:rsid w:val="006455DB"/>
    <w:rsid w:val="006456D2"/>
    <w:rsid w:val="00645749"/>
    <w:rsid w:val="006457EC"/>
    <w:rsid w:val="00645805"/>
    <w:rsid w:val="0064596D"/>
    <w:rsid w:val="00645A09"/>
    <w:rsid w:val="00645A46"/>
    <w:rsid w:val="00645CB3"/>
    <w:rsid w:val="00645D2E"/>
    <w:rsid w:val="00645D2F"/>
    <w:rsid w:val="00645D36"/>
    <w:rsid w:val="00645D5D"/>
    <w:rsid w:val="00645EB1"/>
    <w:rsid w:val="00645EC2"/>
    <w:rsid w:val="00645ECC"/>
    <w:rsid w:val="00645FE2"/>
    <w:rsid w:val="0064606C"/>
    <w:rsid w:val="00646117"/>
    <w:rsid w:val="00646222"/>
    <w:rsid w:val="0064626D"/>
    <w:rsid w:val="00646371"/>
    <w:rsid w:val="006463BF"/>
    <w:rsid w:val="00646480"/>
    <w:rsid w:val="0064655E"/>
    <w:rsid w:val="006465B1"/>
    <w:rsid w:val="0064665F"/>
    <w:rsid w:val="00646854"/>
    <w:rsid w:val="00646922"/>
    <w:rsid w:val="006469C8"/>
    <w:rsid w:val="006469EC"/>
    <w:rsid w:val="006469FA"/>
    <w:rsid w:val="00646A13"/>
    <w:rsid w:val="00646A28"/>
    <w:rsid w:val="00646AB7"/>
    <w:rsid w:val="00646AF8"/>
    <w:rsid w:val="00646B4D"/>
    <w:rsid w:val="00646BB2"/>
    <w:rsid w:val="00646C14"/>
    <w:rsid w:val="00646D0C"/>
    <w:rsid w:val="00646D1A"/>
    <w:rsid w:val="00646D3E"/>
    <w:rsid w:val="00646DAE"/>
    <w:rsid w:val="00646E1A"/>
    <w:rsid w:val="00646F3B"/>
    <w:rsid w:val="00646F4E"/>
    <w:rsid w:val="00646F58"/>
    <w:rsid w:val="00646F69"/>
    <w:rsid w:val="00646F7B"/>
    <w:rsid w:val="0064706A"/>
    <w:rsid w:val="00647117"/>
    <w:rsid w:val="00647125"/>
    <w:rsid w:val="00647233"/>
    <w:rsid w:val="0064727F"/>
    <w:rsid w:val="006472C6"/>
    <w:rsid w:val="00647321"/>
    <w:rsid w:val="006473DD"/>
    <w:rsid w:val="00647477"/>
    <w:rsid w:val="00647490"/>
    <w:rsid w:val="0064749C"/>
    <w:rsid w:val="006475B1"/>
    <w:rsid w:val="00647666"/>
    <w:rsid w:val="00647668"/>
    <w:rsid w:val="00647754"/>
    <w:rsid w:val="00647845"/>
    <w:rsid w:val="00647886"/>
    <w:rsid w:val="006479E1"/>
    <w:rsid w:val="00647AC1"/>
    <w:rsid w:val="00647B92"/>
    <w:rsid w:val="00647B9E"/>
    <w:rsid w:val="00647BCB"/>
    <w:rsid w:val="00647C14"/>
    <w:rsid w:val="00647C51"/>
    <w:rsid w:val="00647C57"/>
    <w:rsid w:val="00647D8D"/>
    <w:rsid w:val="00647D96"/>
    <w:rsid w:val="00647EA6"/>
    <w:rsid w:val="00647F4E"/>
    <w:rsid w:val="00650023"/>
    <w:rsid w:val="0065008C"/>
    <w:rsid w:val="006500C6"/>
    <w:rsid w:val="00650123"/>
    <w:rsid w:val="006501AC"/>
    <w:rsid w:val="006503D7"/>
    <w:rsid w:val="00650444"/>
    <w:rsid w:val="00650569"/>
    <w:rsid w:val="00650779"/>
    <w:rsid w:val="00650834"/>
    <w:rsid w:val="00650841"/>
    <w:rsid w:val="00650905"/>
    <w:rsid w:val="00650AB4"/>
    <w:rsid w:val="00650B0D"/>
    <w:rsid w:val="00650B30"/>
    <w:rsid w:val="00650BA0"/>
    <w:rsid w:val="00650C65"/>
    <w:rsid w:val="00650C82"/>
    <w:rsid w:val="00650DB3"/>
    <w:rsid w:val="00650E4F"/>
    <w:rsid w:val="00650E64"/>
    <w:rsid w:val="00650EAC"/>
    <w:rsid w:val="00650F45"/>
    <w:rsid w:val="00650F87"/>
    <w:rsid w:val="00650FA6"/>
    <w:rsid w:val="00651039"/>
    <w:rsid w:val="00651079"/>
    <w:rsid w:val="006510E6"/>
    <w:rsid w:val="0065117A"/>
    <w:rsid w:val="0065130E"/>
    <w:rsid w:val="00651369"/>
    <w:rsid w:val="00651411"/>
    <w:rsid w:val="006514E5"/>
    <w:rsid w:val="00651581"/>
    <w:rsid w:val="006516CA"/>
    <w:rsid w:val="006516E1"/>
    <w:rsid w:val="006516F3"/>
    <w:rsid w:val="00651751"/>
    <w:rsid w:val="0065177C"/>
    <w:rsid w:val="006517B6"/>
    <w:rsid w:val="006517E1"/>
    <w:rsid w:val="00651890"/>
    <w:rsid w:val="006518C6"/>
    <w:rsid w:val="00651AD1"/>
    <w:rsid w:val="00651AEB"/>
    <w:rsid w:val="00651C64"/>
    <w:rsid w:val="00651C75"/>
    <w:rsid w:val="00651D06"/>
    <w:rsid w:val="00651D1D"/>
    <w:rsid w:val="00651D33"/>
    <w:rsid w:val="00651D54"/>
    <w:rsid w:val="00651D65"/>
    <w:rsid w:val="00651DC4"/>
    <w:rsid w:val="00651DC6"/>
    <w:rsid w:val="00651E24"/>
    <w:rsid w:val="00651E3C"/>
    <w:rsid w:val="00651E8B"/>
    <w:rsid w:val="00651FAB"/>
    <w:rsid w:val="00651FAE"/>
    <w:rsid w:val="006520C3"/>
    <w:rsid w:val="006520F2"/>
    <w:rsid w:val="006520F5"/>
    <w:rsid w:val="00652115"/>
    <w:rsid w:val="0065213E"/>
    <w:rsid w:val="0065214C"/>
    <w:rsid w:val="006521A2"/>
    <w:rsid w:val="0065228E"/>
    <w:rsid w:val="0065228F"/>
    <w:rsid w:val="006522DA"/>
    <w:rsid w:val="0065247C"/>
    <w:rsid w:val="006525CB"/>
    <w:rsid w:val="006525FB"/>
    <w:rsid w:val="0065260F"/>
    <w:rsid w:val="0065261E"/>
    <w:rsid w:val="006526EC"/>
    <w:rsid w:val="0065275C"/>
    <w:rsid w:val="00652798"/>
    <w:rsid w:val="00652806"/>
    <w:rsid w:val="00652912"/>
    <w:rsid w:val="00652938"/>
    <w:rsid w:val="006529E1"/>
    <w:rsid w:val="006529EB"/>
    <w:rsid w:val="00652AC1"/>
    <w:rsid w:val="00652B4F"/>
    <w:rsid w:val="00652C9F"/>
    <w:rsid w:val="00652CFE"/>
    <w:rsid w:val="00652D1F"/>
    <w:rsid w:val="00652DA2"/>
    <w:rsid w:val="00652E25"/>
    <w:rsid w:val="00652E58"/>
    <w:rsid w:val="00652E67"/>
    <w:rsid w:val="0065300E"/>
    <w:rsid w:val="006530E9"/>
    <w:rsid w:val="0065314D"/>
    <w:rsid w:val="00653175"/>
    <w:rsid w:val="006531C5"/>
    <w:rsid w:val="006531DA"/>
    <w:rsid w:val="006532EC"/>
    <w:rsid w:val="00653477"/>
    <w:rsid w:val="00653517"/>
    <w:rsid w:val="006535C6"/>
    <w:rsid w:val="006535ED"/>
    <w:rsid w:val="006535F7"/>
    <w:rsid w:val="00653658"/>
    <w:rsid w:val="006536A7"/>
    <w:rsid w:val="006536F4"/>
    <w:rsid w:val="00653742"/>
    <w:rsid w:val="006537A1"/>
    <w:rsid w:val="0065389F"/>
    <w:rsid w:val="006539C6"/>
    <w:rsid w:val="00653A72"/>
    <w:rsid w:val="00653AEB"/>
    <w:rsid w:val="00653B4D"/>
    <w:rsid w:val="00653C01"/>
    <w:rsid w:val="00653C7E"/>
    <w:rsid w:val="00653D47"/>
    <w:rsid w:val="00653E01"/>
    <w:rsid w:val="00653E07"/>
    <w:rsid w:val="006540F6"/>
    <w:rsid w:val="00654171"/>
    <w:rsid w:val="00654254"/>
    <w:rsid w:val="00654311"/>
    <w:rsid w:val="00654381"/>
    <w:rsid w:val="0065448E"/>
    <w:rsid w:val="006544E9"/>
    <w:rsid w:val="0065457D"/>
    <w:rsid w:val="006545CC"/>
    <w:rsid w:val="006546C2"/>
    <w:rsid w:val="00654734"/>
    <w:rsid w:val="006548C3"/>
    <w:rsid w:val="006548CA"/>
    <w:rsid w:val="006549E7"/>
    <w:rsid w:val="00654A25"/>
    <w:rsid w:val="00654A2F"/>
    <w:rsid w:val="00654B26"/>
    <w:rsid w:val="00654B48"/>
    <w:rsid w:val="00654B92"/>
    <w:rsid w:val="00654BBC"/>
    <w:rsid w:val="00654BF3"/>
    <w:rsid w:val="00654C1A"/>
    <w:rsid w:val="00654CDD"/>
    <w:rsid w:val="00654DB2"/>
    <w:rsid w:val="00654E41"/>
    <w:rsid w:val="00654F18"/>
    <w:rsid w:val="00654F29"/>
    <w:rsid w:val="00654F35"/>
    <w:rsid w:val="00654FF2"/>
    <w:rsid w:val="00655011"/>
    <w:rsid w:val="00655059"/>
    <w:rsid w:val="00655116"/>
    <w:rsid w:val="00655218"/>
    <w:rsid w:val="0065529B"/>
    <w:rsid w:val="00655309"/>
    <w:rsid w:val="00655384"/>
    <w:rsid w:val="00655421"/>
    <w:rsid w:val="006554A3"/>
    <w:rsid w:val="006554AC"/>
    <w:rsid w:val="00655533"/>
    <w:rsid w:val="00655556"/>
    <w:rsid w:val="00655568"/>
    <w:rsid w:val="00655585"/>
    <w:rsid w:val="006555A2"/>
    <w:rsid w:val="006555E9"/>
    <w:rsid w:val="006555EA"/>
    <w:rsid w:val="00655634"/>
    <w:rsid w:val="0065563F"/>
    <w:rsid w:val="006556D3"/>
    <w:rsid w:val="00655701"/>
    <w:rsid w:val="00655703"/>
    <w:rsid w:val="0065572E"/>
    <w:rsid w:val="00655742"/>
    <w:rsid w:val="006557DB"/>
    <w:rsid w:val="006557F1"/>
    <w:rsid w:val="006557F2"/>
    <w:rsid w:val="00655835"/>
    <w:rsid w:val="00655988"/>
    <w:rsid w:val="00655A23"/>
    <w:rsid w:val="00655A24"/>
    <w:rsid w:val="00655BA8"/>
    <w:rsid w:val="00655C95"/>
    <w:rsid w:val="00655E1E"/>
    <w:rsid w:val="00655E44"/>
    <w:rsid w:val="00655E88"/>
    <w:rsid w:val="00655EC3"/>
    <w:rsid w:val="0065600A"/>
    <w:rsid w:val="00656171"/>
    <w:rsid w:val="0065617F"/>
    <w:rsid w:val="006562B4"/>
    <w:rsid w:val="0065638E"/>
    <w:rsid w:val="00656427"/>
    <w:rsid w:val="0065642E"/>
    <w:rsid w:val="00656467"/>
    <w:rsid w:val="006564BB"/>
    <w:rsid w:val="00656545"/>
    <w:rsid w:val="00656695"/>
    <w:rsid w:val="00656730"/>
    <w:rsid w:val="0065677F"/>
    <w:rsid w:val="0065679F"/>
    <w:rsid w:val="00656898"/>
    <w:rsid w:val="00656940"/>
    <w:rsid w:val="00656943"/>
    <w:rsid w:val="00656B31"/>
    <w:rsid w:val="00656B69"/>
    <w:rsid w:val="00656B77"/>
    <w:rsid w:val="00656C4E"/>
    <w:rsid w:val="00656CA3"/>
    <w:rsid w:val="00656D4D"/>
    <w:rsid w:val="00656DBD"/>
    <w:rsid w:val="00656F65"/>
    <w:rsid w:val="00656FFE"/>
    <w:rsid w:val="0065727A"/>
    <w:rsid w:val="0065740A"/>
    <w:rsid w:val="00657800"/>
    <w:rsid w:val="00657816"/>
    <w:rsid w:val="00657826"/>
    <w:rsid w:val="00657885"/>
    <w:rsid w:val="00657980"/>
    <w:rsid w:val="006579AA"/>
    <w:rsid w:val="00657A2A"/>
    <w:rsid w:val="00657A7D"/>
    <w:rsid w:val="00657A9B"/>
    <w:rsid w:val="00657ABF"/>
    <w:rsid w:val="00657B3F"/>
    <w:rsid w:val="00657C50"/>
    <w:rsid w:val="00657C63"/>
    <w:rsid w:val="00657D18"/>
    <w:rsid w:val="00657D99"/>
    <w:rsid w:val="00657E08"/>
    <w:rsid w:val="00657E29"/>
    <w:rsid w:val="00657E39"/>
    <w:rsid w:val="00657E81"/>
    <w:rsid w:val="00657F24"/>
    <w:rsid w:val="00657F38"/>
    <w:rsid w:val="0066006E"/>
    <w:rsid w:val="00660090"/>
    <w:rsid w:val="006600A4"/>
    <w:rsid w:val="006600A6"/>
    <w:rsid w:val="006600D5"/>
    <w:rsid w:val="006603B7"/>
    <w:rsid w:val="00660469"/>
    <w:rsid w:val="00660513"/>
    <w:rsid w:val="00660519"/>
    <w:rsid w:val="0066059A"/>
    <w:rsid w:val="0066069E"/>
    <w:rsid w:val="00660799"/>
    <w:rsid w:val="00660879"/>
    <w:rsid w:val="0066099C"/>
    <w:rsid w:val="00660A49"/>
    <w:rsid w:val="00660A66"/>
    <w:rsid w:val="00660B4B"/>
    <w:rsid w:val="00660C5E"/>
    <w:rsid w:val="00660D21"/>
    <w:rsid w:val="00660D93"/>
    <w:rsid w:val="00660EEF"/>
    <w:rsid w:val="00660F00"/>
    <w:rsid w:val="00660FC8"/>
    <w:rsid w:val="006610AD"/>
    <w:rsid w:val="0066117F"/>
    <w:rsid w:val="00661196"/>
    <w:rsid w:val="006611CF"/>
    <w:rsid w:val="00661238"/>
    <w:rsid w:val="00661259"/>
    <w:rsid w:val="006612F9"/>
    <w:rsid w:val="0066130C"/>
    <w:rsid w:val="0066147E"/>
    <w:rsid w:val="00661500"/>
    <w:rsid w:val="0066167D"/>
    <w:rsid w:val="00661686"/>
    <w:rsid w:val="0066168E"/>
    <w:rsid w:val="0066173C"/>
    <w:rsid w:val="00661763"/>
    <w:rsid w:val="00661789"/>
    <w:rsid w:val="00661887"/>
    <w:rsid w:val="006618AE"/>
    <w:rsid w:val="0066198F"/>
    <w:rsid w:val="00661A4D"/>
    <w:rsid w:val="00661A70"/>
    <w:rsid w:val="00661AF2"/>
    <w:rsid w:val="00661B4D"/>
    <w:rsid w:val="00661B5B"/>
    <w:rsid w:val="00661B86"/>
    <w:rsid w:val="00661BCB"/>
    <w:rsid w:val="00661C4E"/>
    <w:rsid w:val="00661D87"/>
    <w:rsid w:val="00662000"/>
    <w:rsid w:val="0066221D"/>
    <w:rsid w:val="00662220"/>
    <w:rsid w:val="00662241"/>
    <w:rsid w:val="00662345"/>
    <w:rsid w:val="00662539"/>
    <w:rsid w:val="00662563"/>
    <w:rsid w:val="0066258D"/>
    <w:rsid w:val="006626A6"/>
    <w:rsid w:val="00662764"/>
    <w:rsid w:val="00662765"/>
    <w:rsid w:val="00662782"/>
    <w:rsid w:val="0066279E"/>
    <w:rsid w:val="0066288D"/>
    <w:rsid w:val="00662898"/>
    <w:rsid w:val="00662919"/>
    <w:rsid w:val="00662939"/>
    <w:rsid w:val="006629A2"/>
    <w:rsid w:val="00662A39"/>
    <w:rsid w:val="00662AE3"/>
    <w:rsid w:val="00662B37"/>
    <w:rsid w:val="00662B41"/>
    <w:rsid w:val="00662BB3"/>
    <w:rsid w:val="00662C1A"/>
    <w:rsid w:val="00662DB2"/>
    <w:rsid w:val="00662EC3"/>
    <w:rsid w:val="00663014"/>
    <w:rsid w:val="0066304B"/>
    <w:rsid w:val="00663058"/>
    <w:rsid w:val="0066307B"/>
    <w:rsid w:val="006630B3"/>
    <w:rsid w:val="00663152"/>
    <w:rsid w:val="00663292"/>
    <w:rsid w:val="006632F6"/>
    <w:rsid w:val="006633A6"/>
    <w:rsid w:val="00663455"/>
    <w:rsid w:val="0066345A"/>
    <w:rsid w:val="006634F4"/>
    <w:rsid w:val="00663535"/>
    <w:rsid w:val="0066356D"/>
    <w:rsid w:val="006637FB"/>
    <w:rsid w:val="0066380F"/>
    <w:rsid w:val="006639CB"/>
    <w:rsid w:val="00663AB7"/>
    <w:rsid w:val="00663B24"/>
    <w:rsid w:val="00663B2D"/>
    <w:rsid w:val="00663B5A"/>
    <w:rsid w:val="00663C8B"/>
    <w:rsid w:val="00663CD7"/>
    <w:rsid w:val="00663D3B"/>
    <w:rsid w:val="00663D90"/>
    <w:rsid w:val="00663EEA"/>
    <w:rsid w:val="00663F5E"/>
    <w:rsid w:val="00664066"/>
    <w:rsid w:val="00664176"/>
    <w:rsid w:val="0066420C"/>
    <w:rsid w:val="0066429B"/>
    <w:rsid w:val="00664318"/>
    <w:rsid w:val="0066431F"/>
    <w:rsid w:val="00664384"/>
    <w:rsid w:val="0066439B"/>
    <w:rsid w:val="0066444E"/>
    <w:rsid w:val="00664483"/>
    <w:rsid w:val="0066448D"/>
    <w:rsid w:val="006646FA"/>
    <w:rsid w:val="0066470F"/>
    <w:rsid w:val="00664745"/>
    <w:rsid w:val="00664750"/>
    <w:rsid w:val="00664791"/>
    <w:rsid w:val="006647BC"/>
    <w:rsid w:val="0066480F"/>
    <w:rsid w:val="00664812"/>
    <w:rsid w:val="006648C1"/>
    <w:rsid w:val="00664982"/>
    <w:rsid w:val="006649B9"/>
    <w:rsid w:val="00664A23"/>
    <w:rsid w:val="00664AA3"/>
    <w:rsid w:val="00664B13"/>
    <w:rsid w:val="00664B20"/>
    <w:rsid w:val="00664BEE"/>
    <w:rsid w:val="00664C5E"/>
    <w:rsid w:val="00664C67"/>
    <w:rsid w:val="00664CB3"/>
    <w:rsid w:val="00664CF4"/>
    <w:rsid w:val="00664D5E"/>
    <w:rsid w:val="00664E53"/>
    <w:rsid w:val="00664E9B"/>
    <w:rsid w:val="00664EEF"/>
    <w:rsid w:val="00664F17"/>
    <w:rsid w:val="00664F3E"/>
    <w:rsid w:val="00664F91"/>
    <w:rsid w:val="0066509D"/>
    <w:rsid w:val="0066520F"/>
    <w:rsid w:val="006652F6"/>
    <w:rsid w:val="00665360"/>
    <w:rsid w:val="00665367"/>
    <w:rsid w:val="0066537B"/>
    <w:rsid w:val="006654CA"/>
    <w:rsid w:val="006655C3"/>
    <w:rsid w:val="00665600"/>
    <w:rsid w:val="00665624"/>
    <w:rsid w:val="0066569D"/>
    <w:rsid w:val="006656A3"/>
    <w:rsid w:val="006656D4"/>
    <w:rsid w:val="006657E3"/>
    <w:rsid w:val="006659D1"/>
    <w:rsid w:val="006659E4"/>
    <w:rsid w:val="00665AB2"/>
    <w:rsid w:val="00665B8D"/>
    <w:rsid w:val="00665BDB"/>
    <w:rsid w:val="00665BDD"/>
    <w:rsid w:val="00665BE1"/>
    <w:rsid w:val="00665CD8"/>
    <w:rsid w:val="00665D25"/>
    <w:rsid w:val="00665D64"/>
    <w:rsid w:val="00665E7B"/>
    <w:rsid w:val="00665EC3"/>
    <w:rsid w:val="00665EF1"/>
    <w:rsid w:val="00665F1A"/>
    <w:rsid w:val="00665F44"/>
    <w:rsid w:val="0066601D"/>
    <w:rsid w:val="00666037"/>
    <w:rsid w:val="006660DA"/>
    <w:rsid w:val="006660E5"/>
    <w:rsid w:val="0066615A"/>
    <w:rsid w:val="006661A2"/>
    <w:rsid w:val="006661D3"/>
    <w:rsid w:val="00666228"/>
    <w:rsid w:val="00666284"/>
    <w:rsid w:val="00666340"/>
    <w:rsid w:val="006664AB"/>
    <w:rsid w:val="00666519"/>
    <w:rsid w:val="00666670"/>
    <w:rsid w:val="0066667F"/>
    <w:rsid w:val="006666CB"/>
    <w:rsid w:val="0066677A"/>
    <w:rsid w:val="006668B9"/>
    <w:rsid w:val="0066699E"/>
    <w:rsid w:val="00666A70"/>
    <w:rsid w:val="00666A7F"/>
    <w:rsid w:val="00666AA5"/>
    <w:rsid w:val="00666AD1"/>
    <w:rsid w:val="00666B03"/>
    <w:rsid w:val="00666B19"/>
    <w:rsid w:val="00666BE0"/>
    <w:rsid w:val="00666C19"/>
    <w:rsid w:val="00666E8D"/>
    <w:rsid w:val="00666E9A"/>
    <w:rsid w:val="00666EE3"/>
    <w:rsid w:val="00666F35"/>
    <w:rsid w:val="00667022"/>
    <w:rsid w:val="00667047"/>
    <w:rsid w:val="00667051"/>
    <w:rsid w:val="006670DE"/>
    <w:rsid w:val="0066724B"/>
    <w:rsid w:val="00667255"/>
    <w:rsid w:val="00667404"/>
    <w:rsid w:val="00667420"/>
    <w:rsid w:val="006674EA"/>
    <w:rsid w:val="00667545"/>
    <w:rsid w:val="00667551"/>
    <w:rsid w:val="0066755C"/>
    <w:rsid w:val="00667603"/>
    <w:rsid w:val="0066769F"/>
    <w:rsid w:val="00667764"/>
    <w:rsid w:val="00667911"/>
    <w:rsid w:val="0066792E"/>
    <w:rsid w:val="00667953"/>
    <w:rsid w:val="0066799D"/>
    <w:rsid w:val="006679F5"/>
    <w:rsid w:val="00667A39"/>
    <w:rsid w:val="00667ADD"/>
    <w:rsid w:val="00667B8B"/>
    <w:rsid w:val="00667C39"/>
    <w:rsid w:val="00667C9D"/>
    <w:rsid w:val="00667CF1"/>
    <w:rsid w:val="00667D01"/>
    <w:rsid w:val="00667D42"/>
    <w:rsid w:val="00667D5F"/>
    <w:rsid w:val="00667E05"/>
    <w:rsid w:val="00667EAB"/>
    <w:rsid w:val="00667FF4"/>
    <w:rsid w:val="0066B7F2"/>
    <w:rsid w:val="0067003F"/>
    <w:rsid w:val="00670084"/>
    <w:rsid w:val="006700A8"/>
    <w:rsid w:val="0067011D"/>
    <w:rsid w:val="00670142"/>
    <w:rsid w:val="00670318"/>
    <w:rsid w:val="006703AF"/>
    <w:rsid w:val="006703FA"/>
    <w:rsid w:val="006704A9"/>
    <w:rsid w:val="006704AF"/>
    <w:rsid w:val="006704D5"/>
    <w:rsid w:val="0067054B"/>
    <w:rsid w:val="00670565"/>
    <w:rsid w:val="00670661"/>
    <w:rsid w:val="0067069F"/>
    <w:rsid w:val="00670803"/>
    <w:rsid w:val="0067088E"/>
    <w:rsid w:val="0067092B"/>
    <w:rsid w:val="00670984"/>
    <w:rsid w:val="00670985"/>
    <w:rsid w:val="00670B41"/>
    <w:rsid w:val="00670B64"/>
    <w:rsid w:val="00670B8C"/>
    <w:rsid w:val="00670B8D"/>
    <w:rsid w:val="00670C16"/>
    <w:rsid w:val="00670C23"/>
    <w:rsid w:val="00670C36"/>
    <w:rsid w:val="00670C5E"/>
    <w:rsid w:val="00670CC7"/>
    <w:rsid w:val="00670CE6"/>
    <w:rsid w:val="00670D4B"/>
    <w:rsid w:val="00670D5D"/>
    <w:rsid w:val="00670D83"/>
    <w:rsid w:val="00670DE6"/>
    <w:rsid w:val="00670E7A"/>
    <w:rsid w:val="00670FF4"/>
    <w:rsid w:val="0067109E"/>
    <w:rsid w:val="006710A2"/>
    <w:rsid w:val="006710AF"/>
    <w:rsid w:val="00671118"/>
    <w:rsid w:val="006711DA"/>
    <w:rsid w:val="006712AC"/>
    <w:rsid w:val="006712B4"/>
    <w:rsid w:val="00671300"/>
    <w:rsid w:val="00671329"/>
    <w:rsid w:val="00671368"/>
    <w:rsid w:val="0067136A"/>
    <w:rsid w:val="00671386"/>
    <w:rsid w:val="00671390"/>
    <w:rsid w:val="006713AA"/>
    <w:rsid w:val="0067145A"/>
    <w:rsid w:val="00671501"/>
    <w:rsid w:val="00671530"/>
    <w:rsid w:val="00671539"/>
    <w:rsid w:val="0067153C"/>
    <w:rsid w:val="006715C7"/>
    <w:rsid w:val="006715EF"/>
    <w:rsid w:val="00671727"/>
    <w:rsid w:val="0067175F"/>
    <w:rsid w:val="0067179F"/>
    <w:rsid w:val="006717C9"/>
    <w:rsid w:val="006719CB"/>
    <w:rsid w:val="00671AB7"/>
    <w:rsid w:val="00671AD6"/>
    <w:rsid w:val="00671B1C"/>
    <w:rsid w:val="00671B4D"/>
    <w:rsid w:val="00671B51"/>
    <w:rsid w:val="00671B59"/>
    <w:rsid w:val="00671B96"/>
    <w:rsid w:val="00671BAA"/>
    <w:rsid w:val="00671BF1"/>
    <w:rsid w:val="00671CCA"/>
    <w:rsid w:val="00671D9A"/>
    <w:rsid w:val="00671EB9"/>
    <w:rsid w:val="00671F35"/>
    <w:rsid w:val="00671F5D"/>
    <w:rsid w:val="00671FB2"/>
    <w:rsid w:val="00672086"/>
    <w:rsid w:val="006720C0"/>
    <w:rsid w:val="00672105"/>
    <w:rsid w:val="00672202"/>
    <w:rsid w:val="0067222E"/>
    <w:rsid w:val="00672310"/>
    <w:rsid w:val="00672356"/>
    <w:rsid w:val="0067244B"/>
    <w:rsid w:val="006724A9"/>
    <w:rsid w:val="00672584"/>
    <w:rsid w:val="006725A2"/>
    <w:rsid w:val="00672651"/>
    <w:rsid w:val="0067274A"/>
    <w:rsid w:val="00672751"/>
    <w:rsid w:val="0067281E"/>
    <w:rsid w:val="006728C8"/>
    <w:rsid w:val="006729F8"/>
    <w:rsid w:val="00672AB0"/>
    <w:rsid w:val="00672B0D"/>
    <w:rsid w:val="00672B82"/>
    <w:rsid w:val="00672B87"/>
    <w:rsid w:val="00672BAE"/>
    <w:rsid w:val="00672BCD"/>
    <w:rsid w:val="00672BFF"/>
    <w:rsid w:val="00672D35"/>
    <w:rsid w:val="00672D4C"/>
    <w:rsid w:val="00672DD9"/>
    <w:rsid w:val="00672E45"/>
    <w:rsid w:val="00672E54"/>
    <w:rsid w:val="00672EBB"/>
    <w:rsid w:val="00672F89"/>
    <w:rsid w:val="00673017"/>
    <w:rsid w:val="0067301D"/>
    <w:rsid w:val="006730CC"/>
    <w:rsid w:val="00673123"/>
    <w:rsid w:val="00673277"/>
    <w:rsid w:val="00673490"/>
    <w:rsid w:val="006735BA"/>
    <w:rsid w:val="0067364A"/>
    <w:rsid w:val="0067365C"/>
    <w:rsid w:val="00673775"/>
    <w:rsid w:val="0067379C"/>
    <w:rsid w:val="0067383C"/>
    <w:rsid w:val="006738DD"/>
    <w:rsid w:val="00673A29"/>
    <w:rsid w:val="00673A40"/>
    <w:rsid w:val="00673B8C"/>
    <w:rsid w:val="00673BCC"/>
    <w:rsid w:val="00673C02"/>
    <w:rsid w:val="00673D04"/>
    <w:rsid w:val="00673D2C"/>
    <w:rsid w:val="00673D98"/>
    <w:rsid w:val="00673E1C"/>
    <w:rsid w:val="00673E26"/>
    <w:rsid w:val="00673E27"/>
    <w:rsid w:val="00673E70"/>
    <w:rsid w:val="00673EA6"/>
    <w:rsid w:val="00673F2A"/>
    <w:rsid w:val="00673FCE"/>
    <w:rsid w:val="006740E2"/>
    <w:rsid w:val="00674118"/>
    <w:rsid w:val="0067418D"/>
    <w:rsid w:val="006741B7"/>
    <w:rsid w:val="006741D4"/>
    <w:rsid w:val="006741EC"/>
    <w:rsid w:val="00674200"/>
    <w:rsid w:val="0067425D"/>
    <w:rsid w:val="0067425E"/>
    <w:rsid w:val="006742BA"/>
    <w:rsid w:val="006744F6"/>
    <w:rsid w:val="0067457A"/>
    <w:rsid w:val="006745A5"/>
    <w:rsid w:val="00674600"/>
    <w:rsid w:val="0067465C"/>
    <w:rsid w:val="0067472E"/>
    <w:rsid w:val="0067475A"/>
    <w:rsid w:val="0067475C"/>
    <w:rsid w:val="00674811"/>
    <w:rsid w:val="006748CD"/>
    <w:rsid w:val="00674945"/>
    <w:rsid w:val="00674A34"/>
    <w:rsid w:val="00674B83"/>
    <w:rsid w:val="00674BBF"/>
    <w:rsid w:val="00674C7A"/>
    <w:rsid w:val="00674C7F"/>
    <w:rsid w:val="00674CEA"/>
    <w:rsid w:val="00674CF8"/>
    <w:rsid w:val="00674E73"/>
    <w:rsid w:val="00674F6D"/>
    <w:rsid w:val="00674FDA"/>
    <w:rsid w:val="00674FEE"/>
    <w:rsid w:val="0067508E"/>
    <w:rsid w:val="006750D1"/>
    <w:rsid w:val="00675100"/>
    <w:rsid w:val="006751A6"/>
    <w:rsid w:val="0067520D"/>
    <w:rsid w:val="0067529B"/>
    <w:rsid w:val="006752F5"/>
    <w:rsid w:val="006753BD"/>
    <w:rsid w:val="006753CE"/>
    <w:rsid w:val="006753F1"/>
    <w:rsid w:val="00675446"/>
    <w:rsid w:val="006755C5"/>
    <w:rsid w:val="006755D2"/>
    <w:rsid w:val="00675790"/>
    <w:rsid w:val="006757C5"/>
    <w:rsid w:val="0067584D"/>
    <w:rsid w:val="0067591E"/>
    <w:rsid w:val="00675963"/>
    <w:rsid w:val="00675A01"/>
    <w:rsid w:val="00675A0B"/>
    <w:rsid w:val="00675A5C"/>
    <w:rsid w:val="00675B8D"/>
    <w:rsid w:val="00675C1C"/>
    <w:rsid w:val="00675CB1"/>
    <w:rsid w:val="00675CEC"/>
    <w:rsid w:val="00675D3C"/>
    <w:rsid w:val="00675E26"/>
    <w:rsid w:val="00675E6E"/>
    <w:rsid w:val="00675EF1"/>
    <w:rsid w:val="00675F75"/>
    <w:rsid w:val="00676214"/>
    <w:rsid w:val="0067625F"/>
    <w:rsid w:val="0067634F"/>
    <w:rsid w:val="006763F4"/>
    <w:rsid w:val="006764A6"/>
    <w:rsid w:val="00676539"/>
    <w:rsid w:val="0067656D"/>
    <w:rsid w:val="006765FC"/>
    <w:rsid w:val="006765FF"/>
    <w:rsid w:val="00676799"/>
    <w:rsid w:val="00676822"/>
    <w:rsid w:val="00676851"/>
    <w:rsid w:val="0067686A"/>
    <w:rsid w:val="0067687B"/>
    <w:rsid w:val="006768A9"/>
    <w:rsid w:val="00676986"/>
    <w:rsid w:val="00676C90"/>
    <w:rsid w:val="00676CD2"/>
    <w:rsid w:val="00676DD6"/>
    <w:rsid w:val="00676E2D"/>
    <w:rsid w:val="00676E94"/>
    <w:rsid w:val="00677034"/>
    <w:rsid w:val="00677239"/>
    <w:rsid w:val="0067732F"/>
    <w:rsid w:val="006773A3"/>
    <w:rsid w:val="00677447"/>
    <w:rsid w:val="006775AB"/>
    <w:rsid w:val="006775FC"/>
    <w:rsid w:val="006776B1"/>
    <w:rsid w:val="006776D9"/>
    <w:rsid w:val="00677789"/>
    <w:rsid w:val="006777E6"/>
    <w:rsid w:val="00677A53"/>
    <w:rsid w:val="00677ACB"/>
    <w:rsid w:val="00677B03"/>
    <w:rsid w:val="00677B41"/>
    <w:rsid w:val="00677B64"/>
    <w:rsid w:val="00677B83"/>
    <w:rsid w:val="00677C40"/>
    <w:rsid w:val="00677C75"/>
    <w:rsid w:val="00677C96"/>
    <w:rsid w:val="00677D37"/>
    <w:rsid w:val="00677D46"/>
    <w:rsid w:val="00677E50"/>
    <w:rsid w:val="00677F99"/>
    <w:rsid w:val="00677FA3"/>
    <w:rsid w:val="00680082"/>
    <w:rsid w:val="006800C8"/>
    <w:rsid w:val="00680288"/>
    <w:rsid w:val="006802B1"/>
    <w:rsid w:val="006802F0"/>
    <w:rsid w:val="006803B5"/>
    <w:rsid w:val="006803C8"/>
    <w:rsid w:val="00680451"/>
    <w:rsid w:val="006804E5"/>
    <w:rsid w:val="006804EB"/>
    <w:rsid w:val="006804FF"/>
    <w:rsid w:val="00680531"/>
    <w:rsid w:val="00680590"/>
    <w:rsid w:val="0068059A"/>
    <w:rsid w:val="00680611"/>
    <w:rsid w:val="00680744"/>
    <w:rsid w:val="00680751"/>
    <w:rsid w:val="00680755"/>
    <w:rsid w:val="00680780"/>
    <w:rsid w:val="006807E4"/>
    <w:rsid w:val="00680801"/>
    <w:rsid w:val="00680854"/>
    <w:rsid w:val="0068097B"/>
    <w:rsid w:val="006809C6"/>
    <w:rsid w:val="00680A3D"/>
    <w:rsid w:val="00680B63"/>
    <w:rsid w:val="00680B94"/>
    <w:rsid w:val="00680C1E"/>
    <w:rsid w:val="00680D18"/>
    <w:rsid w:val="00680D94"/>
    <w:rsid w:val="00680D9F"/>
    <w:rsid w:val="00680DA6"/>
    <w:rsid w:val="00680DF8"/>
    <w:rsid w:val="00680ED4"/>
    <w:rsid w:val="00680EF3"/>
    <w:rsid w:val="00680F75"/>
    <w:rsid w:val="00681030"/>
    <w:rsid w:val="00681151"/>
    <w:rsid w:val="00681162"/>
    <w:rsid w:val="00681186"/>
    <w:rsid w:val="00681191"/>
    <w:rsid w:val="0068120B"/>
    <w:rsid w:val="006813C1"/>
    <w:rsid w:val="006814F9"/>
    <w:rsid w:val="006814FA"/>
    <w:rsid w:val="00681626"/>
    <w:rsid w:val="006816A7"/>
    <w:rsid w:val="006816E8"/>
    <w:rsid w:val="00681721"/>
    <w:rsid w:val="00681805"/>
    <w:rsid w:val="0068185A"/>
    <w:rsid w:val="00681B9B"/>
    <w:rsid w:val="00681BB9"/>
    <w:rsid w:val="00681BC2"/>
    <w:rsid w:val="00681C07"/>
    <w:rsid w:val="00681CE9"/>
    <w:rsid w:val="00681D0F"/>
    <w:rsid w:val="00681D2F"/>
    <w:rsid w:val="00681D47"/>
    <w:rsid w:val="00681D59"/>
    <w:rsid w:val="00681DDF"/>
    <w:rsid w:val="00681E00"/>
    <w:rsid w:val="00681E2E"/>
    <w:rsid w:val="00681E31"/>
    <w:rsid w:val="00681F09"/>
    <w:rsid w:val="00681F5B"/>
    <w:rsid w:val="00681F90"/>
    <w:rsid w:val="00681FAF"/>
    <w:rsid w:val="00682046"/>
    <w:rsid w:val="00682129"/>
    <w:rsid w:val="0068223C"/>
    <w:rsid w:val="00682296"/>
    <w:rsid w:val="006822E5"/>
    <w:rsid w:val="006822EF"/>
    <w:rsid w:val="006823AA"/>
    <w:rsid w:val="006823E5"/>
    <w:rsid w:val="00682447"/>
    <w:rsid w:val="00682529"/>
    <w:rsid w:val="00682566"/>
    <w:rsid w:val="0068257A"/>
    <w:rsid w:val="0068257B"/>
    <w:rsid w:val="006825C6"/>
    <w:rsid w:val="006825D0"/>
    <w:rsid w:val="00682637"/>
    <w:rsid w:val="0068291C"/>
    <w:rsid w:val="00682A5B"/>
    <w:rsid w:val="00682A8B"/>
    <w:rsid w:val="00682C92"/>
    <w:rsid w:val="00682D46"/>
    <w:rsid w:val="00682DCE"/>
    <w:rsid w:val="00682DDA"/>
    <w:rsid w:val="00682E1A"/>
    <w:rsid w:val="00682F52"/>
    <w:rsid w:val="00682F68"/>
    <w:rsid w:val="00683015"/>
    <w:rsid w:val="0068305C"/>
    <w:rsid w:val="00683295"/>
    <w:rsid w:val="006832A7"/>
    <w:rsid w:val="006832E6"/>
    <w:rsid w:val="0068339E"/>
    <w:rsid w:val="006834CA"/>
    <w:rsid w:val="00683528"/>
    <w:rsid w:val="0068356E"/>
    <w:rsid w:val="006835C8"/>
    <w:rsid w:val="006835ED"/>
    <w:rsid w:val="006835F4"/>
    <w:rsid w:val="00683607"/>
    <w:rsid w:val="00683646"/>
    <w:rsid w:val="0068364F"/>
    <w:rsid w:val="0068367B"/>
    <w:rsid w:val="00683748"/>
    <w:rsid w:val="00683831"/>
    <w:rsid w:val="006838EC"/>
    <w:rsid w:val="00683984"/>
    <w:rsid w:val="00683A03"/>
    <w:rsid w:val="00683A3E"/>
    <w:rsid w:val="00683A4A"/>
    <w:rsid w:val="00683AF1"/>
    <w:rsid w:val="00683BD0"/>
    <w:rsid w:val="00683C4F"/>
    <w:rsid w:val="00683D2D"/>
    <w:rsid w:val="00683D5A"/>
    <w:rsid w:val="00683E07"/>
    <w:rsid w:val="00683E26"/>
    <w:rsid w:val="00683E2C"/>
    <w:rsid w:val="00683E3A"/>
    <w:rsid w:val="00683E61"/>
    <w:rsid w:val="00683ECA"/>
    <w:rsid w:val="00683F79"/>
    <w:rsid w:val="00683F94"/>
    <w:rsid w:val="00684047"/>
    <w:rsid w:val="006840C2"/>
    <w:rsid w:val="006840E2"/>
    <w:rsid w:val="00684173"/>
    <w:rsid w:val="00684292"/>
    <w:rsid w:val="00684359"/>
    <w:rsid w:val="00684419"/>
    <w:rsid w:val="0068459E"/>
    <w:rsid w:val="006847CE"/>
    <w:rsid w:val="0068480F"/>
    <w:rsid w:val="00684878"/>
    <w:rsid w:val="00684930"/>
    <w:rsid w:val="00684991"/>
    <w:rsid w:val="006849A3"/>
    <w:rsid w:val="00684AC7"/>
    <w:rsid w:val="00684B9D"/>
    <w:rsid w:val="00684BD2"/>
    <w:rsid w:val="00684BED"/>
    <w:rsid w:val="00684C3F"/>
    <w:rsid w:val="00684D22"/>
    <w:rsid w:val="00684E1C"/>
    <w:rsid w:val="00684E32"/>
    <w:rsid w:val="00684E96"/>
    <w:rsid w:val="00684EF0"/>
    <w:rsid w:val="00684F6F"/>
    <w:rsid w:val="00684FC4"/>
    <w:rsid w:val="00685147"/>
    <w:rsid w:val="00685202"/>
    <w:rsid w:val="006852C1"/>
    <w:rsid w:val="006852E5"/>
    <w:rsid w:val="00685337"/>
    <w:rsid w:val="006853F7"/>
    <w:rsid w:val="00685472"/>
    <w:rsid w:val="006855AA"/>
    <w:rsid w:val="0068567A"/>
    <w:rsid w:val="00685692"/>
    <w:rsid w:val="0068569E"/>
    <w:rsid w:val="006856BF"/>
    <w:rsid w:val="006858C5"/>
    <w:rsid w:val="006858C8"/>
    <w:rsid w:val="006858DF"/>
    <w:rsid w:val="006859AD"/>
    <w:rsid w:val="006859CC"/>
    <w:rsid w:val="00685A13"/>
    <w:rsid w:val="00685A40"/>
    <w:rsid w:val="00685A64"/>
    <w:rsid w:val="00685A84"/>
    <w:rsid w:val="00685C11"/>
    <w:rsid w:val="00685CCD"/>
    <w:rsid w:val="00685E38"/>
    <w:rsid w:val="00685E4B"/>
    <w:rsid w:val="00685F29"/>
    <w:rsid w:val="0068601D"/>
    <w:rsid w:val="00686106"/>
    <w:rsid w:val="00686138"/>
    <w:rsid w:val="00686167"/>
    <w:rsid w:val="0068617D"/>
    <w:rsid w:val="006861A8"/>
    <w:rsid w:val="006861BE"/>
    <w:rsid w:val="00686231"/>
    <w:rsid w:val="00686245"/>
    <w:rsid w:val="006862BE"/>
    <w:rsid w:val="00686449"/>
    <w:rsid w:val="00686549"/>
    <w:rsid w:val="006865C2"/>
    <w:rsid w:val="006866A3"/>
    <w:rsid w:val="006866F2"/>
    <w:rsid w:val="00686714"/>
    <w:rsid w:val="006867F9"/>
    <w:rsid w:val="00686824"/>
    <w:rsid w:val="00686986"/>
    <w:rsid w:val="00686A29"/>
    <w:rsid w:val="00686AD9"/>
    <w:rsid w:val="00686B42"/>
    <w:rsid w:val="00686B44"/>
    <w:rsid w:val="00686B88"/>
    <w:rsid w:val="00686C38"/>
    <w:rsid w:val="00686CE1"/>
    <w:rsid w:val="00686D31"/>
    <w:rsid w:val="00686E75"/>
    <w:rsid w:val="0068701B"/>
    <w:rsid w:val="00687026"/>
    <w:rsid w:val="0068702A"/>
    <w:rsid w:val="0068703B"/>
    <w:rsid w:val="00687168"/>
    <w:rsid w:val="00687269"/>
    <w:rsid w:val="006872C9"/>
    <w:rsid w:val="006872E4"/>
    <w:rsid w:val="006872E5"/>
    <w:rsid w:val="00687345"/>
    <w:rsid w:val="00687583"/>
    <w:rsid w:val="00687930"/>
    <w:rsid w:val="0068793A"/>
    <w:rsid w:val="0068798A"/>
    <w:rsid w:val="006879B6"/>
    <w:rsid w:val="006879BB"/>
    <w:rsid w:val="00687B2B"/>
    <w:rsid w:val="00687B2D"/>
    <w:rsid w:val="00687B37"/>
    <w:rsid w:val="00687BDF"/>
    <w:rsid w:val="00687BEC"/>
    <w:rsid w:val="00687CA9"/>
    <w:rsid w:val="00687CB0"/>
    <w:rsid w:val="00687CE1"/>
    <w:rsid w:val="00687D1E"/>
    <w:rsid w:val="00687DCE"/>
    <w:rsid w:val="00687E3A"/>
    <w:rsid w:val="00687E60"/>
    <w:rsid w:val="00687EFB"/>
    <w:rsid w:val="00687F02"/>
    <w:rsid w:val="00687F06"/>
    <w:rsid w:val="00687F3E"/>
    <w:rsid w:val="00687FCD"/>
    <w:rsid w:val="0069000A"/>
    <w:rsid w:val="0069010A"/>
    <w:rsid w:val="0069011A"/>
    <w:rsid w:val="00690122"/>
    <w:rsid w:val="00690191"/>
    <w:rsid w:val="006901A4"/>
    <w:rsid w:val="006901EA"/>
    <w:rsid w:val="006901EE"/>
    <w:rsid w:val="00690217"/>
    <w:rsid w:val="00690218"/>
    <w:rsid w:val="006902B0"/>
    <w:rsid w:val="0069033F"/>
    <w:rsid w:val="0069036D"/>
    <w:rsid w:val="00690378"/>
    <w:rsid w:val="00690501"/>
    <w:rsid w:val="0069055C"/>
    <w:rsid w:val="00690572"/>
    <w:rsid w:val="00690608"/>
    <w:rsid w:val="0069067B"/>
    <w:rsid w:val="006906A9"/>
    <w:rsid w:val="00690749"/>
    <w:rsid w:val="006907AE"/>
    <w:rsid w:val="006907B5"/>
    <w:rsid w:val="0069081A"/>
    <w:rsid w:val="006909C0"/>
    <w:rsid w:val="00690A4A"/>
    <w:rsid w:val="00690A83"/>
    <w:rsid w:val="00690A9F"/>
    <w:rsid w:val="00690CB9"/>
    <w:rsid w:val="00691070"/>
    <w:rsid w:val="006910FD"/>
    <w:rsid w:val="0069116C"/>
    <w:rsid w:val="00691190"/>
    <w:rsid w:val="006911A1"/>
    <w:rsid w:val="006911AB"/>
    <w:rsid w:val="006911E8"/>
    <w:rsid w:val="006911FA"/>
    <w:rsid w:val="0069122C"/>
    <w:rsid w:val="00691257"/>
    <w:rsid w:val="006912E0"/>
    <w:rsid w:val="006913B2"/>
    <w:rsid w:val="006913CC"/>
    <w:rsid w:val="006913DE"/>
    <w:rsid w:val="00691403"/>
    <w:rsid w:val="00691471"/>
    <w:rsid w:val="00691491"/>
    <w:rsid w:val="00691499"/>
    <w:rsid w:val="006916C8"/>
    <w:rsid w:val="006916CF"/>
    <w:rsid w:val="006916EA"/>
    <w:rsid w:val="0069170E"/>
    <w:rsid w:val="0069171C"/>
    <w:rsid w:val="006917A5"/>
    <w:rsid w:val="00691828"/>
    <w:rsid w:val="00691829"/>
    <w:rsid w:val="006918E1"/>
    <w:rsid w:val="006918FF"/>
    <w:rsid w:val="00691AA6"/>
    <w:rsid w:val="00691AC2"/>
    <w:rsid w:val="00691B44"/>
    <w:rsid w:val="00691B6D"/>
    <w:rsid w:val="00691C42"/>
    <w:rsid w:val="00691CB9"/>
    <w:rsid w:val="00691CD9"/>
    <w:rsid w:val="00691D1E"/>
    <w:rsid w:val="00691DDB"/>
    <w:rsid w:val="00691DF1"/>
    <w:rsid w:val="00691E22"/>
    <w:rsid w:val="00691E3B"/>
    <w:rsid w:val="00691EF9"/>
    <w:rsid w:val="00691F07"/>
    <w:rsid w:val="00692072"/>
    <w:rsid w:val="006920AC"/>
    <w:rsid w:val="006920FA"/>
    <w:rsid w:val="00692166"/>
    <w:rsid w:val="006921D6"/>
    <w:rsid w:val="006921E7"/>
    <w:rsid w:val="00692230"/>
    <w:rsid w:val="00692306"/>
    <w:rsid w:val="00692361"/>
    <w:rsid w:val="0069236B"/>
    <w:rsid w:val="006923CF"/>
    <w:rsid w:val="006924A1"/>
    <w:rsid w:val="00692502"/>
    <w:rsid w:val="00692565"/>
    <w:rsid w:val="00692600"/>
    <w:rsid w:val="0069267B"/>
    <w:rsid w:val="0069269A"/>
    <w:rsid w:val="0069270B"/>
    <w:rsid w:val="00692711"/>
    <w:rsid w:val="0069288F"/>
    <w:rsid w:val="00692A0E"/>
    <w:rsid w:val="00692A58"/>
    <w:rsid w:val="00692A9F"/>
    <w:rsid w:val="00692B88"/>
    <w:rsid w:val="00692C1E"/>
    <w:rsid w:val="00692CA0"/>
    <w:rsid w:val="00692CC8"/>
    <w:rsid w:val="00692D1B"/>
    <w:rsid w:val="00692DAB"/>
    <w:rsid w:val="00692E93"/>
    <w:rsid w:val="00692EF6"/>
    <w:rsid w:val="00693043"/>
    <w:rsid w:val="00693082"/>
    <w:rsid w:val="006930ED"/>
    <w:rsid w:val="00693122"/>
    <w:rsid w:val="006931E9"/>
    <w:rsid w:val="00693223"/>
    <w:rsid w:val="006932AA"/>
    <w:rsid w:val="006932B1"/>
    <w:rsid w:val="006932EE"/>
    <w:rsid w:val="006932FB"/>
    <w:rsid w:val="00693329"/>
    <w:rsid w:val="0069335B"/>
    <w:rsid w:val="006933EC"/>
    <w:rsid w:val="00693408"/>
    <w:rsid w:val="00693484"/>
    <w:rsid w:val="0069348F"/>
    <w:rsid w:val="00693516"/>
    <w:rsid w:val="006935E9"/>
    <w:rsid w:val="0069376E"/>
    <w:rsid w:val="006937CB"/>
    <w:rsid w:val="0069388F"/>
    <w:rsid w:val="00693A5A"/>
    <w:rsid w:val="00693BAF"/>
    <w:rsid w:val="00693BEA"/>
    <w:rsid w:val="00693C3B"/>
    <w:rsid w:val="00693D83"/>
    <w:rsid w:val="00693DC5"/>
    <w:rsid w:val="00693E00"/>
    <w:rsid w:val="00693E32"/>
    <w:rsid w:val="00694091"/>
    <w:rsid w:val="0069413A"/>
    <w:rsid w:val="006942B6"/>
    <w:rsid w:val="0069431F"/>
    <w:rsid w:val="0069438F"/>
    <w:rsid w:val="00694424"/>
    <w:rsid w:val="00694499"/>
    <w:rsid w:val="006944C0"/>
    <w:rsid w:val="0069451E"/>
    <w:rsid w:val="00694556"/>
    <w:rsid w:val="00694578"/>
    <w:rsid w:val="006945A0"/>
    <w:rsid w:val="006945B2"/>
    <w:rsid w:val="006945D6"/>
    <w:rsid w:val="00694604"/>
    <w:rsid w:val="00694620"/>
    <w:rsid w:val="006947ED"/>
    <w:rsid w:val="00694854"/>
    <w:rsid w:val="006948BE"/>
    <w:rsid w:val="006948F7"/>
    <w:rsid w:val="00694973"/>
    <w:rsid w:val="006949FA"/>
    <w:rsid w:val="00694AE4"/>
    <w:rsid w:val="00694AEA"/>
    <w:rsid w:val="00694B9B"/>
    <w:rsid w:val="00694BB4"/>
    <w:rsid w:val="00694BB8"/>
    <w:rsid w:val="00694C96"/>
    <w:rsid w:val="00694CEF"/>
    <w:rsid w:val="00694D4F"/>
    <w:rsid w:val="00694D50"/>
    <w:rsid w:val="00694D62"/>
    <w:rsid w:val="00694D80"/>
    <w:rsid w:val="00694D8A"/>
    <w:rsid w:val="00694D95"/>
    <w:rsid w:val="00694DB9"/>
    <w:rsid w:val="00694E38"/>
    <w:rsid w:val="00694EC6"/>
    <w:rsid w:val="00694EF2"/>
    <w:rsid w:val="00694F83"/>
    <w:rsid w:val="00694FD7"/>
    <w:rsid w:val="0069503F"/>
    <w:rsid w:val="00695206"/>
    <w:rsid w:val="006952A9"/>
    <w:rsid w:val="0069530A"/>
    <w:rsid w:val="00695348"/>
    <w:rsid w:val="00695356"/>
    <w:rsid w:val="00695390"/>
    <w:rsid w:val="00695398"/>
    <w:rsid w:val="00695476"/>
    <w:rsid w:val="00695512"/>
    <w:rsid w:val="0069552E"/>
    <w:rsid w:val="0069559E"/>
    <w:rsid w:val="006956AB"/>
    <w:rsid w:val="00695719"/>
    <w:rsid w:val="006957D2"/>
    <w:rsid w:val="0069591B"/>
    <w:rsid w:val="006959F0"/>
    <w:rsid w:val="00695AB8"/>
    <w:rsid w:val="00695ACE"/>
    <w:rsid w:val="00695C1F"/>
    <w:rsid w:val="00695C47"/>
    <w:rsid w:val="00695E15"/>
    <w:rsid w:val="00695EB9"/>
    <w:rsid w:val="00695ED1"/>
    <w:rsid w:val="00695EEE"/>
    <w:rsid w:val="00696016"/>
    <w:rsid w:val="0069606B"/>
    <w:rsid w:val="006960C3"/>
    <w:rsid w:val="006960D1"/>
    <w:rsid w:val="006960FD"/>
    <w:rsid w:val="006961B6"/>
    <w:rsid w:val="00696476"/>
    <w:rsid w:val="006964AE"/>
    <w:rsid w:val="00696548"/>
    <w:rsid w:val="0069657E"/>
    <w:rsid w:val="00696609"/>
    <w:rsid w:val="00696621"/>
    <w:rsid w:val="00696651"/>
    <w:rsid w:val="006966B8"/>
    <w:rsid w:val="006966DD"/>
    <w:rsid w:val="00696738"/>
    <w:rsid w:val="00696762"/>
    <w:rsid w:val="00696798"/>
    <w:rsid w:val="006967E3"/>
    <w:rsid w:val="006968C5"/>
    <w:rsid w:val="006968DF"/>
    <w:rsid w:val="00696913"/>
    <w:rsid w:val="006969F9"/>
    <w:rsid w:val="00696ADC"/>
    <w:rsid w:val="00696B59"/>
    <w:rsid w:val="00696C8F"/>
    <w:rsid w:val="00696C9F"/>
    <w:rsid w:val="00696D12"/>
    <w:rsid w:val="00696DAC"/>
    <w:rsid w:val="00696E5D"/>
    <w:rsid w:val="00697004"/>
    <w:rsid w:val="0069703B"/>
    <w:rsid w:val="006970A1"/>
    <w:rsid w:val="006970BC"/>
    <w:rsid w:val="006970DA"/>
    <w:rsid w:val="00697168"/>
    <w:rsid w:val="006971BD"/>
    <w:rsid w:val="00697203"/>
    <w:rsid w:val="0069722A"/>
    <w:rsid w:val="00697242"/>
    <w:rsid w:val="0069724F"/>
    <w:rsid w:val="0069734E"/>
    <w:rsid w:val="0069739D"/>
    <w:rsid w:val="00697469"/>
    <w:rsid w:val="006974D1"/>
    <w:rsid w:val="006974D7"/>
    <w:rsid w:val="0069750A"/>
    <w:rsid w:val="0069760E"/>
    <w:rsid w:val="0069765A"/>
    <w:rsid w:val="00697688"/>
    <w:rsid w:val="0069769B"/>
    <w:rsid w:val="0069769C"/>
    <w:rsid w:val="006976B7"/>
    <w:rsid w:val="00697788"/>
    <w:rsid w:val="006977BA"/>
    <w:rsid w:val="006977F8"/>
    <w:rsid w:val="00697832"/>
    <w:rsid w:val="00697945"/>
    <w:rsid w:val="0069797E"/>
    <w:rsid w:val="00697984"/>
    <w:rsid w:val="00697A3F"/>
    <w:rsid w:val="00697BB8"/>
    <w:rsid w:val="00697BFF"/>
    <w:rsid w:val="00697CC2"/>
    <w:rsid w:val="00697CCB"/>
    <w:rsid w:val="00697E14"/>
    <w:rsid w:val="00697E5A"/>
    <w:rsid w:val="00697F2E"/>
    <w:rsid w:val="00697F6B"/>
    <w:rsid w:val="00697FDF"/>
    <w:rsid w:val="006A0011"/>
    <w:rsid w:val="006A0099"/>
    <w:rsid w:val="006A0188"/>
    <w:rsid w:val="006A02B9"/>
    <w:rsid w:val="006A0329"/>
    <w:rsid w:val="006A0459"/>
    <w:rsid w:val="006A0475"/>
    <w:rsid w:val="006A04B9"/>
    <w:rsid w:val="006A05E2"/>
    <w:rsid w:val="006A0603"/>
    <w:rsid w:val="006A0671"/>
    <w:rsid w:val="006A0740"/>
    <w:rsid w:val="006A07EA"/>
    <w:rsid w:val="006A09B3"/>
    <w:rsid w:val="006A0A34"/>
    <w:rsid w:val="006A0A98"/>
    <w:rsid w:val="006A0AC1"/>
    <w:rsid w:val="006A0B3B"/>
    <w:rsid w:val="006A0B6A"/>
    <w:rsid w:val="006A0BD5"/>
    <w:rsid w:val="006A0C34"/>
    <w:rsid w:val="006A0C99"/>
    <w:rsid w:val="006A0D56"/>
    <w:rsid w:val="006A0D78"/>
    <w:rsid w:val="006A0E71"/>
    <w:rsid w:val="006A0E88"/>
    <w:rsid w:val="006A0ECB"/>
    <w:rsid w:val="006A0F3E"/>
    <w:rsid w:val="006A0F97"/>
    <w:rsid w:val="006A0FBF"/>
    <w:rsid w:val="006A102A"/>
    <w:rsid w:val="006A1032"/>
    <w:rsid w:val="006A1104"/>
    <w:rsid w:val="006A12AB"/>
    <w:rsid w:val="006A130D"/>
    <w:rsid w:val="006A1507"/>
    <w:rsid w:val="006A15A4"/>
    <w:rsid w:val="006A15D3"/>
    <w:rsid w:val="006A15EE"/>
    <w:rsid w:val="006A164A"/>
    <w:rsid w:val="006A179F"/>
    <w:rsid w:val="006A17F8"/>
    <w:rsid w:val="006A1876"/>
    <w:rsid w:val="006A1891"/>
    <w:rsid w:val="006A18A8"/>
    <w:rsid w:val="006A18ED"/>
    <w:rsid w:val="006A1919"/>
    <w:rsid w:val="006A1BDD"/>
    <w:rsid w:val="006A1C91"/>
    <w:rsid w:val="006A1CC4"/>
    <w:rsid w:val="006A1D7E"/>
    <w:rsid w:val="006A1F26"/>
    <w:rsid w:val="006A1FCA"/>
    <w:rsid w:val="006A20F2"/>
    <w:rsid w:val="006A2105"/>
    <w:rsid w:val="006A2314"/>
    <w:rsid w:val="006A2343"/>
    <w:rsid w:val="006A23D8"/>
    <w:rsid w:val="006A253B"/>
    <w:rsid w:val="006A25E1"/>
    <w:rsid w:val="006A25EB"/>
    <w:rsid w:val="006A284F"/>
    <w:rsid w:val="006A28E7"/>
    <w:rsid w:val="006A2A7D"/>
    <w:rsid w:val="006A2B25"/>
    <w:rsid w:val="006A2B2A"/>
    <w:rsid w:val="006A2BB0"/>
    <w:rsid w:val="006A2BBF"/>
    <w:rsid w:val="006A2BCA"/>
    <w:rsid w:val="006A2C80"/>
    <w:rsid w:val="006A2CB8"/>
    <w:rsid w:val="006A2CF9"/>
    <w:rsid w:val="006A2D99"/>
    <w:rsid w:val="006A2E2C"/>
    <w:rsid w:val="006A2FE6"/>
    <w:rsid w:val="006A3016"/>
    <w:rsid w:val="006A302C"/>
    <w:rsid w:val="006A3046"/>
    <w:rsid w:val="006A30D2"/>
    <w:rsid w:val="006A3107"/>
    <w:rsid w:val="006A3188"/>
    <w:rsid w:val="006A3246"/>
    <w:rsid w:val="006A3298"/>
    <w:rsid w:val="006A32BC"/>
    <w:rsid w:val="006A32E4"/>
    <w:rsid w:val="006A33A5"/>
    <w:rsid w:val="006A33DA"/>
    <w:rsid w:val="006A3423"/>
    <w:rsid w:val="006A3515"/>
    <w:rsid w:val="006A357E"/>
    <w:rsid w:val="006A35E4"/>
    <w:rsid w:val="006A3635"/>
    <w:rsid w:val="006A36C4"/>
    <w:rsid w:val="006A36CA"/>
    <w:rsid w:val="006A36D6"/>
    <w:rsid w:val="006A378F"/>
    <w:rsid w:val="006A3850"/>
    <w:rsid w:val="006A386D"/>
    <w:rsid w:val="006A3ABF"/>
    <w:rsid w:val="006A3B0D"/>
    <w:rsid w:val="006A3BBB"/>
    <w:rsid w:val="006A3C21"/>
    <w:rsid w:val="006A3C45"/>
    <w:rsid w:val="006A3C67"/>
    <w:rsid w:val="006A3D02"/>
    <w:rsid w:val="006A3EDA"/>
    <w:rsid w:val="006A3FB6"/>
    <w:rsid w:val="006A3FE8"/>
    <w:rsid w:val="006A4029"/>
    <w:rsid w:val="006A403F"/>
    <w:rsid w:val="006A4083"/>
    <w:rsid w:val="006A40C3"/>
    <w:rsid w:val="006A419D"/>
    <w:rsid w:val="006A4237"/>
    <w:rsid w:val="006A426F"/>
    <w:rsid w:val="006A4363"/>
    <w:rsid w:val="006A43ED"/>
    <w:rsid w:val="006A452A"/>
    <w:rsid w:val="006A4556"/>
    <w:rsid w:val="006A45A0"/>
    <w:rsid w:val="006A4650"/>
    <w:rsid w:val="006A4679"/>
    <w:rsid w:val="006A46D7"/>
    <w:rsid w:val="006A473D"/>
    <w:rsid w:val="006A4742"/>
    <w:rsid w:val="006A47DB"/>
    <w:rsid w:val="006A47ED"/>
    <w:rsid w:val="006A492E"/>
    <w:rsid w:val="006A499F"/>
    <w:rsid w:val="006A4A0D"/>
    <w:rsid w:val="006A4A66"/>
    <w:rsid w:val="006A4A9C"/>
    <w:rsid w:val="006A4AA5"/>
    <w:rsid w:val="006A4AE7"/>
    <w:rsid w:val="006A4AEB"/>
    <w:rsid w:val="006A4AF3"/>
    <w:rsid w:val="006A4B59"/>
    <w:rsid w:val="006A4B76"/>
    <w:rsid w:val="006A4C72"/>
    <w:rsid w:val="006A4E0D"/>
    <w:rsid w:val="006A4E4A"/>
    <w:rsid w:val="006A4F67"/>
    <w:rsid w:val="006A4F74"/>
    <w:rsid w:val="006A4FBA"/>
    <w:rsid w:val="006A50A6"/>
    <w:rsid w:val="006A5131"/>
    <w:rsid w:val="006A5146"/>
    <w:rsid w:val="006A5228"/>
    <w:rsid w:val="006A5230"/>
    <w:rsid w:val="006A539F"/>
    <w:rsid w:val="006A53E4"/>
    <w:rsid w:val="006A551D"/>
    <w:rsid w:val="006A5537"/>
    <w:rsid w:val="006A5604"/>
    <w:rsid w:val="006A57C7"/>
    <w:rsid w:val="006A586C"/>
    <w:rsid w:val="006A58B0"/>
    <w:rsid w:val="006A58D8"/>
    <w:rsid w:val="006A59A9"/>
    <w:rsid w:val="006A5A36"/>
    <w:rsid w:val="006A5B72"/>
    <w:rsid w:val="006A5B96"/>
    <w:rsid w:val="006A5BA8"/>
    <w:rsid w:val="006A5C49"/>
    <w:rsid w:val="006A5C8A"/>
    <w:rsid w:val="006A5D45"/>
    <w:rsid w:val="006A5DEE"/>
    <w:rsid w:val="006A5E13"/>
    <w:rsid w:val="006A5E1D"/>
    <w:rsid w:val="006A5E2E"/>
    <w:rsid w:val="006A5E91"/>
    <w:rsid w:val="006A5EB7"/>
    <w:rsid w:val="006A5FAA"/>
    <w:rsid w:val="006A604A"/>
    <w:rsid w:val="006A60F0"/>
    <w:rsid w:val="006A617B"/>
    <w:rsid w:val="006A62E5"/>
    <w:rsid w:val="006A6307"/>
    <w:rsid w:val="006A63C5"/>
    <w:rsid w:val="006A63C6"/>
    <w:rsid w:val="006A63DE"/>
    <w:rsid w:val="006A6507"/>
    <w:rsid w:val="006A650E"/>
    <w:rsid w:val="006A6529"/>
    <w:rsid w:val="006A6598"/>
    <w:rsid w:val="006A660B"/>
    <w:rsid w:val="006A6623"/>
    <w:rsid w:val="006A6635"/>
    <w:rsid w:val="006A665F"/>
    <w:rsid w:val="006A6698"/>
    <w:rsid w:val="006A66B5"/>
    <w:rsid w:val="006A6735"/>
    <w:rsid w:val="006A675E"/>
    <w:rsid w:val="006A6912"/>
    <w:rsid w:val="006A6929"/>
    <w:rsid w:val="006A696C"/>
    <w:rsid w:val="006A69B4"/>
    <w:rsid w:val="006A6A76"/>
    <w:rsid w:val="006A6A89"/>
    <w:rsid w:val="006A6ADC"/>
    <w:rsid w:val="006A6AE6"/>
    <w:rsid w:val="006A6AFB"/>
    <w:rsid w:val="006A6B3D"/>
    <w:rsid w:val="006A6BEA"/>
    <w:rsid w:val="006A6C0B"/>
    <w:rsid w:val="006A6C15"/>
    <w:rsid w:val="006A6C2E"/>
    <w:rsid w:val="006A6C69"/>
    <w:rsid w:val="006A6C71"/>
    <w:rsid w:val="006A6C9F"/>
    <w:rsid w:val="006A6CA5"/>
    <w:rsid w:val="006A6D72"/>
    <w:rsid w:val="006A6DC7"/>
    <w:rsid w:val="006A6EB8"/>
    <w:rsid w:val="006A6ED8"/>
    <w:rsid w:val="006A6F68"/>
    <w:rsid w:val="006A6F7E"/>
    <w:rsid w:val="006A7111"/>
    <w:rsid w:val="006A725F"/>
    <w:rsid w:val="006A72AA"/>
    <w:rsid w:val="006A72FC"/>
    <w:rsid w:val="006A7305"/>
    <w:rsid w:val="006A7371"/>
    <w:rsid w:val="006A73C2"/>
    <w:rsid w:val="006A7405"/>
    <w:rsid w:val="006A747E"/>
    <w:rsid w:val="006A7635"/>
    <w:rsid w:val="006A7690"/>
    <w:rsid w:val="006A76AA"/>
    <w:rsid w:val="006A76DC"/>
    <w:rsid w:val="006A76DD"/>
    <w:rsid w:val="006A76F4"/>
    <w:rsid w:val="006A7726"/>
    <w:rsid w:val="006A772E"/>
    <w:rsid w:val="006A778B"/>
    <w:rsid w:val="006A77E9"/>
    <w:rsid w:val="006A77FE"/>
    <w:rsid w:val="006A79C1"/>
    <w:rsid w:val="006A7A4A"/>
    <w:rsid w:val="006A7A93"/>
    <w:rsid w:val="006A7B42"/>
    <w:rsid w:val="006A7B6D"/>
    <w:rsid w:val="006A7D51"/>
    <w:rsid w:val="006A7D79"/>
    <w:rsid w:val="006A7D8F"/>
    <w:rsid w:val="006A7DEF"/>
    <w:rsid w:val="006A7E0B"/>
    <w:rsid w:val="006A7E39"/>
    <w:rsid w:val="006A7E53"/>
    <w:rsid w:val="006A7F7B"/>
    <w:rsid w:val="006A7F9A"/>
    <w:rsid w:val="006B0263"/>
    <w:rsid w:val="006B0310"/>
    <w:rsid w:val="006B0323"/>
    <w:rsid w:val="006B034D"/>
    <w:rsid w:val="006B03DB"/>
    <w:rsid w:val="006B0532"/>
    <w:rsid w:val="006B0541"/>
    <w:rsid w:val="006B054C"/>
    <w:rsid w:val="006B0588"/>
    <w:rsid w:val="006B0621"/>
    <w:rsid w:val="006B0661"/>
    <w:rsid w:val="006B0683"/>
    <w:rsid w:val="006B0747"/>
    <w:rsid w:val="006B08C0"/>
    <w:rsid w:val="006B09E2"/>
    <w:rsid w:val="006B0BB8"/>
    <w:rsid w:val="006B0D09"/>
    <w:rsid w:val="006B0D7D"/>
    <w:rsid w:val="006B0D9A"/>
    <w:rsid w:val="006B0E07"/>
    <w:rsid w:val="006B0E12"/>
    <w:rsid w:val="006B0E43"/>
    <w:rsid w:val="006B0E56"/>
    <w:rsid w:val="006B0E80"/>
    <w:rsid w:val="006B0FA5"/>
    <w:rsid w:val="006B1010"/>
    <w:rsid w:val="006B101B"/>
    <w:rsid w:val="006B1024"/>
    <w:rsid w:val="006B10FF"/>
    <w:rsid w:val="006B11AB"/>
    <w:rsid w:val="006B124C"/>
    <w:rsid w:val="006B1378"/>
    <w:rsid w:val="006B13B1"/>
    <w:rsid w:val="006B13F4"/>
    <w:rsid w:val="006B1480"/>
    <w:rsid w:val="006B14D2"/>
    <w:rsid w:val="006B1511"/>
    <w:rsid w:val="006B1566"/>
    <w:rsid w:val="006B164A"/>
    <w:rsid w:val="006B1666"/>
    <w:rsid w:val="006B16C8"/>
    <w:rsid w:val="006B17E8"/>
    <w:rsid w:val="006B1828"/>
    <w:rsid w:val="006B18B6"/>
    <w:rsid w:val="006B1948"/>
    <w:rsid w:val="006B19B2"/>
    <w:rsid w:val="006B1A27"/>
    <w:rsid w:val="006B1A2C"/>
    <w:rsid w:val="006B1A71"/>
    <w:rsid w:val="006B1BE6"/>
    <w:rsid w:val="006B1CA8"/>
    <w:rsid w:val="006B1D7F"/>
    <w:rsid w:val="006B1DA9"/>
    <w:rsid w:val="006B1ED2"/>
    <w:rsid w:val="006B1F06"/>
    <w:rsid w:val="006B1FAC"/>
    <w:rsid w:val="006B2020"/>
    <w:rsid w:val="006B210D"/>
    <w:rsid w:val="006B2165"/>
    <w:rsid w:val="006B2173"/>
    <w:rsid w:val="006B2297"/>
    <w:rsid w:val="006B229D"/>
    <w:rsid w:val="006B22EB"/>
    <w:rsid w:val="006B2696"/>
    <w:rsid w:val="006B281B"/>
    <w:rsid w:val="006B2873"/>
    <w:rsid w:val="006B2960"/>
    <w:rsid w:val="006B2981"/>
    <w:rsid w:val="006B2AE8"/>
    <w:rsid w:val="006B2C2D"/>
    <w:rsid w:val="006B2CFC"/>
    <w:rsid w:val="006B2D6D"/>
    <w:rsid w:val="006B2DF6"/>
    <w:rsid w:val="006B2E50"/>
    <w:rsid w:val="006B2EB9"/>
    <w:rsid w:val="006B2F80"/>
    <w:rsid w:val="006B2FB7"/>
    <w:rsid w:val="006B2FE3"/>
    <w:rsid w:val="006B3141"/>
    <w:rsid w:val="006B3195"/>
    <w:rsid w:val="006B31D6"/>
    <w:rsid w:val="006B31DC"/>
    <w:rsid w:val="006B322D"/>
    <w:rsid w:val="006B3237"/>
    <w:rsid w:val="006B331E"/>
    <w:rsid w:val="006B335C"/>
    <w:rsid w:val="006B3380"/>
    <w:rsid w:val="006B33A1"/>
    <w:rsid w:val="006B33AB"/>
    <w:rsid w:val="006B34B7"/>
    <w:rsid w:val="006B34EC"/>
    <w:rsid w:val="006B350B"/>
    <w:rsid w:val="006B359D"/>
    <w:rsid w:val="006B359E"/>
    <w:rsid w:val="006B35B0"/>
    <w:rsid w:val="006B3613"/>
    <w:rsid w:val="006B3638"/>
    <w:rsid w:val="006B368D"/>
    <w:rsid w:val="006B3697"/>
    <w:rsid w:val="006B3774"/>
    <w:rsid w:val="006B381A"/>
    <w:rsid w:val="006B3928"/>
    <w:rsid w:val="006B392A"/>
    <w:rsid w:val="006B3A97"/>
    <w:rsid w:val="006B3AC2"/>
    <w:rsid w:val="006B3BDA"/>
    <w:rsid w:val="006B3C15"/>
    <w:rsid w:val="006B3C29"/>
    <w:rsid w:val="006B3D65"/>
    <w:rsid w:val="006B3D9C"/>
    <w:rsid w:val="006B3DCB"/>
    <w:rsid w:val="006B40C6"/>
    <w:rsid w:val="006B4101"/>
    <w:rsid w:val="006B41DE"/>
    <w:rsid w:val="006B424F"/>
    <w:rsid w:val="006B4493"/>
    <w:rsid w:val="006B44B9"/>
    <w:rsid w:val="006B44FD"/>
    <w:rsid w:val="006B4547"/>
    <w:rsid w:val="006B4829"/>
    <w:rsid w:val="006B48AC"/>
    <w:rsid w:val="006B4910"/>
    <w:rsid w:val="006B49C8"/>
    <w:rsid w:val="006B4A15"/>
    <w:rsid w:val="006B4A2C"/>
    <w:rsid w:val="006B4AFB"/>
    <w:rsid w:val="006B4B34"/>
    <w:rsid w:val="006B4C30"/>
    <w:rsid w:val="006B4C5A"/>
    <w:rsid w:val="006B4DAA"/>
    <w:rsid w:val="006B50DE"/>
    <w:rsid w:val="006B510F"/>
    <w:rsid w:val="006B517B"/>
    <w:rsid w:val="006B5190"/>
    <w:rsid w:val="006B51D8"/>
    <w:rsid w:val="006B51E4"/>
    <w:rsid w:val="006B52B2"/>
    <w:rsid w:val="006B52E4"/>
    <w:rsid w:val="006B54B9"/>
    <w:rsid w:val="006B54EC"/>
    <w:rsid w:val="006B5528"/>
    <w:rsid w:val="006B5532"/>
    <w:rsid w:val="006B5545"/>
    <w:rsid w:val="006B55DD"/>
    <w:rsid w:val="006B59F8"/>
    <w:rsid w:val="006B5A87"/>
    <w:rsid w:val="006B5C18"/>
    <w:rsid w:val="006B5DA1"/>
    <w:rsid w:val="006B5DA4"/>
    <w:rsid w:val="006B5DB3"/>
    <w:rsid w:val="006B5E51"/>
    <w:rsid w:val="006B5F26"/>
    <w:rsid w:val="006B5F54"/>
    <w:rsid w:val="006B5FA7"/>
    <w:rsid w:val="006B5FDA"/>
    <w:rsid w:val="006B607E"/>
    <w:rsid w:val="006B6144"/>
    <w:rsid w:val="006B6152"/>
    <w:rsid w:val="006B6215"/>
    <w:rsid w:val="006B62AA"/>
    <w:rsid w:val="006B62FE"/>
    <w:rsid w:val="006B639C"/>
    <w:rsid w:val="006B63FD"/>
    <w:rsid w:val="006B6400"/>
    <w:rsid w:val="006B6401"/>
    <w:rsid w:val="006B640C"/>
    <w:rsid w:val="006B64BA"/>
    <w:rsid w:val="006B651C"/>
    <w:rsid w:val="006B658B"/>
    <w:rsid w:val="006B65B2"/>
    <w:rsid w:val="006B6734"/>
    <w:rsid w:val="006B688F"/>
    <w:rsid w:val="006B68C1"/>
    <w:rsid w:val="006B696D"/>
    <w:rsid w:val="006B6A60"/>
    <w:rsid w:val="006B6A61"/>
    <w:rsid w:val="006B6ABC"/>
    <w:rsid w:val="006B6BAA"/>
    <w:rsid w:val="006B6D29"/>
    <w:rsid w:val="006B6D80"/>
    <w:rsid w:val="006B6DD2"/>
    <w:rsid w:val="006B6F32"/>
    <w:rsid w:val="006B6F7D"/>
    <w:rsid w:val="006B6F87"/>
    <w:rsid w:val="006B6FB1"/>
    <w:rsid w:val="006B70F2"/>
    <w:rsid w:val="006B717C"/>
    <w:rsid w:val="006B729E"/>
    <w:rsid w:val="006B72B7"/>
    <w:rsid w:val="006B7372"/>
    <w:rsid w:val="006B742C"/>
    <w:rsid w:val="006B74C6"/>
    <w:rsid w:val="006B7544"/>
    <w:rsid w:val="006B7598"/>
    <w:rsid w:val="006B75FA"/>
    <w:rsid w:val="006B765C"/>
    <w:rsid w:val="006B7677"/>
    <w:rsid w:val="006B7793"/>
    <w:rsid w:val="006B787D"/>
    <w:rsid w:val="006B7A81"/>
    <w:rsid w:val="006B7AB8"/>
    <w:rsid w:val="006B7AEF"/>
    <w:rsid w:val="006B7B07"/>
    <w:rsid w:val="006B7B64"/>
    <w:rsid w:val="006B7BAE"/>
    <w:rsid w:val="006B7BC5"/>
    <w:rsid w:val="006B7BCC"/>
    <w:rsid w:val="006B7C31"/>
    <w:rsid w:val="006B7C4E"/>
    <w:rsid w:val="006B7C72"/>
    <w:rsid w:val="006B7C95"/>
    <w:rsid w:val="006B7D59"/>
    <w:rsid w:val="006B7E25"/>
    <w:rsid w:val="006B7F10"/>
    <w:rsid w:val="006B7FF8"/>
    <w:rsid w:val="006C0086"/>
    <w:rsid w:val="006C0232"/>
    <w:rsid w:val="006C03D1"/>
    <w:rsid w:val="006C03EA"/>
    <w:rsid w:val="006C04E3"/>
    <w:rsid w:val="006C05BE"/>
    <w:rsid w:val="006C05D9"/>
    <w:rsid w:val="006C0601"/>
    <w:rsid w:val="006C06B4"/>
    <w:rsid w:val="006C074C"/>
    <w:rsid w:val="006C07D5"/>
    <w:rsid w:val="006C08C7"/>
    <w:rsid w:val="006C0A47"/>
    <w:rsid w:val="006C0A8C"/>
    <w:rsid w:val="006C0A8F"/>
    <w:rsid w:val="006C0C03"/>
    <w:rsid w:val="006C0C65"/>
    <w:rsid w:val="006C0CDC"/>
    <w:rsid w:val="006C0D13"/>
    <w:rsid w:val="006C0D45"/>
    <w:rsid w:val="006C0D86"/>
    <w:rsid w:val="006C0F73"/>
    <w:rsid w:val="006C0FED"/>
    <w:rsid w:val="006C109A"/>
    <w:rsid w:val="006C111B"/>
    <w:rsid w:val="006C11F9"/>
    <w:rsid w:val="006C11FE"/>
    <w:rsid w:val="006C1236"/>
    <w:rsid w:val="006C124B"/>
    <w:rsid w:val="006C12B3"/>
    <w:rsid w:val="006C13C8"/>
    <w:rsid w:val="006C13E7"/>
    <w:rsid w:val="006C1425"/>
    <w:rsid w:val="006C142A"/>
    <w:rsid w:val="006C162D"/>
    <w:rsid w:val="006C1650"/>
    <w:rsid w:val="006C167C"/>
    <w:rsid w:val="006C1699"/>
    <w:rsid w:val="006C1720"/>
    <w:rsid w:val="006C1796"/>
    <w:rsid w:val="006C185B"/>
    <w:rsid w:val="006C1A09"/>
    <w:rsid w:val="006C1A6F"/>
    <w:rsid w:val="006C1AAF"/>
    <w:rsid w:val="006C1ABA"/>
    <w:rsid w:val="006C1B85"/>
    <w:rsid w:val="006C1C01"/>
    <w:rsid w:val="006C1C83"/>
    <w:rsid w:val="006C1CB3"/>
    <w:rsid w:val="006C1E42"/>
    <w:rsid w:val="006C1E68"/>
    <w:rsid w:val="006C1F0C"/>
    <w:rsid w:val="006C1F18"/>
    <w:rsid w:val="006C2043"/>
    <w:rsid w:val="006C2068"/>
    <w:rsid w:val="006C20C8"/>
    <w:rsid w:val="006C20D0"/>
    <w:rsid w:val="006C20D6"/>
    <w:rsid w:val="006C2133"/>
    <w:rsid w:val="006C21A3"/>
    <w:rsid w:val="006C256F"/>
    <w:rsid w:val="006C2594"/>
    <w:rsid w:val="006C25F1"/>
    <w:rsid w:val="006C2629"/>
    <w:rsid w:val="006C2694"/>
    <w:rsid w:val="006C280D"/>
    <w:rsid w:val="006C2839"/>
    <w:rsid w:val="006C2859"/>
    <w:rsid w:val="006C29B6"/>
    <w:rsid w:val="006C2A0B"/>
    <w:rsid w:val="006C2A36"/>
    <w:rsid w:val="006C2A60"/>
    <w:rsid w:val="006C2A88"/>
    <w:rsid w:val="006C2AC6"/>
    <w:rsid w:val="006C2ACC"/>
    <w:rsid w:val="006C2AF3"/>
    <w:rsid w:val="006C2B71"/>
    <w:rsid w:val="006C2BA8"/>
    <w:rsid w:val="006C2C01"/>
    <w:rsid w:val="006C2C05"/>
    <w:rsid w:val="006C2CEC"/>
    <w:rsid w:val="006C2D16"/>
    <w:rsid w:val="006C2D21"/>
    <w:rsid w:val="006C2E1D"/>
    <w:rsid w:val="006C2E92"/>
    <w:rsid w:val="006C2EEF"/>
    <w:rsid w:val="006C3005"/>
    <w:rsid w:val="006C3023"/>
    <w:rsid w:val="006C317A"/>
    <w:rsid w:val="006C31EB"/>
    <w:rsid w:val="006C32B9"/>
    <w:rsid w:val="006C33E7"/>
    <w:rsid w:val="006C33FF"/>
    <w:rsid w:val="006C3418"/>
    <w:rsid w:val="006C3484"/>
    <w:rsid w:val="006C34BA"/>
    <w:rsid w:val="006C34F0"/>
    <w:rsid w:val="006C35B6"/>
    <w:rsid w:val="006C385A"/>
    <w:rsid w:val="006C3A20"/>
    <w:rsid w:val="006C3A79"/>
    <w:rsid w:val="006C3B76"/>
    <w:rsid w:val="006C3C7B"/>
    <w:rsid w:val="006C3D11"/>
    <w:rsid w:val="006C3DFD"/>
    <w:rsid w:val="006C3E18"/>
    <w:rsid w:val="006C3E36"/>
    <w:rsid w:val="006C3EB2"/>
    <w:rsid w:val="006C3F6B"/>
    <w:rsid w:val="006C3FB8"/>
    <w:rsid w:val="006C4031"/>
    <w:rsid w:val="006C4075"/>
    <w:rsid w:val="006C4111"/>
    <w:rsid w:val="006C4156"/>
    <w:rsid w:val="006C4171"/>
    <w:rsid w:val="006C42AC"/>
    <w:rsid w:val="006C456D"/>
    <w:rsid w:val="006C45F4"/>
    <w:rsid w:val="006C4610"/>
    <w:rsid w:val="006C465B"/>
    <w:rsid w:val="006C46A7"/>
    <w:rsid w:val="006C4741"/>
    <w:rsid w:val="006C4795"/>
    <w:rsid w:val="006C4833"/>
    <w:rsid w:val="006C48B7"/>
    <w:rsid w:val="006C493E"/>
    <w:rsid w:val="006C496A"/>
    <w:rsid w:val="006C49CD"/>
    <w:rsid w:val="006C49F7"/>
    <w:rsid w:val="006C4B69"/>
    <w:rsid w:val="006C4CD9"/>
    <w:rsid w:val="006C4DBE"/>
    <w:rsid w:val="006C4E3F"/>
    <w:rsid w:val="006C4FBC"/>
    <w:rsid w:val="006C5066"/>
    <w:rsid w:val="006C51A7"/>
    <w:rsid w:val="006C5201"/>
    <w:rsid w:val="006C5264"/>
    <w:rsid w:val="006C5289"/>
    <w:rsid w:val="006C53AF"/>
    <w:rsid w:val="006C5416"/>
    <w:rsid w:val="006C54A2"/>
    <w:rsid w:val="006C54BD"/>
    <w:rsid w:val="006C54DC"/>
    <w:rsid w:val="006C54DF"/>
    <w:rsid w:val="006C54F5"/>
    <w:rsid w:val="006C5676"/>
    <w:rsid w:val="006C5696"/>
    <w:rsid w:val="006C57C6"/>
    <w:rsid w:val="006C589D"/>
    <w:rsid w:val="006C58F0"/>
    <w:rsid w:val="006C593D"/>
    <w:rsid w:val="006C5941"/>
    <w:rsid w:val="006C5A44"/>
    <w:rsid w:val="006C5A48"/>
    <w:rsid w:val="006C5A60"/>
    <w:rsid w:val="006C5A72"/>
    <w:rsid w:val="006C5B8A"/>
    <w:rsid w:val="006C5D9B"/>
    <w:rsid w:val="006C5DE7"/>
    <w:rsid w:val="006C5E01"/>
    <w:rsid w:val="006C5E40"/>
    <w:rsid w:val="006C5FBB"/>
    <w:rsid w:val="006C5FBD"/>
    <w:rsid w:val="006C5FCC"/>
    <w:rsid w:val="006C60F3"/>
    <w:rsid w:val="006C60F8"/>
    <w:rsid w:val="006C6112"/>
    <w:rsid w:val="006C6179"/>
    <w:rsid w:val="006C61E8"/>
    <w:rsid w:val="006C61FF"/>
    <w:rsid w:val="006C6226"/>
    <w:rsid w:val="006C632C"/>
    <w:rsid w:val="006C64C0"/>
    <w:rsid w:val="006C664D"/>
    <w:rsid w:val="006C6782"/>
    <w:rsid w:val="006C68C7"/>
    <w:rsid w:val="006C6AA9"/>
    <w:rsid w:val="006C6B05"/>
    <w:rsid w:val="006C6B33"/>
    <w:rsid w:val="006C6B95"/>
    <w:rsid w:val="006C6D70"/>
    <w:rsid w:val="006C6E0B"/>
    <w:rsid w:val="006C6E0E"/>
    <w:rsid w:val="006C6E0F"/>
    <w:rsid w:val="006C7160"/>
    <w:rsid w:val="006C72B6"/>
    <w:rsid w:val="006C72BC"/>
    <w:rsid w:val="006C747A"/>
    <w:rsid w:val="006C74D1"/>
    <w:rsid w:val="006C761F"/>
    <w:rsid w:val="006C772C"/>
    <w:rsid w:val="006C7795"/>
    <w:rsid w:val="006C77D7"/>
    <w:rsid w:val="006C7864"/>
    <w:rsid w:val="006C7946"/>
    <w:rsid w:val="006C7950"/>
    <w:rsid w:val="006C79BD"/>
    <w:rsid w:val="006C7BAC"/>
    <w:rsid w:val="006C7C0C"/>
    <w:rsid w:val="006C7CEB"/>
    <w:rsid w:val="006C7DBD"/>
    <w:rsid w:val="006C7EB1"/>
    <w:rsid w:val="006C7FA6"/>
    <w:rsid w:val="006D00ED"/>
    <w:rsid w:val="006D0188"/>
    <w:rsid w:val="006D01D1"/>
    <w:rsid w:val="006D0270"/>
    <w:rsid w:val="006D0298"/>
    <w:rsid w:val="006D02A0"/>
    <w:rsid w:val="006D02D0"/>
    <w:rsid w:val="006D0313"/>
    <w:rsid w:val="006D035C"/>
    <w:rsid w:val="006D04BE"/>
    <w:rsid w:val="006D0628"/>
    <w:rsid w:val="006D0695"/>
    <w:rsid w:val="006D06BF"/>
    <w:rsid w:val="006D07EF"/>
    <w:rsid w:val="006D082E"/>
    <w:rsid w:val="006D0941"/>
    <w:rsid w:val="006D0997"/>
    <w:rsid w:val="006D0A17"/>
    <w:rsid w:val="006D0AEC"/>
    <w:rsid w:val="006D0BA8"/>
    <w:rsid w:val="006D0C59"/>
    <w:rsid w:val="006D0C96"/>
    <w:rsid w:val="006D0C98"/>
    <w:rsid w:val="006D0D5E"/>
    <w:rsid w:val="006D0DE7"/>
    <w:rsid w:val="006D0FAB"/>
    <w:rsid w:val="006D0FBC"/>
    <w:rsid w:val="006D0FDC"/>
    <w:rsid w:val="006D1108"/>
    <w:rsid w:val="006D11BF"/>
    <w:rsid w:val="006D12E8"/>
    <w:rsid w:val="006D12EC"/>
    <w:rsid w:val="006D1322"/>
    <w:rsid w:val="006D144C"/>
    <w:rsid w:val="006D1475"/>
    <w:rsid w:val="006D15CA"/>
    <w:rsid w:val="006D15D8"/>
    <w:rsid w:val="006D165C"/>
    <w:rsid w:val="006D1692"/>
    <w:rsid w:val="006D16A2"/>
    <w:rsid w:val="006D172D"/>
    <w:rsid w:val="006D18F5"/>
    <w:rsid w:val="006D18FF"/>
    <w:rsid w:val="006D1993"/>
    <w:rsid w:val="006D19F8"/>
    <w:rsid w:val="006D1A03"/>
    <w:rsid w:val="006D1A19"/>
    <w:rsid w:val="006D1A36"/>
    <w:rsid w:val="006D1BD6"/>
    <w:rsid w:val="006D1C07"/>
    <w:rsid w:val="006D1CEF"/>
    <w:rsid w:val="006D1E5F"/>
    <w:rsid w:val="006D1F20"/>
    <w:rsid w:val="006D1F6F"/>
    <w:rsid w:val="006D1FFC"/>
    <w:rsid w:val="006D206B"/>
    <w:rsid w:val="006D211A"/>
    <w:rsid w:val="006D213D"/>
    <w:rsid w:val="006D2144"/>
    <w:rsid w:val="006D216F"/>
    <w:rsid w:val="006D2326"/>
    <w:rsid w:val="006D2433"/>
    <w:rsid w:val="006D2479"/>
    <w:rsid w:val="006D255F"/>
    <w:rsid w:val="006D25CE"/>
    <w:rsid w:val="006D25D5"/>
    <w:rsid w:val="006D25DB"/>
    <w:rsid w:val="006D26A4"/>
    <w:rsid w:val="006D26B1"/>
    <w:rsid w:val="006D26CB"/>
    <w:rsid w:val="006D2766"/>
    <w:rsid w:val="006D27E9"/>
    <w:rsid w:val="006D284A"/>
    <w:rsid w:val="006D2987"/>
    <w:rsid w:val="006D29DD"/>
    <w:rsid w:val="006D2A2B"/>
    <w:rsid w:val="006D2A6A"/>
    <w:rsid w:val="006D2AAD"/>
    <w:rsid w:val="006D2AB1"/>
    <w:rsid w:val="006D2ADC"/>
    <w:rsid w:val="006D2CC9"/>
    <w:rsid w:val="006D2CCD"/>
    <w:rsid w:val="006D2D61"/>
    <w:rsid w:val="006D2D80"/>
    <w:rsid w:val="006D2DDB"/>
    <w:rsid w:val="006D2DE9"/>
    <w:rsid w:val="006D2DF3"/>
    <w:rsid w:val="006D2E45"/>
    <w:rsid w:val="006D2F0A"/>
    <w:rsid w:val="006D2F36"/>
    <w:rsid w:val="006D3160"/>
    <w:rsid w:val="006D31FC"/>
    <w:rsid w:val="006D323E"/>
    <w:rsid w:val="006D3250"/>
    <w:rsid w:val="006D328F"/>
    <w:rsid w:val="006D3322"/>
    <w:rsid w:val="006D336A"/>
    <w:rsid w:val="006D33B2"/>
    <w:rsid w:val="006D341F"/>
    <w:rsid w:val="006D3439"/>
    <w:rsid w:val="006D3473"/>
    <w:rsid w:val="006D3507"/>
    <w:rsid w:val="006D3554"/>
    <w:rsid w:val="006D3588"/>
    <w:rsid w:val="006D3700"/>
    <w:rsid w:val="006D37AE"/>
    <w:rsid w:val="006D37D0"/>
    <w:rsid w:val="006D3809"/>
    <w:rsid w:val="006D3878"/>
    <w:rsid w:val="006D3886"/>
    <w:rsid w:val="006D39A9"/>
    <w:rsid w:val="006D3A30"/>
    <w:rsid w:val="006D3A52"/>
    <w:rsid w:val="006D3AC8"/>
    <w:rsid w:val="006D3B3B"/>
    <w:rsid w:val="006D3CEE"/>
    <w:rsid w:val="006D3D39"/>
    <w:rsid w:val="006D3D51"/>
    <w:rsid w:val="006D3D84"/>
    <w:rsid w:val="006D3D88"/>
    <w:rsid w:val="006D3E38"/>
    <w:rsid w:val="006D3E59"/>
    <w:rsid w:val="006D3FAB"/>
    <w:rsid w:val="006D4020"/>
    <w:rsid w:val="006D4040"/>
    <w:rsid w:val="006D4114"/>
    <w:rsid w:val="006D430F"/>
    <w:rsid w:val="006D4316"/>
    <w:rsid w:val="006D435A"/>
    <w:rsid w:val="006D4375"/>
    <w:rsid w:val="006D43AF"/>
    <w:rsid w:val="006D43F3"/>
    <w:rsid w:val="006D457A"/>
    <w:rsid w:val="006D45F4"/>
    <w:rsid w:val="006D45FA"/>
    <w:rsid w:val="006D4726"/>
    <w:rsid w:val="006D4892"/>
    <w:rsid w:val="006D48F2"/>
    <w:rsid w:val="006D48F8"/>
    <w:rsid w:val="006D490C"/>
    <w:rsid w:val="006D4ACE"/>
    <w:rsid w:val="006D4B30"/>
    <w:rsid w:val="006D4CD2"/>
    <w:rsid w:val="006D4D66"/>
    <w:rsid w:val="006D4E78"/>
    <w:rsid w:val="006D4F30"/>
    <w:rsid w:val="006D4F80"/>
    <w:rsid w:val="006D4F97"/>
    <w:rsid w:val="006D4F99"/>
    <w:rsid w:val="006D4FDB"/>
    <w:rsid w:val="006D507A"/>
    <w:rsid w:val="006D50FA"/>
    <w:rsid w:val="006D5109"/>
    <w:rsid w:val="006D5156"/>
    <w:rsid w:val="006D5325"/>
    <w:rsid w:val="006D538E"/>
    <w:rsid w:val="006D5445"/>
    <w:rsid w:val="006D54DD"/>
    <w:rsid w:val="006D54FB"/>
    <w:rsid w:val="006D558F"/>
    <w:rsid w:val="006D57AE"/>
    <w:rsid w:val="006D58EA"/>
    <w:rsid w:val="006D5980"/>
    <w:rsid w:val="006D5AA4"/>
    <w:rsid w:val="006D5AD4"/>
    <w:rsid w:val="006D5D7A"/>
    <w:rsid w:val="006D5E8F"/>
    <w:rsid w:val="006D5EFC"/>
    <w:rsid w:val="006D5F77"/>
    <w:rsid w:val="006D5F7E"/>
    <w:rsid w:val="006D622E"/>
    <w:rsid w:val="006D6297"/>
    <w:rsid w:val="006D631F"/>
    <w:rsid w:val="006D6362"/>
    <w:rsid w:val="006D63B3"/>
    <w:rsid w:val="006D63E7"/>
    <w:rsid w:val="006D6415"/>
    <w:rsid w:val="006D6579"/>
    <w:rsid w:val="006D6591"/>
    <w:rsid w:val="006D6668"/>
    <w:rsid w:val="006D6857"/>
    <w:rsid w:val="006D6894"/>
    <w:rsid w:val="006D693A"/>
    <w:rsid w:val="006D693B"/>
    <w:rsid w:val="006D697B"/>
    <w:rsid w:val="006D6A3D"/>
    <w:rsid w:val="006D6A66"/>
    <w:rsid w:val="006D6C21"/>
    <w:rsid w:val="006D6C78"/>
    <w:rsid w:val="006D6CA7"/>
    <w:rsid w:val="006D6D11"/>
    <w:rsid w:val="006D6D72"/>
    <w:rsid w:val="006D6DED"/>
    <w:rsid w:val="006D6E2D"/>
    <w:rsid w:val="006D6E51"/>
    <w:rsid w:val="006D6F3E"/>
    <w:rsid w:val="006D704F"/>
    <w:rsid w:val="006D70B0"/>
    <w:rsid w:val="006D7163"/>
    <w:rsid w:val="006D7223"/>
    <w:rsid w:val="006D72CF"/>
    <w:rsid w:val="006D7300"/>
    <w:rsid w:val="006D735A"/>
    <w:rsid w:val="006D741A"/>
    <w:rsid w:val="006D7457"/>
    <w:rsid w:val="006D7597"/>
    <w:rsid w:val="006D762C"/>
    <w:rsid w:val="006D770C"/>
    <w:rsid w:val="006D773A"/>
    <w:rsid w:val="006D776E"/>
    <w:rsid w:val="006D7853"/>
    <w:rsid w:val="006D799D"/>
    <w:rsid w:val="006D79B8"/>
    <w:rsid w:val="006D7A35"/>
    <w:rsid w:val="006D7AB1"/>
    <w:rsid w:val="006D7B74"/>
    <w:rsid w:val="006D7B9F"/>
    <w:rsid w:val="006D7BD8"/>
    <w:rsid w:val="006D7BE9"/>
    <w:rsid w:val="006D7D1E"/>
    <w:rsid w:val="006D7D59"/>
    <w:rsid w:val="006D7D87"/>
    <w:rsid w:val="006D7DAA"/>
    <w:rsid w:val="006D7E43"/>
    <w:rsid w:val="006D7E7B"/>
    <w:rsid w:val="006E0095"/>
    <w:rsid w:val="006E009F"/>
    <w:rsid w:val="006E00C1"/>
    <w:rsid w:val="006E0141"/>
    <w:rsid w:val="006E0156"/>
    <w:rsid w:val="006E01BF"/>
    <w:rsid w:val="006E0285"/>
    <w:rsid w:val="006E02B9"/>
    <w:rsid w:val="006E03E6"/>
    <w:rsid w:val="006E0459"/>
    <w:rsid w:val="006E04C0"/>
    <w:rsid w:val="006E0558"/>
    <w:rsid w:val="006E057F"/>
    <w:rsid w:val="006E05AC"/>
    <w:rsid w:val="006E067D"/>
    <w:rsid w:val="006E0700"/>
    <w:rsid w:val="006E076A"/>
    <w:rsid w:val="006E082E"/>
    <w:rsid w:val="006E089E"/>
    <w:rsid w:val="006E08EF"/>
    <w:rsid w:val="006E0907"/>
    <w:rsid w:val="006E0911"/>
    <w:rsid w:val="006E09B9"/>
    <w:rsid w:val="006E09DC"/>
    <w:rsid w:val="006E0A17"/>
    <w:rsid w:val="006E0A47"/>
    <w:rsid w:val="006E0AEF"/>
    <w:rsid w:val="006E0B15"/>
    <w:rsid w:val="006E0BBE"/>
    <w:rsid w:val="006E0C1F"/>
    <w:rsid w:val="006E0C28"/>
    <w:rsid w:val="006E0C59"/>
    <w:rsid w:val="006E0C79"/>
    <w:rsid w:val="006E0CB1"/>
    <w:rsid w:val="006E0CE7"/>
    <w:rsid w:val="006E0D23"/>
    <w:rsid w:val="006E0DF6"/>
    <w:rsid w:val="006E0E16"/>
    <w:rsid w:val="006E0E41"/>
    <w:rsid w:val="006E0F54"/>
    <w:rsid w:val="006E0F9E"/>
    <w:rsid w:val="006E0FB5"/>
    <w:rsid w:val="006E0FD7"/>
    <w:rsid w:val="006E10B6"/>
    <w:rsid w:val="006E10E6"/>
    <w:rsid w:val="006E1144"/>
    <w:rsid w:val="006E11EF"/>
    <w:rsid w:val="006E1223"/>
    <w:rsid w:val="006E127C"/>
    <w:rsid w:val="006E12F3"/>
    <w:rsid w:val="006E13D4"/>
    <w:rsid w:val="006E141F"/>
    <w:rsid w:val="006E1475"/>
    <w:rsid w:val="006E14A2"/>
    <w:rsid w:val="006E152D"/>
    <w:rsid w:val="006E159B"/>
    <w:rsid w:val="006E15A2"/>
    <w:rsid w:val="006E164D"/>
    <w:rsid w:val="006E1666"/>
    <w:rsid w:val="006E169C"/>
    <w:rsid w:val="006E16BB"/>
    <w:rsid w:val="006E1770"/>
    <w:rsid w:val="006E17E1"/>
    <w:rsid w:val="006E1806"/>
    <w:rsid w:val="006E180D"/>
    <w:rsid w:val="006E1857"/>
    <w:rsid w:val="006E19CF"/>
    <w:rsid w:val="006E19EE"/>
    <w:rsid w:val="006E1A07"/>
    <w:rsid w:val="006E1B7D"/>
    <w:rsid w:val="006E1C49"/>
    <w:rsid w:val="006E1CFC"/>
    <w:rsid w:val="006E1D8B"/>
    <w:rsid w:val="006E1E95"/>
    <w:rsid w:val="006E1EF1"/>
    <w:rsid w:val="006E1FE6"/>
    <w:rsid w:val="006E2065"/>
    <w:rsid w:val="006E208B"/>
    <w:rsid w:val="006E20D8"/>
    <w:rsid w:val="006E21AD"/>
    <w:rsid w:val="006E22C1"/>
    <w:rsid w:val="006E239C"/>
    <w:rsid w:val="006E23FB"/>
    <w:rsid w:val="006E246B"/>
    <w:rsid w:val="006E2483"/>
    <w:rsid w:val="006E2562"/>
    <w:rsid w:val="006E257A"/>
    <w:rsid w:val="006E25E3"/>
    <w:rsid w:val="006E260F"/>
    <w:rsid w:val="006E2642"/>
    <w:rsid w:val="006E265F"/>
    <w:rsid w:val="006E26D8"/>
    <w:rsid w:val="006E27D0"/>
    <w:rsid w:val="006E27F8"/>
    <w:rsid w:val="006E28C3"/>
    <w:rsid w:val="006E2968"/>
    <w:rsid w:val="006E29B1"/>
    <w:rsid w:val="006E2B47"/>
    <w:rsid w:val="006E2BFC"/>
    <w:rsid w:val="006E2CC4"/>
    <w:rsid w:val="006E2CD8"/>
    <w:rsid w:val="006E2F32"/>
    <w:rsid w:val="006E2F8C"/>
    <w:rsid w:val="006E2FDB"/>
    <w:rsid w:val="006E3083"/>
    <w:rsid w:val="006E31CF"/>
    <w:rsid w:val="006E31D6"/>
    <w:rsid w:val="006E321C"/>
    <w:rsid w:val="006E3255"/>
    <w:rsid w:val="006E3261"/>
    <w:rsid w:val="006E3270"/>
    <w:rsid w:val="006E32BD"/>
    <w:rsid w:val="006E32D1"/>
    <w:rsid w:val="006E33ED"/>
    <w:rsid w:val="006E33FD"/>
    <w:rsid w:val="006E3444"/>
    <w:rsid w:val="006E3463"/>
    <w:rsid w:val="006E357B"/>
    <w:rsid w:val="006E362B"/>
    <w:rsid w:val="006E372C"/>
    <w:rsid w:val="006E3806"/>
    <w:rsid w:val="006E3825"/>
    <w:rsid w:val="006E387C"/>
    <w:rsid w:val="006E398C"/>
    <w:rsid w:val="006E39A1"/>
    <w:rsid w:val="006E39D6"/>
    <w:rsid w:val="006E39F8"/>
    <w:rsid w:val="006E3A09"/>
    <w:rsid w:val="006E3A25"/>
    <w:rsid w:val="006E3ABB"/>
    <w:rsid w:val="006E3AF7"/>
    <w:rsid w:val="006E3AFA"/>
    <w:rsid w:val="006E3B21"/>
    <w:rsid w:val="006E3BCC"/>
    <w:rsid w:val="006E3CA9"/>
    <w:rsid w:val="006E3CC8"/>
    <w:rsid w:val="006E3CE5"/>
    <w:rsid w:val="006E3D19"/>
    <w:rsid w:val="006E3EB3"/>
    <w:rsid w:val="006E3F0D"/>
    <w:rsid w:val="006E3FDD"/>
    <w:rsid w:val="006E4034"/>
    <w:rsid w:val="006E4073"/>
    <w:rsid w:val="006E4093"/>
    <w:rsid w:val="006E40B8"/>
    <w:rsid w:val="006E41B4"/>
    <w:rsid w:val="006E41B9"/>
    <w:rsid w:val="006E41BF"/>
    <w:rsid w:val="006E425F"/>
    <w:rsid w:val="006E42B6"/>
    <w:rsid w:val="006E42B9"/>
    <w:rsid w:val="006E42BD"/>
    <w:rsid w:val="006E4437"/>
    <w:rsid w:val="006E444D"/>
    <w:rsid w:val="006E4468"/>
    <w:rsid w:val="006E44B4"/>
    <w:rsid w:val="006E4587"/>
    <w:rsid w:val="006E467A"/>
    <w:rsid w:val="006E4726"/>
    <w:rsid w:val="006E47E3"/>
    <w:rsid w:val="006E4813"/>
    <w:rsid w:val="006E486A"/>
    <w:rsid w:val="006E4929"/>
    <w:rsid w:val="006E49D6"/>
    <w:rsid w:val="006E4A63"/>
    <w:rsid w:val="006E4A71"/>
    <w:rsid w:val="006E4A8B"/>
    <w:rsid w:val="006E4D74"/>
    <w:rsid w:val="006E4DCF"/>
    <w:rsid w:val="006E4DE8"/>
    <w:rsid w:val="006E4EE5"/>
    <w:rsid w:val="006E4F22"/>
    <w:rsid w:val="006E4FA1"/>
    <w:rsid w:val="006E4FA7"/>
    <w:rsid w:val="006E5007"/>
    <w:rsid w:val="006E5088"/>
    <w:rsid w:val="006E5162"/>
    <w:rsid w:val="006E535F"/>
    <w:rsid w:val="006E53B1"/>
    <w:rsid w:val="006E54A1"/>
    <w:rsid w:val="006E54A5"/>
    <w:rsid w:val="006E551B"/>
    <w:rsid w:val="006E55A8"/>
    <w:rsid w:val="006E55E4"/>
    <w:rsid w:val="006E560B"/>
    <w:rsid w:val="006E565A"/>
    <w:rsid w:val="006E5670"/>
    <w:rsid w:val="006E5699"/>
    <w:rsid w:val="006E56D4"/>
    <w:rsid w:val="006E5757"/>
    <w:rsid w:val="006E5804"/>
    <w:rsid w:val="006E5957"/>
    <w:rsid w:val="006E5A00"/>
    <w:rsid w:val="006E5A27"/>
    <w:rsid w:val="006E5C88"/>
    <w:rsid w:val="006E5E42"/>
    <w:rsid w:val="006E5EAC"/>
    <w:rsid w:val="006E5EEE"/>
    <w:rsid w:val="006E5F4B"/>
    <w:rsid w:val="006E5FAE"/>
    <w:rsid w:val="006E5FF8"/>
    <w:rsid w:val="006E603A"/>
    <w:rsid w:val="006E60F3"/>
    <w:rsid w:val="006E628A"/>
    <w:rsid w:val="006E63A1"/>
    <w:rsid w:val="006E6440"/>
    <w:rsid w:val="006E6498"/>
    <w:rsid w:val="006E64D0"/>
    <w:rsid w:val="006E64EF"/>
    <w:rsid w:val="006E64FA"/>
    <w:rsid w:val="006E659E"/>
    <w:rsid w:val="006E66C3"/>
    <w:rsid w:val="006E67B8"/>
    <w:rsid w:val="006E67D3"/>
    <w:rsid w:val="006E68F7"/>
    <w:rsid w:val="006E68FA"/>
    <w:rsid w:val="006E695E"/>
    <w:rsid w:val="006E6A29"/>
    <w:rsid w:val="006E6AF0"/>
    <w:rsid w:val="006E6B6D"/>
    <w:rsid w:val="006E6BBE"/>
    <w:rsid w:val="006E6C10"/>
    <w:rsid w:val="006E6C2E"/>
    <w:rsid w:val="006E6CB1"/>
    <w:rsid w:val="006E6CD5"/>
    <w:rsid w:val="006E6DD5"/>
    <w:rsid w:val="006E6E35"/>
    <w:rsid w:val="006E6E7F"/>
    <w:rsid w:val="006E6E80"/>
    <w:rsid w:val="006E6E88"/>
    <w:rsid w:val="006E6F20"/>
    <w:rsid w:val="006E6F72"/>
    <w:rsid w:val="006E6F7A"/>
    <w:rsid w:val="006E6F8A"/>
    <w:rsid w:val="006E6FA2"/>
    <w:rsid w:val="006E6FCD"/>
    <w:rsid w:val="006E700A"/>
    <w:rsid w:val="006E7111"/>
    <w:rsid w:val="006E71C5"/>
    <w:rsid w:val="006E71D2"/>
    <w:rsid w:val="006E7207"/>
    <w:rsid w:val="006E721E"/>
    <w:rsid w:val="006E729F"/>
    <w:rsid w:val="006E72E9"/>
    <w:rsid w:val="006E73AF"/>
    <w:rsid w:val="006E73DC"/>
    <w:rsid w:val="006E74D9"/>
    <w:rsid w:val="006E76E4"/>
    <w:rsid w:val="006E7755"/>
    <w:rsid w:val="006E78ED"/>
    <w:rsid w:val="006E7927"/>
    <w:rsid w:val="006E7A46"/>
    <w:rsid w:val="006E7B52"/>
    <w:rsid w:val="006E7B65"/>
    <w:rsid w:val="006E7B8B"/>
    <w:rsid w:val="006E7C93"/>
    <w:rsid w:val="006E7CEE"/>
    <w:rsid w:val="006E7D77"/>
    <w:rsid w:val="006E7DC7"/>
    <w:rsid w:val="006E7EB2"/>
    <w:rsid w:val="006E7F26"/>
    <w:rsid w:val="006F0054"/>
    <w:rsid w:val="006F0065"/>
    <w:rsid w:val="006F006E"/>
    <w:rsid w:val="006F00DF"/>
    <w:rsid w:val="006F0229"/>
    <w:rsid w:val="006F02B1"/>
    <w:rsid w:val="006F04C3"/>
    <w:rsid w:val="006F050B"/>
    <w:rsid w:val="006F0518"/>
    <w:rsid w:val="006F0545"/>
    <w:rsid w:val="006F0773"/>
    <w:rsid w:val="006F07D1"/>
    <w:rsid w:val="006F07D6"/>
    <w:rsid w:val="006F0AA5"/>
    <w:rsid w:val="006F0B8B"/>
    <w:rsid w:val="006F0BC9"/>
    <w:rsid w:val="006F0C7E"/>
    <w:rsid w:val="006F0CA6"/>
    <w:rsid w:val="006F0D9D"/>
    <w:rsid w:val="006F0DF1"/>
    <w:rsid w:val="006F0DF9"/>
    <w:rsid w:val="006F0E48"/>
    <w:rsid w:val="006F0E75"/>
    <w:rsid w:val="006F0EAB"/>
    <w:rsid w:val="006F0FCB"/>
    <w:rsid w:val="006F104F"/>
    <w:rsid w:val="006F1091"/>
    <w:rsid w:val="006F109A"/>
    <w:rsid w:val="006F1101"/>
    <w:rsid w:val="006F11B3"/>
    <w:rsid w:val="006F11C8"/>
    <w:rsid w:val="006F124C"/>
    <w:rsid w:val="006F129E"/>
    <w:rsid w:val="006F14FC"/>
    <w:rsid w:val="006F1540"/>
    <w:rsid w:val="006F1565"/>
    <w:rsid w:val="006F157E"/>
    <w:rsid w:val="006F183C"/>
    <w:rsid w:val="006F18A4"/>
    <w:rsid w:val="006F1929"/>
    <w:rsid w:val="006F193B"/>
    <w:rsid w:val="006F1951"/>
    <w:rsid w:val="006F1985"/>
    <w:rsid w:val="006F19B7"/>
    <w:rsid w:val="006F1B1D"/>
    <w:rsid w:val="006F1C13"/>
    <w:rsid w:val="006F1C28"/>
    <w:rsid w:val="006F1C6E"/>
    <w:rsid w:val="006F1CB9"/>
    <w:rsid w:val="006F1CC0"/>
    <w:rsid w:val="006F1D5A"/>
    <w:rsid w:val="006F1ED5"/>
    <w:rsid w:val="006F1EE0"/>
    <w:rsid w:val="006F1FB8"/>
    <w:rsid w:val="006F2044"/>
    <w:rsid w:val="006F2100"/>
    <w:rsid w:val="006F2139"/>
    <w:rsid w:val="006F218D"/>
    <w:rsid w:val="006F2253"/>
    <w:rsid w:val="006F22B1"/>
    <w:rsid w:val="006F2350"/>
    <w:rsid w:val="006F23A8"/>
    <w:rsid w:val="006F23C1"/>
    <w:rsid w:val="006F23C4"/>
    <w:rsid w:val="006F247F"/>
    <w:rsid w:val="006F2510"/>
    <w:rsid w:val="006F2533"/>
    <w:rsid w:val="006F2563"/>
    <w:rsid w:val="006F25B8"/>
    <w:rsid w:val="006F26A1"/>
    <w:rsid w:val="006F271E"/>
    <w:rsid w:val="006F27B0"/>
    <w:rsid w:val="006F281F"/>
    <w:rsid w:val="006F2917"/>
    <w:rsid w:val="006F2977"/>
    <w:rsid w:val="006F2ABB"/>
    <w:rsid w:val="006F2AE3"/>
    <w:rsid w:val="006F2B60"/>
    <w:rsid w:val="006F2BC8"/>
    <w:rsid w:val="006F2C73"/>
    <w:rsid w:val="006F2D38"/>
    <w:rsid w:val="006F2DD8"/>
    <w:rsid w:val="006F2DFE"/>
    <w:rsid w:val="006F2ECA"/>
    <w:rsid w:val="006F2F0B"/>
    <w:rsid w:val="006F2FB4"/>
    <w:rsid w:val="006F2FB8"/>
    <w:rsid w:val="006F3089"/>
    <w:rsid w:val="006F30BC"/>
    <w:rsid w:val="006F31D7"/>
    <w:rsid w:val="006F322D"/>
    <w:rsid w:val="006F330B"/>
    <w:rsid w:val="006F3360"/>
    <w:rsid w:val="006F33D8"/>
    <w:rsid w:val="006F3422"/>
    <w:rsid w:val="006F3443"/>
    <w:rsid w:val="006F3451"/>
    <w:rsid w:val="006F35E6"/>
    <w:rsid w:val="006F3603"/>
    <w:rsid w:val="006F3658"/>
    <w:rsid w:val="006F3700"/>
    <w:rsid w:val="006F378E"/>
    <w:rsid w:val="006F3826"/>
    <w:rsid w:val="006F3902"/>
    <w:rsid w:val="006F398D"/>
    <w:rsid w:val="006F3999"/>
    <w:rsid w:val="006F39AF"/>
    <w:rsid w:val="006F39DB"/>
    <w:rsid w:val="006F3A01"/>
    <w:rsid w:val="006F3AA3"/>
    <w:rsid w:val="006F3AC9"/>
    <w:rsid w:val="006F3B12"/>
    <w:rsid w:val="006F3C54"/>
    <w:rsid w:val="006F3C91"/>
    <w:rsid w:val="006F3CCD"/>
    <w:rsid w:val="006F3E24"/>
    <w:rsid w:val="006F3E5B"/>
    <w:rsid w:val="006F3EC8"/>
    <w:rsid w:val="006F3EC9"/>
    <w:rsid w:val="006F3FD9"/>
    <w:rsid w:val="006F3FDC"/>
    <w:rsid w:val="006F4003"/>
    <w:rsid w:val="006F4170"/>
    <w:rsid w:val="006F43D3"/>
    <w:rsid w:val="006F445D"/>
    <w:rsid w:val="006F44E7"/>
    <w:rsid w:val="006F450C"/>
    <w:rsid w:val="006F450F"/>
    <w:rsid w:val="006F45F0"/>
    <w:rsid w:val="006F46DD"/>
    <w:rsid w:val="006F47E6"/>
    <w:rsid w:val="006F495A"/>
    <w:rsid w:val="006F4960"/>
    <w:rsid w:val="006F49D6"/>
    <w:rsid w:val="006F4A03"/>
    <w:rsid w:val="006F4A59"/>
    <w:rsid w:val="006F4A77"/>
    <w:rsid w:val="006F4A91"/>
    <w:rsid w:val="006F4B08"/>
    <w:rsid w:val="006F4BC5"/>
    <w:rsid w:val="006F4BDE"/>
    <w:rsid w:val="006F4CD4"/>
    <w:rsid w:val="006F4D87"/>
    <w:rsid w:val="006F4E19"/>
    <w:rsid w:val="006F4F28"/>
    <w:rsid w:val="006F4F33"/>
    <w:rsid w:val="006F5096"/>
    <w:rsid w:val="006F50EC"/>
    <w:rsid w:val="006F5143"/>
    <w:rsid w:val="006F5166"/>
    <w:rsid w:val="006F516C"/>
    <w:rsid w:val="006F5306"/>
    <w:rsid w:val="006F5325"/>
    <w:rsid w:val="006F53C1"/>
    <w:rsid w:val="006F5509"/>
    <w:rsid w:val="006F5515"/>
    <w:rsid w:val="006F555C"/>
    <w:rsid w:val="006F5561"/>
    <w:rsid w:val="006F55F4"/>
    <w:rsid w:val="006F56D0"/>
    <w:rsid w:val="006F56E6"/>
    <w:rsid w:val="006F5761"/>
    <w:rsid w:val="006F57D6"/>
    <w:rsid w:val="006F5906"/>
    <w:rsid w:val="006F5A91"/>
    <w:rsid w:val="006F5B68"/>
    <w:rsid w:val="006F5BCE"/>
    <w:rsid w:val="006F5CC3"/>
    <w:rsid w:val="006F5D3C"/>
    <w:rsid w:val="006F5DE5"/>
    <w:rsid w:val="006F5EA5"/>
    <w:rsid w:val="006F5FB2"/>
    <w:rsid w:val="006F5FBE"/>
    <w:rsid w:val="006F601A"/>
    <w:rsid w:val="006F604C"/>
    <w:rsid w:val="006F607A"/>
    <w:rsid w:val="006F60AB"/>
    <w:rsid w:val="006F60CB"/>
    <w:rsid w:val="006F60FC"/>
    <w:rsid w:val="006F6146"/>
    <w:rsid w:val="006F61B8"/>
    <w:rsid w:val="006F626B"/>
    <w:rsid w:val="006F6308"/>
    <w:rsid w:val="006F6348"/>
    <w:rsid w:val="006F63AB"/>
    <w:rsid w:val="006F646F"/>
    <w:rsid w:val="006F6472"/>
    <w:rsid w:val="006F6498"/>
    <w:rsid w:val="006F652F"/>
    <w:rsid w:val="006F65C9"/>
    <w:rsid w:val="006F65CA"/>
    <w:rsid w:val="006F65CD"/>
    <w:rsid w:val="006F65D0"/>
    <w:rsid w:val="006F6715"/>
    <w:rsid w:val="006F6741"/>
    <w:rsid w:val="006F676A"/>
    <w:rsid w:val="006F67E2"/>
    <w:rsid w:val="006F683A"/>
    <w:rsid w:val="006F68D1"/>
    <w:rsid w:val="006F68DD"/>
    <w:rsid w:val="006F68FA"/>
    <w:rsid w:val="006F6A2D"/>
    <w:rsid w:val="006F6A79"/>
    <w:rsid w:val="006F6AC8"/>
    <w:rsid w:val="006F6C79"/>
    <w:rsid w:val="006F6CE3"/>
    <w:rsid w:val="006F6E53"/>
    <w:rsid w:val="006F7017"/>
    <w:rsid w:val="006F7068"/>
    <w:rsid w:val="006F706C"/>
    <w:rsid w:val="006F708B"/>
    <w:rsid w:val="006F7099"/>
    <w:rsid w:val="006F7167"/>
    <w:rsid w:val="006F739A"/>
    <w:rsid w:val="006F73BE"/>
    <w:rsid w:val="006F73D7"/>
    <w:rsid w:val="006F7420"/>
    <w:rsid w:val="006F746D"/>
    <w:rsid w:val="006F74BB"/>
    <w:rsid w:val="006F753E"/>
    <w:rsid w:val="006F7548"/>
    <w:rsid w:val="006F7744"/>
    <w:rsid w:val="006F782B"/>
    <w:rsid w:val="006F7AF4"/>
    <w:rsid w:val="006F7C27"/>
    <w:rsid w:val="006F7C34"/>
    <w:rsid w:val="006F7C72"/>
    <w:rsid w:val="006F7CB7"/>
    <w:rsid w:val="006F7CED"/>
    <w:rsid w:val="006F7DF0"/>
    <w:rsid w:val="006F7E32"/>
    <w:rsid w:val="006F7F5E"/>
    <w:rsid w:val="006F7FC6"/>
    <w:rsid w:val="0070004D"/>
    <w:rsid w:val="00700055"/>
    <w:rsid w:val="00700075"/>
    <w:rsid w:val="00700301"/>
    <w:rsid w:val="00700394"/>
    <w:rsid w:val="007003D9"/>
    <w:rsid w:val="007004E7"/>
    <w:rsid w:val="00700535"/>
    <w:rsid w:val="00700635"/>
    <w:rsid w:val="00700745"/>
    <w:rsid w:val="007008A7"/>
    <w:rsid w:val="00700961"/>
    <w:rsid w:val="00700995"/>
    <w:rsid w:val="00700A07"/>
    <w:rsid w:val="00700A2F"/>
    <w:rsid w:val="00700A35"/>
    <w:rsid w:val="00700BA9"/>
    <w:rsid w:val="00700C23"/>
    <w:rsid w:val="00700C79"/>
    <w:rsid w:val="00700D2A"/>
    <w:rsid w:val="00700D70"/>
    <w:rsid w:val="00700DEB"/>
    <w:rsid w:val="00700E1F"/>
    <w:rsid w:val="00700E42"/>
    <w:rsid w:val="00700E66"/>
    <w:rsid w:val="00700E77"/>
    <w:rsid w:val="00700EEF"/>
    <w:rsid w:val="0070105E"/>
    <w:rsid w:val="0070106E"/>
    <w:rsid w:val="00701071"/>
    <w:rsid w:val="007010F4"/>
    <w:rsid w:val="00701118"/>
    <w:rsid w:val="00701131"/>
    <w:rsid w:val="007012A8"/>
    <w:rsid w:val="007012BD"/>
    <w:rsid w:val="0070132F"/>
    <w:rsid w:val="00701455"/>
    <w:rsid w:val="00701642"/>
    <w:rsid w:val="0070166B"/>
    <w:rsid w:val="0070168B"/>
    <w:rsid w:val="007016BA"/>
    <w:rsid w:val="00701799"/>
    <w:rsid w:val="00701804"/>
    <w:rsid w:val="0070181A"/>
    <w:rsid w:val="007018CC"/>
    <w:rsid w:val="007019A1"/>
    <w:rsid w:val="007019DC"/>
    <w:rsid w:val="00701A20"/>
    <w:rsid w:val="00701CA2"/>
    <w:rsid w:val="00701D8A"/>
    <w:rsid w:val="00701DD7"/>
    <w:rsid w:val="00701E1B"/>
    <w:rsid w:val="00701E25"/>
    <w:rsid w:val="00701E5E"/>
    <w:rsid w:val="00701ED3"/>
    <w:rsid w:val="00702029"/>
    <w:rsid w:val="00702075"/>
    <w:rsid w:val="007020A6"/>
    <w:rsid w:val="007020F1"/>
    <w:rsid w:val="007020F7"/>
    <w:rsid w:val="0070213A"/>
    <w:rsid w:val="007021B6"/>
    <w:rsid w:val="00702282"/>
    <w:rsid w:val="00702284"/>
    <w:rsid w:val="007022C3"/>
    <w:rsid w:val="007022C9"/>
    <w:rsid w:val="007022EE"/>
    <w:rsid w:val="0070255C"/>
    <w:rsid w:val="00702568"/>
    <w:rsid w:val="007025D1"/>
    <w:rsid w:val="00702614"/>
    <w:rsid w:val="007026CC"/>
    <w:rsid w:val="007026E4"/>
    <w:rsid w:val="007027AD"/>
    <w:rsid w:val="007027B2"/>
    <w:rsid w:val="0070288F"/>
    <w:rsid w:val="007028CB"/>
    <w:rsid w:val="0070295D"/>
    <w:rsid w:val="00702967"/>
    <w:rsid w:val="00702972"/>
    <w:rsid w:val="00702A86"/>
    <w:rsid w:val="00702A9C"/>
    <w:rsid w:val="00702B17"/>
    <w:rsid w:val="00702B73"/>
    <w:rsid w:val="00702B8F"/>
    <w:rsid w:val="00702BA7"/>
    <w:rsid w:val="00702BCC"/>
    <w:rsid w:val="00702E19"/>
    <w:rsid w:val="00702E92"/>
    <w:rsid w:val="00702EEA"/>
    <w:rsid w:val="00702F1D"/>
    <w:rsid w:val="00702F51"/>
    <w:rsid w:val="0070324C"/>
    <w:rsid w:val="007032A1"/>
    <w:rsid w:val="00703343"/>
    <w:rsid w:val="007033AB"/>
    <w:rsid w:val="007033AC"/>
    <w:rsid w:val="0070343F"/>
    <w:rsid w:val="00703570"/>
    <w:rsid w:val="007035E5"/>
    <w:rsid w:val="007035E8"/>
    <w:rsid w:val="0070362C"/>
    <w:rsid w:val="007036A7"/>
    <w:rsid w:val="007037F9"/>
    <w:rsid w:val="00703885"/>
    <w:rsid w:val="007038D9"/>
    <w:rsid w:val="00703959"/>
    <w:rsid w:val="0070397F"/>
    <w:rsid w:val="00703992"/>
    <w:rsid w:val="00703ADC"/>
    <w:rsid w:val="00703B29"/>
    <w:rsid w:val="00703BCF"/>
    <w:rsid w:val="00703C0D"/>
    <w:rsid w:val="00703D66"/>
    <w:rsid w:val="00703D70"/>
    <w:rsid w:val="00703D72"/>
    <w:rsid w:val="00703E09"/>
    <w:rsid w:val="00703F0C"/>
    <w:rsid w:val="00704031"/>
    <w:rsid w:val="007041BE"/>
    <w:rsid w:val="00704228"/>
    <w:rsid w:val="007042A4"/>
    <w:rsid w:val="00704429"/>
    <w:rsid w:val="00704484"/>
    <w:rsid w:val="007044A9"/>
    <w:rsid w:val="0070452E"/>
    <w:rsid w:val="0070469B"/>
    <w:rsid w:val="007046B2"/>
    <w:rsid w:val="007047FF"/>
    <w:rsid w:val="00704825"/>
    <w:rsid w:val="007048D3"/>
    <w:rsid w:val="007048DA"/>
    <w:rsid w:val="0070497D"/>
    <w:rsid w:val="00704AE2"/>
    <w:rsid w:val="00704B11"/>
    <w:rsid w:val="00704B1E"/>
    <w:rsid w:val="00704B5C"/>
    <w:rsid w:val="00704CFE"/>
    <w:rsid w:val="00704D0A"/>
    <w:rsid w:val="00704D69"/>
    <w:rsid w:val="00704D79"/>
    <w:rsid w:val="00704DA8"/>
    <w:rsid w:val="00704DE1"/>
    <w:rsid w:val="00704F62"/>
    <w:rsid w:val="00705031"/>
    <w:rsid w:val="0070506D"/>
    <w:rsid w:val="007050AF"/>
    <w:rsid w:val="007050DD"/>
    <w:rsid w:val="00705100"/>
    <w:rsid w:val="00705119"/>
    <w:rsid w:val="0070517B"/>
    <w:rsid w:val="007051CF"/>
    <w:rsid w:val="00705292"/>
    <w:rsid w:val="00705340"/>
    <w:rsid w:val="00705386"/>
    <w:rsid w:val="007053F0"/>
    <w:rsid w:val="00705448"/>
    <w:rsid w:val="007054BA"/>
    <w:rsid w:val="00705597"/>
    <w:rsid w:val="007055AA"/>
    <w:rsid w:val="00705690"/>
    <w:rsid w:val="007057BE"/>
    <w:rsid w:val="007057CD"/>
    <w:rsid w:val="007057E8"/>
    <w:rsid w:val="0070590F"/>
    <w:rsid w:val="00705960"/>
    <w:rsid w:val="00705B56"/>
    <w:rsid w:val="00705B5B"/>
    <w:rsid w:val="00705B5F"/>
    <w:rsid w:val="00705B63"/>
    <w:rsid w:val="00705C02"/>
    <w:rsid w:val="00705C3D"/>
    <w:rsid w:val="00705E3B"/>
    <w:rsid w:val="00705ED2"/>
    <w:rsid w:val="00705F85"/>
    <w:rsid w:val="007060A6"/>
    <w:rsid w:val="007060F4"/>
    <w:rsid w:val="00706146"/>
    <w:rsid w:val="00706161"/>
    <w:rsid w:val="00706196"/>
    <w:rsid w:val="00706268"/>
    <w:rsid w:val="00706326"/>
    <w:rsid w:val="00706349"/>
    <w:rsid w:val="0070635E"/>
    <w:rsid w:val="007063B8"/>
    <w:rsid w:val="007063F0"/>
    <w:rsid w:val="00706420"/>
    <w:rsid w:val="0070642D"/>
    <w:rsid w:val="007064D7"/>
    <w:rsid w:val="007065CD"/>
    <w:rsid w:val="00706602"/>
    <w:rsid w:val="00706608"/>
    <w:rsid w:val="007067B9"/>
    <w:rsid w:val="007067C1"/>
    <w:rsid w:val="0070680B"/>
    <w:rsid w:val="0070685F"/>
    <w:rsid w:val="0070686E"/>
    <w:rsid w:val="00706901"/>
    <w:rsid w:val="007069EA"/>
    <w:rsid w:val="00706A04"/>
    <w:rsid w:val="00706AB5"/>
    <w:rsid w:val="00706AF2"/>
    <w:rsid w:val="00706BE2"/>
    <w:rsid w:val="00706C12"/>
    <w:rsid w:val="00706C94"/>
    <w:rsid w:val="00706CE0"/>
    <w:rsid w:val="00706D21"/>
    <w:rsid w:val="00706E22"/>
    <w:rsid w:val="00706ED9"/>
    <w:rsid w:val="00706EE6"/>
    <w:rsid w:val="0070700A"/>
    <w:rsid w:val="00707015"/>
    <w:rsid w:val="007070CB"/>
    <w:rsid w:val="00707202"/>
    <w:rsid w:val="00707218"/>
    <w:rsid w:val="00707248"/>
    <w:rsid w:val="0070724E"/>
    <w:rsid w:val="00707436"/>
    <w:rsid w:val="00707542"/>
    <w:rsid w:val="00707687"/>
    <w:rsid w:val="007076B8"/>
    <w:rsid w:val="0070773F"/>
    <w:rsid w:val="007077A0"/>
    <w:rsid w:val="007077E5"/>
    <w:rsid w:val="0070794E"/>
    <w:rsid w:val="00707978"/>
    <w:rsid w:val="00707AF9"/>
    <w:rsid w:val="00707B21"/>
    <w:rsid w:val="00707B2A"/>
    <w:rsid w:val="00707B9F"/>
    <w:rsid w:val="00707C1C"/>
    <w:rsid w:val="00707CEC"/>
    <w:rsid w:val="00707CF3"/>
    <w:rsid w:val="00707D00"/>
    <w:rsid w:val="00707D0F"/>
    <w:rsid w:val="00707D7F"/>
    <w:rsid w:val="00707DF7"/>
    <w:rsid w:val="00707E54"/>
    <w:rsid w:val="00707FE0"/>
    <w:rsid w:val="00710017"/>
    <w:rsid w:val="0071012C"/>
    <w:rsid w:val="007101BE"/>
    <w:rsid w:val="0071023C"/>
    <w:rsid w:val="007103D2"/>
    <w:rsid w:val="0071043C"/>
    <w:rsid w:val="00710572"/>
    <w:rsid w:val="0071079D"/>
    <w:rsid w:val="00710892"/>
    <w:rsid w:val="007108F2"/>
    <w:rsid w:val="00710978"/>
    <w:rsid w:val="00710AC1"/>
    <w:rsid w:val="00710AED"/>
    <w:rsid w:val="00710B0A"/>
    <w:rsid w:val="00710B2A"/>
    <w:rsid w:val="00710B91"/>
    <w:rsid w:val="00710B9A"/>
    <w:rsid w:val="00710C25"/>
    <w:rsid w:val="00710C6E"/>
    <w:rsid w:val="00710D84"/>
    <w:rsid w:val="00710DE4"/>
    <w:rsid w:val="00710EC6"/>
    <w:rsid w:val="00711080"/>
    <w:rsid w:val="007110C2"/>
    <w:rsid w:val="00711207"/>
    <w:rsid w:val="007112A6"/>
    <w:rsid w:val="007112E7"/>
    <w:rsid w:val="00711322"/>
    <w:rsid w:val="0071137D"/>
    <w:rsid w:val="00711404"/>
    <w:rsid w:val="00711459"/>
    <w:rsid w:val="00711464"/>
    <w:rsid w:val="007114EB"/>
    <w:rsid w:val="0071154C"/>
    <w:rsid w:val="00711573"/>
    <w:rsid w:val="007116A1"/>
    <w:rsid w:val="007116B1"/>
    <w:rsid w:val="007116E3"/>
    <w:rsid w:val="007117BC"/>
    <w:rsid w:val="0071181E"/>
    <w:rsid w:val="0071182C"/>
    <w:rsid w:val="0071182D"/>
    <w:rsid w:val="00711834"/>
    <w:rsid w:val="00711853"/>
    <w:rsid w:val="007118C3"/>
    <w:rsid w:val="007118F5"/>
    <w:rsid w:val="00711995"/>
    <w:rsid w:val="0071199F"/>
    <w:rsid w:val="00711AA2"/>
    <w:rsid w:val="00711C91"/>
    <w:rsid w:val="00711C92"/>
    <w:rsid w:val="00711CC0"/>
    <w:rsid w:val="00711D88"/>
    <w:rsid w:val="00711D8F"/>
    <w:rsid w:val="00711D9A"/>
    <w:rsid w:val="00711E73"/>
    <w:rsid w:val="00711F71"/>
    <w:rsid w:val="00711F83"/>
    <w:rsid w:val="00712026"/>
    <w:rsid w:val="00712149"/>
    <w:rsid w:val="00712190"/>
    <w:rsid w:val="007121C4"/>
    <w:rsid w:val="007121DD"/>
    <w:rsid w:val="00712278"/>
    <w:rsid w:val="00712346"/>
    <w:rsid w:val="0071239D"/>
    <w:rsid w:val="007123F0"/>
    <w:rsid w:val="00712416"/>
    <w:rsid w:val="0071243F"/>
    <w:rsid w:val="0071244E"/>
    <w:rsid w:val="00712476"/>
    <w:rsid w:val="007125E9"/>
    <w:rsid w:val="00712675"/>
    <w:rsid w:val="007126A2"/>
    <w:rsid w:val="00712817"/>
    <w:rsid w:val="00712848"/>
    <w:rsid w:val="007128ED"/>
    <w:rsid w:val="0071293B"/>
    <w:rsid w:val="0071294B"/>
    <w:rsid w:val="00712A32"/>
    <w:rsid w:val="00712A95"/>
    <w:rsid w:val="00712ACB"/>
    <w:rsid w:val="00712C7C"/>
    <w:rsid w:val="00712CBC"/>
    <w:rsid w:val="00712D4B"/>
    <w:rsid w:val="00712D9B"/>
    <w:rsid w:val="00712DA9"/>
    <w:rsid w:val="00712E4E"/>
    <w:rsid w:val="00712E50"/>
    <w:rsid w:val="00712FF2"/>
    <w:rsid w:val="00712FFD"/>
    <w:rsid w:val="00713063"/>
    <w:rsid w:val="007130A4"/>
    <w:rsid w:val="007131FB"/>
    <w:rsid w:val="00713237"/>
    <w:rsid w:val="00713255"/>
    <w:rsid w:val="007132DB"/>
    <w:rsid w:val="00713307"/>
    <w:rsid w:val="007133D3"/>
    <w:rsid w:val="007134BC"/>
    <w:rsid w:val="00713551"/>
    <w:rsid w:val="0071357A"/>
    <w:rsid w:val="00713661"/>
    <w:rsid w:val="007136B5"/>
    <w:rsid w:val="007136C5"/>
    <w:rsid w:val="00713757"/>
    <w:rsid w:val="007137A3"/>
    <w:rsid w:val="007137D2"/>
    <w:rsid w:val="0071386B"/>
    <w:rsid w:val="00713886"/>
    <w:rsid w:val="00713939"/>
    <w:rsid w:val="00713978"/>
    <w:rsid w:val="00713998"/>
    <w:rsid w:val="007139F2"/>
    <w:rsid w:val="007139F9"/>
    <w:rsid w:val="00713AEE"/>
    <w:rsid w:val="00713B36"/>
    <w:rsid w:val="00713B59"/>
    <w:rsid w:val="00713B98"/>
    <w:rsid w:val="00713BCD"/>
    <w:rsid w:val="00713BE6"/>
    <w:rsid w:val="00713F13"/>
    <w:rsid w:val="00713F29"/>
    <w:rsid w:val="0071403D"/>
    <w:rsid w:val="00714044"/>
    <w:rsid w:val="00714078"/>
    <w:rsid w:val="00714098"/>
    <w:rsid w:val="007140D8"/>
    <w:rsid w:val="007140E7"/>
    <w:rsid w:val="00714122"/>
    <w:rsid w:val="00714161"/>
    <w:rsid w:val="007142CE"/>
    <w:rsid w:val="007142E8"/>
    <w:rsid w:val="007143C8"/>
    <w:rsid w:val="00714411"/>
    <w:rsid w:val="00714415"/>
    <w:rsid w:val="007144C6"/>
    <w:rsid w:val="0071457E"/>
    <w:rsid w:val="007145BA"/>
    <w:rsid w:val="007145BB"/>
    <w:rsid w:val="00714657"/>
    <w:rsid w:val="0071467B"/>
    <w:rsid w:val="00714777"/>
    <w:rsid w:val="007147A4"/>
    <w:rsid w:val="007148ED"/>
    <w:rsid w:val="0071491E"/>
    <w:rsid w:val="0071498D"/>
    <w:rsid w:val="007149BC"/>
    <w:rsid w:val="00714A70"/>
    <w:rsid w:val="00714ABF"/>
    <w:rsid w:val="00714B14"/>
    <w:rsid w:val="00714BD5"/>
    <w:rsid w:val="00714D2C"/>
    <w:rsid w:val="00714D3F"/>
    <w:rsid w:val="00714D7D"/>
    <w:rsid w:val="00714DA3"/>
    <w:rsid w:val="00714EEC"/>
    <w:rsid w:val="00714F45"/>
    <w:rsid w:val="00715039"/>
    <w:rsid w:val="0071504E"/>
    <w:rsid w:val="00715051"/>
    <w:rsid w:val="00715072"/>
    <w:rsid w:val="0071507C"/>
    <w:rsid w:val="007150BB"/>
    <w:rsid w:val="007150BD"/>
    <w:rsid w:val="007150FA"/>
    <w:rsid w:val="0071529B"/>
    <w:rsid w:val="007152FE"/>
    <w:rsid w:val="00715353"/>
    <w:rsid w:val="007154AA"/>
    <w:rsid w:val="0071552E"/>
    <w:rsid w:val="00715552"/>
    <w:rsid w:val="00715596"/>
    <w:rsid w:val="007155E5"/>
    <w:rsid w:val="0071565C"/>
    <w:rsid w:val="00715730"/>
    <w:rsid w:val="007157EB"/>
    <w:rsid w:val="0071583A"/>
    <w:rsid w:val="007158C2"/>
    <w:rsid w:val="007158CA"/>
    <w:rsid w:val="00715936"/>
    <w:rsid w:val="0071594C"/>
    <w:rsid w:val="0071594D"/>
    <w:rsid w:val="00715A40"/>
    <w:rsid w:val="00715AE2"/>
    <w:rsid w:val="00715B28"/>
    <w:rsid w:val="00715BAD"/>
    <w:rsid w:val="00715C57"/>
    <w:rsid w:val="00715C5B"/>
    <w:rsid w:val="00715D0D"/>
    <w:rsid w:val="00715D1E"/>
    <w:rsid w:val="00715D58"/>
    <w:rsid w:val="00715D5B"/>
    <w:rsid w:val="00715DF5"/>
    <w:rsid w:val="00715E14"/>
    <w:rsid w:val="00715E9D"/>
    <w:rsid w:val="00715F78"/>
    <w:rsid w:val="00715F89"/>
    <w:rsid w:val="0071613F"/>
    <w:rsid w:val="00716198"/>
    <w:rsid w:val="007161A5"/>
    <w:rsid w:val="007161AB"/>
    <w:rsid w:val="00716243"/>
    <w:rsid w:val="0071624F"/>
    <w:rsid w:val="007162F1"/>
    <w:rsid w:val="007163F4"/>
    <w:rsid w:val="007164B4"/>
    <w:rsid w:val="007164ED"/>
    <w:rsid w:val="007165EE"/>
    <w:rsid w:val="00716647"/>
    <w:rsid w:val="0071674A"/>
    <w:rsid w:val="007167BB"/>
    <w:rsid w:val="00716861"/>
    <w:rsid w:val="007168E3"/>
    <w:rsid w:val="007168F2"/>
    <w:rsid w:val="007169DF"/>
    <w:rsid w:val="007169E7"/>
    <w:rsid w:val="00716C12"/>
    <w:rsid w:val="00716C5A"/>
    <w:rsid w:val="00716E8A"/>
    <w:rsid w:val="00716EDE"/>
    <w:rsid w:val="00716F79"/>
    <w:rsid w:val="0071701E"/>
    <w:rsid w:val="00717188"/>
    <w:rsid w:val="00717283"/>
    <w:rsid w:val="0071728B"/>
    <w:rsid w:val="007172AC"/>
    <w:rsid w:val="0071731A"/>
    <w:rsid w:val="0071748E"/>
    <w:rsid w:val="007175A7"/>
    <w:rsid w:val="00717605"/>
    <w:rsid w:val="00717611"/>
    <w:rsid w:val="0071772B"/>
    <w:rsid w:val="00717765"/>
    <w:rsid w:val="007178B3"/>
    <w:rsid w:val="007178D7"/>
    <w:rsid w:val="00717932"/>
    <w:rsid w:val="00717A3B"/>
    <w:rsid w:val="00717BF0"/>
    <w:rsid w:val="00717C55"/>
    <w:rsid w:val="00717C67"/>
    <w:rsid w:val="00717C9A"/>
    <w:rsid w:val="00717CD9"/>
    <w:rsid w:val="00717D78"/>
    <w:rsid w:val="00717DE5"/>
    <w:rsid w:val="00717E2B"/>
    <w:rsid w:val="00717E4B"/>
    <w:rsid w:val="00717EB4"/>
    <w:rsid w:val="00717ECB"/>
    <w:rsid w:val="00717F88"/>
    <w:rsid w:val="00717FF7"/>
    <w:rsid w:val="00720148"/>
    <w:rsid w:val="00720174"/>
    <w:rsid w:val="007201B0"/>
    <w:rsid w:val="0072034A"/>
    <w:rsid w:val="00720360"/>
    <w:rsid w:val="00720448"/>
    <w:rsid w:val="007204A5"/>
    <w:rsid w:val="0072050C"/>
    <w:rsid w:val="00720538"/>
    <w:rsid w:val="007205F0"/>
    <w:rsid w:val="0072062F"/>
    <w:rsid w:val="007206A8"/>
    <w:rsid w:val="007206DD"/>
    <w:rsid w:val="007206FA"/>
    <w:rsid w:val="00720737"/>
    <w:rsid w:val="00720751"/>
    <w:rsid w:val="007207C4"/>
    <w:rsid w:val="00720803"/>
    <w:rsid w:val="0072085D"/>
    <w:rsid w:val="00720913"/>
    <w:rsid w:val="00720A10"/>
    <w:rsid w:val="00720B33"/>
    <w:rsid w:val="00720CA1"/>
    <w:rsid w:val="00720CFC"/>
    <w:rsid w:val="00720D35"/>
    <w:rsid w:val="00720D58"/>
    <w:rsid w:val="00720D85"/>
    <w:rsid w:val="00720DA4"/>
    <w:rsid w:val="00720DE0"/>
    <w:rsid w:val="00720ECC"/>
    <w:rsid w:val="00720FD1"/>
    <w:rsid w:val="0072100A"/>
    <w:rsid w:val="007210DE"/>
    <w:rsid w:val="007211CB"/>
    <w:rsid w:val="00721488"/>
    <w:rsid w:val="00721559"/>
    <w:rsid w:val="007215B1"/>
    <w:rsid w:val="007215F3"/>
    <w:rsid w:val="007215FC"/>
    <w:rsid w:val="00721641"/>
    <w:rsid w:val="007216A5"/>
    <w:rsid w:val="007216AB"/>
    <w:rsid w:val="007217C2"/>
    <w:rsid w:val="007218A3"/>
    <w:rsid w:val="00721A38"/>
    <w:rsid w:val="00721A47"/>
    <w:rsid w:val="00721B44"/>
    <w:rsid w:val="00721BC7"/>
    <w:rsid w:val="00721BCA"/>
    <w:rsid w:val="00721C2D"/>
    <w:rsid w:val="00721C85"/>
    <w:rsid w:val="00721CFF"/>
    <w:rsid w:val="00721D52"/>
    <w:rsid w:val="00721E31"/>
    <w:rsid w:val="00721F59"/>
    <w:rsid w:val="00721F91"/>
    <w:rsid w:val="00721F9A"/>
    <w:rsid w:val="00721FB1"/>
    <w:rsid w:val="00721FD2"/>
    <w:rsid w:val="0072219E"/>
    <w:rsid w:val="007221E3"/>
    <w:rsid w:val="00722200"/>
    <w:rsid w:val="00722278"/>
    <w:rsid w:val="0072232E"/>
    <w:rsid w:val="00722391"/>
    <w:rsid w:val="007223AB"/>
    <w:rsid w:val="007223AF"/>
    <w:rsid w:val="00722478"/>
    <w:rsid w:val="0072248F"/>
    <w:rsid w:val="00722536"/>
    <w:rsid w:val="0072256E"/>
    <w:rsid w:val="007225B8"/>
    <w:rsid w:val="007225C6"/>
    <w:rsid w:val="0072265F"/>
    <w:rsid w:val="0072277A"/>
    <w:rsid w:val="00722808"/>
    <w:rsid w:val="00722816"/>
    <w:rsid w:val="007228C6"/>
    <w:rsid w:val="00722916"/>
    <w:rsid w:val="00722919"/>
    <w:rsid w:val="00722954"/>
    <w:rsid w:val="007229F3"/>
    <w:rsid w:val="00722AD8"/>
    <w:rsid w:val="00722AF7"/>
    <w:rsid w:val="00722C50"/>
    <w:rsid w:val="00722CFF"/>
    <w:rsid w:val="00722D70"/>
    <w:rsid w:val="00722D71"/>
    <w:rsid w:val="00722D78"/>
    <w:rsid w:val="00722E16"/>
    <w:rsid w:val="00722E18"/>
    <w:rsid w:val="00722E3A"/>
    <w:rsid w:val="00722ECE"/>
    <w:rsid w:val="00723005"/>
    <w:rsid w:val="0072307A"/>
    <w:rsid w:val="007230ED"/>
    <w:rsid w:val="0072310C"/>
    <w:rsid w:val="0072322A"/>
    <w:rsid w:val="007232D6"/>
    <w:rsid w:val="0072347E"/>
    <w:rsid w:val="007234E3"/>
    <w:rsid w:val="00723515"/>
    <w:rsid w:val="00723649"/>
    <w:rsid w:val="0072365E"/>
    <w:rsid w:val="00723662"/>
    <w:rsid w:val="00723682"/>
    <w:rsid w:val="007236C7"/>
    <w:rsid w:val="00723757"/>
    <w:rsid w:val="0072375D"/>
    <w:rsid w:val="0072375F"/>
    <w:rsid w:val="007238C0"/>
    <w:rsid w:val="007239A6"/>
    <w:rsid w:val="00723B60"/>
    <w:rsid w:val="00723B87"/>
    <w:rsid w:val="00723D8B"/>
    <w:rsid w:val="00723DB2"/>
    <w:rsid w:val="00723DDF"/>
    <w:rsid w:val="00723DF3"/>
    <w:rsid w:val="00723F83"/>
    <w:rsid w:val="00723F88"/>
    <w:rsid w:val="00723FDF"/>
    <w:rsid w:val="00724022"/>
    <w:rsid w:val="0072403C"/>
    <w:rsid w:val="007240C4"/>
    <w:rsid w:val="007240CC"/>
    <w:rsid w:val="007240FC"/>
    <w:rsid w:val="00724116"/>
    <w:rsid w:val="0072418B"/>
    <w:rsid w:val="007241D7"/>
    <w:rsid w:val="0072427A"/>
    <w:rsid w:val="007242D1"/>
    <w:rsid w:val="007242E3"/>
    <w:rsid w:val="00724314"/>
    <w:rsid w:val="007243EE"/>
    <w:rsid w:val="0072442C"/>
    <w:rsid w:val="00724480"/>
    <w:rsid w:val="007244A1"/>
    <w:rsid w:val="0072458C"/>
    <w:rsid w:val="007245C7"/>
    <w:rsid w:val="007245EA"/>
    <w:rsid w:val="00724720"/>
    <w:rsid w:val="00724724"/>
    <w:rsid w:val="007247CE"/>
    <w:rsid w:val="0072481B"/>
    <w:rsid w:val="0072483E"/>
    <w:rsid w:val="00724997"/>
    <w:rsid w:val="00724A92"/>
    <w:rsid w:val="00724AC4"/>
    <w:rsid w:val="00724B22"/>
    <w:rsid w:val="00724B71"/>
    <w:rsid w:val="00724B7D"/>
    <w:rsid w:val="00724BA0"/>
    <w:rsid w:val="00724C4B"/>
    <w:rsid w:val="00724CA9"/>
    <w:rsid w:val="00724E05"/>
    <w:rsid w:val="00724E85"/>
    <w:rsid w:val="00724EE4"/>
    <w:rsid w:val="00724F97"/>
    <w:rsid w:val="00724FFB"/>
    <w:rsid w:val="00725023"/>
    <w:rsid w:val="00725037"/>
    <w:rsid w:val="00725195"/>
    <w:rsid w:val="007251D1"/>
    <w:rsid w:val="007252DA"/>
    <w:rsid w:val="00725305"/>
    <w:rsid w:val="0072535F"/>
    <w:rsid w:val="0072538E"/>
    <w:rsid w:val="007253C2"/>
    <w:rsid w:val="0072547C"/>
    <w:rsid w:val="007254B6"/>
    <w:rsid w:val="007254F9"/>
    <w:rsid w:val="00725566"/>
    <w:rsid w:val="007255D4"/>
    <w:rsid w:val="0072567A"/>
    <w:rsid w:val="00725719"/>
    <w:rsid w:val="00725727"/>
    <w:rsid w:val="0072577F"/>
    <w:rsid w:val="00725830"/>
    <w:rsid w:val="00725973"/>
    <w:rsid w:val="00725A5A"/>
    <w:rsid w:val="00725AD6"/>
    <w:rsid w:val="00725B1F"/>
    <w:rsid w:val="00725B2F"/>
    <w:rsid w:val="00725B4A"/>
    <w:rsid w:val="00725BFD"/>
    <w:rsid w:val="00725CA4"/>
    <w:rsid w:val="00725CEB"/>
    <w:rsid w:val="00725CF4"/>
    <w:rsid w:val="00725D6E"/>
    <w:rsid w:val="00725DA8"/>
    <w:rsid w:val="00725DBF"/>
    <w:rsid w:val="00725E17"/>
    <w:rsid w:val="00725EC2"/>
    <w:rsid w:val="00725EF1"/>
    <w:rsid w:val="00725F0F"/>
    <w:rsid w:val="00725FA9"/>
    <w:rsid w:val="0072603D"/>
    <w:rsid w:val="00726045"/>
    <w:rsid w:val="0072609E"/>
    <w:rsid w:val="007260DA"/>
    <w:rsid w:val="007261AD"/>
    <w:rsid w:val="00726255"/>
    <w:rsid w:val="007262A8"/>
    <w:rsid w:val="007262EA"/>
    <w:rsid w:val="007263F9"/>
    <w:rsid w:val="00726458"/>
    <w:rsid w:val="00726486"/>
    <w:rsid w:val="00726603"/>
    <w:rsid w:val="0072662F"/>
    <w:rsid w:val="0072669A"/>
    <w:rsid w:val="007266B5"/>
    <w:rsid w:val="00726707"/>
    <w:rsid w:val="0072677E"/>
    <w:rsid w:val="00726804"/>
    <w:rsid w:val="00726AAB"/>
    <w:rsid w:val="00726AD2"/>
    <w:rsid w:val="00726AD3"/>
    <w:rsid w:val="00726B2A"/>
    <w:rsid w:val="00726C62"/>
    <w:rsid w:val="00726E2E"/>
    <w:rsid w:val="00726E76"/>
    <w:rsid w:val="00726E85"/>
    <w:rsid w:val="00726EF9"/>
    <w:rsid w:val="00726F14"/>
    <w:rsid w:val="00726F23"/>
    <w:rsid w:val="00726F60"/>
    <w:rsid w:val="0072702F"/>
    <w:rsid w:val="007270A6"/>
    <w:rsid w:val="007270DC"/>
    <w:rsid w:val="00727152"/>
    <w:rsid w:val="00727165"/>
    <w:rsid w:val="00727298"/>
    <w:rsid w:val="00727304"/>
    <w:rsid w:val="00727380"/>
    <w:rsid w:val="007275B4"/>
    <w:rsid w:val="0072767B"/>
    <w:rsid w:val="007276B6"/>
    <w:rsid w:val="007276D0"/>
    <w:rsid w:val="007277FE"/>
    <w:rsid w:val="00727865"/>
    <w:rsid w:val="00727878"/>
    <w:rsid w:val="007279C9"/>
    <w:rsid w:val="00727A74"/>
    <w:rsid w:val="00727A9D"/>
    <w:rsid w:val="00727AD3"/>
    <w:rsid w:val="00727B63"/>
    <w:rsid w:val="00727B83"/>
    <w:rsid w:val="00727C08"/>
    <w:rsid w:val="00727C32"/>
    <w:rsid w:val="00727CDA"/>
    <w:rsid w:val="00727D29"/>
    <w:rsid w:val="00727D38"/>
    <w:rsid w:val="00727DC8"/>
    <w:rsid w:val="00727E0B"/>
    <w:rsid w:val="00727E77"/>
    <w:rsid w:val="00727EC1"/>
    <w:rsid w:val="00727EEA"/>
    <w:rsid w:val="007301C7"/>
    <w:rsid w:val="00730273"/>
    <w:rsid w:val="00730277"/>
    <w:rsid w:val="007302B8"/>
    <w:rsid w:val="00730303"/>
    <w:rsid w:val="00730361"/>
    <w:rsid w:val="0073037A"/>
    <w:rsid w:val="007304FE"/>
    <w:rsid w:val="007305AA"/>
    <w:rsid w:val="00730678"/>
    <w:rsid w:val="00730786"/>
    <w:rsid w:val="007307A7"/>
    <w:rsid w:val="007307B9"/>
    <w:rsid w:val="007307CA"/>
    <w:rsid w:val="00730871"/>
    <w:rsid w:val="007308B5"/>
    <w:rsid w:val="0073095A"/>
    <w:rsid w:val="00730ADE"/>
    <w:rsid w:val="00730B1C"/>
    <w:rsid w:val="00730B48"/>
    <w:rsid w:val="00730BB9"/>
    <w:rsid w:val="00730BF9"/>
    <w:rsid w:val="00730C17"/>
    <w:rsid w:val="00730C68"/>
    <w:rsid w:val="00730D99"/>
    <w:rsid w:val="00730DC5"/>
    <w:rsid w:val="00730DD2"/>
    <w:rsid w:val="00730E37"/>
    <w:rsid w:val="00730F24"/>
    <w:rsid w:val="00731095"/>
    <w:rsid w:val="007310B1"/>
    <w:rsid w:val="007310E4"/>
    <w:rsid w:val="00731148"/>
    <w:rsid w:val="00731212"/>
    <w:rsid w:val="00731293"/>
    <w:rsid w:val="007312EE"/>
    <w:rsid w:val="00731340"/>
    <w:rsid w:val="00731396"/>
    <w:rsid w:val="00731473"/>
    <w:rsid w:val="00731595"/>
    <w:rsid w:val="007315DA"/>
    <w:rsid w:val="007315E5"/>
    <w:rsid w:val="0073169B"/>
    <w:rsid w:val="007316DF"/>
    <w:rsid w:val="00731724"/>
    <w:rsid w:val="00731730"/>
    <w:rsid w:val="00731789"/>
    <w:rsid w:val="007317D3"/>
    <w:rsid w:val="007318A3"/>
    <w:rsid w:val="007318A6"/>
    <w:rsid w:val="007318CA"/>
    <w:rsid w:val="007318F1"/>
    <w:rsid w:val="0073193C"/>
    <w:rsid w:val="00731A67"/>
    <w:rsid w:val="00731AAD"/>
    <w:rsid w:val="00731AD2"/>
    <w:rsid w:val="00731B96"/>
    <w:rsid w:val="00731C15"/>
    <w:rsid w:val="00731C2F"/>
    <w:rsid w:val="00731DB7"/>
    <w:rsid w:val="00731E0F"/>
    <w:rsid w:val="00731E50"/>
    <w:rsid w:val="00731E78"/>
    <w:rsid w:val="00731E7B"/>
    <w:rsid w:val="00731E80"/>
    <w:rsid w:val="007320D3"/>
    <w:rsid w:val="007320F8"/>
    <w:rsid w:val="00732122"/>
    <w:rsid w:val="00732186"/>
    <w:rsid w:val="00732229"/>
    <w:rsid w:val="007323BA"/>
    <w:rsid w:val="00732402"/>
    <w:rsid w:val="00732435"/>
    <w:rsid w:val="007324F5"/>
    <w:rsid w:val="007325C5"/>
    <w:rsid w:val="0073264E"/>
    <w:rsid w:val="007326C2"/>
    <w:rsid w:val="007326D9"/>
    <w:rsid w:val="00732751"/>
    <w:rsid w:val="00732770"/>
    <w:rsid w:val="007327EA"/>
    <w:rsid w:val="007328C4"/>
    <w:rsid w:val="00732961"/>
    <w:rsid w:val="00732A3A"/>
    <w:rsid w:val="00732AF9"/>
    <w:rsid w:val="00732BE4"/>
    <w:rsid w:val="00732C00"/>
    <w:rsid w:val="00732C0A"/>
    <w:rsid w:val="00732DF9"/>
    <w:rsid w:val="00732FCF"/>
    <w:rsid w:val="00732FEA"/>
    <w:rsid w:val="00733051"/>
    <w:rsid w:val="007330BA"/>
    <w:rsid w:val="007330F0"/>
    <w:rsid w:val="0073311B"/>
    <w:rsid w:val="007332C5"/>
    <w:rsid w:val="00733319"/>
    <w:rsid w:val="0073331D"/>
    <w:rsid w:val="0073336B"/>
    <w:rsid w:val="007333A1"/>
    <w:rsid w:val="00733490"/>
    <w:rsid w:val="00733602"/>
    <w:rsid w:val="0073372B"/>
    <w:rsid w:val="007337BA"/>
    <w:rsid w:val="0073391E"/>
    <w:rsid w:val="00733940"/>
    <w:rsid w:val="007339E6"/>
    <w:rsid w:val="00733A64"/>
    <w:rsid w:val="00733A7E"/>
    <w:rsid w:val="00733AD8"/>
    <w:rsid w:val="00733B74"/>
    <w:rsid w:val="00733BCF"/>
    <w:rsid w:val="00733DA5"/>
    <w:rsid w:val="00733DFF"/>
    <w:rsid w:val="00733E3F"/>
    <w:rsid w:val="00733EF8"/>
    <w:rsid w:val="00733F39"/>
    <w:rsid w:val="00733FF3"/>
    <w:rsid w:val="00734006"/>
    <w:rsid w:val="007340BD"/>
    <w:rsid w:val="007341B4"/>
    <w:rsid w:val="007341F0"/>
    <w:rsid w:val="007343FC"/>
    <w:rsid w:val="0073446A"/>
    <w:rsid w:val="0073446B"/>
    <w:rsid w:val="00734470"/>
    <w:rsid w:val="007344B0"/>
    <w:rsid w:val="007344E6"/>
    <w:rsid w:val="0073458D"/>
    <w:rsid w:val="007346A4"/>
    <w:rsid w:val="00734765"/>
    <w:rsid w:val="007347B6"/>
    <w:rsid w:val="007347D7"/>
    <w:rsid w:val="007347E4"/>
    <w:rsid w:val="0073485C"/>
    <w:rsid w:val="007348D6"/>
    <w:rsid w:val="00734926"/>
    <w:rsid w:val="007349F9"/>
    <w:rsid w:val="00734A53"/>
    <w:rsid w:val="00734AD2"/>
    <w:rsid w:val="00734B18"/>
    <w:rsid w:val="00734B34"/>
    <w:rsid w:val="00734B6B"/>
    <w:rsid w:val="00734BC7"/>
    <w:rsid w:val="00734D9B"/>
    <w:rsid w:val="00734E0F"/>
    <w:rsid w:val="00734F87"/>
    <w:rsid w:val="007350AF"/>
    <w:rsid w:val="007350B4"/>
    <w:rsid w:val="007350F3"/>
    <w:rsid w:val="007353E1"/>
    <w:rsid w:val="00735608"/>
    <w:rsid w:val="00735625"/>
    <w:rsid w:val="0073565C"/>
    <w:rsid w:val="00735668"/>
    <w:rsid w:val="0073569D"/>
    <w:rsid w:val="007356DC"/>
    <w:rsid w:val="00735745"/>
    <w:rsid w:val="0073577B"/>
    <w:rsid w:val="007357E1"/>
    <w:rsid w:val="0073588A"/>
    <w:rsid w:val="0073590F"/>
    <w:rsid w:val="007359F7"/>
    <w:rsid w:val="00735CA4"/>
    <w:rsid w:val="00735D26"/>
    <w:rsid w:val="00735D56"/>
    <w:rsid w:val="00735D90"/>
    <w:rsid w:val="00735D91"/>
    <w:rsid w:val="00735DD5"/>
    <w:rsid w:val="00735DDB"/>
    <w:rsid w:val="0073606C"/>
    <w:rsid w:val="00736071"/>
    <w:rsid w:val="007360B2"/>
    <w:rsid w:val="007360BA"/>
    <w:rsid w:val="007360DF"/>
    <w:rsid w:val="007361CE"/>
    <w:rsid w:val="00736248"/>
    <w:rsid w:val="0073634A"/>
    <w:rsid w:val="00736524"/>
    <w:rsid w:val="00736558"/>
    <w:rsid w:val="00736584"/>
    <w:rsid w:val="0073675A"/>
    <w:rsid w:val="0073675C"/>
    <w:rsid w:val="00736833"/>
    <w:rsid w:val="007368AC"/>
    <w:rsid w:val="007368CD"/>
    <w:rsid w:val="00736A35"/>
    <w:rsid w:val="00736A57"/>
    <w:rsid w:val="00736AA8"/>
    <w:rsid w:val="00736AB1"/>
    <w:rsid w:val="00736C2B"/>
    <w:rsid w:val="00736C36"/>
    <w:rsid w:val="00736C4A"/>
    <w:rsid w:val="00736C52"/>
    <w:rsid w:val="00736C65"/>
    <w:rsid w:val="00736CBD"/>
    <w:rsid w:val="00736D2D"/>
    <w:rsid w:val="00736D2F"/>
    <w:rsid w:val="00736D4F"/>
    <w:rsid w:val="00736DCC"/>
    <w:rsid w:val="00736DD8"/>
    <w:rsid w:val="00736E15"/>
    <w:rsid w:val="00736E17"/>
    <w:rsid w:val="00736E1E"/>
    <w:rsid w:val="00736F3C"/>
    <w:rsid w:val="00737009"/>
    <w:rsid w:val="00737215"/>
    <w:rsid w:val="007372E3"/>
    <w:rsid w:val="00737400"/>
    <w:rsid w:val="007374E7"/>
    <w:rsid w:val="0073756C"/>
    <w:rsid w:val="00737668"/>
    <w:rsid w:val="007376B4"/>
    <w:rsid w:val="007376ED"/>
    <w:rsid w:val="007377DD"/>
    <w:rsid w:val="00737872"/>
    <w:rsid w:val="00737876"/>
    <w:rsid w:val="00737922"/>
    <w:rsid w:val="0073795B"/>
    <w:rsid w:val="00737961"/>
    <w:rsid w:val="007379AB"/>
    <w:rsid w:val="00737A4C"/>
    <w:rsid w:val="00737BDC"/>
    <w:rsid w:val="00737C11"/>
    <w:rsid w:val="00737C1E"/>
    <w:rsid w:val="00737D4C"/>
    <w:rsid w:val="00737DF1"/>
    <w:rsid w:val="00737E40"/>
    <w:rsid w:val="00737E7C"/>
    <w:rsid w:val="00737EEC"/>
    <w:rsid w:val="00737F1D"/>
    <w:rsid w:val="00737FCA"/>
    <w:rsid w:val="00740033"/>
    <w:rsid w:val="00740268"/>
    <w:rsid w:val="007402CE"/>
    <w:rsid w:val="0074033D"/>
    <w:rsid w:val="007403BA"/>
    <w:rsid w:val="00740470"/>
    <w:rsid w:val="0074047C"/>
    <w:rsid w:val="007404A0"/>
    <w:rsid w:val="007404CC"/>
    <w:rsid w:val="00740544"/>
    <w:rsid w:val="00740638"/>
    <w:rsid w:val="007406E5"/>
    <w:rsid w:val="007407A8"/>
    <w:rsid w:val="007407CB"/>
    <w:rsid w:val="0074091B"/>
    <w:rsid w:val="00740941"/>
    <w:rsid w:val="00740979"/>
    <w:rsid w:val="00740993"/>
    <w:rsid w:val="00740B46"/>
    <w:rsid w:val="00740BBB"/>
    <w:rsid w:val="00740BC2"/>
    <w:rsid w:val="00740BCB"/>
    <w:rsid w:val="00740C31"/>
    <w:rsid w:val="00740C72"/>
    <w:rsid w:val="00740CCC"/>
    <w:rsid w:val="00740CD4"/>
    <w:rsid w:val="00740D9D"/>
    <w:rsid w:val="00740E39"/>
    <w:rsid w:val="00740E78"/>
    <w:rsid w:val="00740F00"/>
    <w:rsid w:val="00740F7A"/>
    <w:rsid w:val="00740FFC"/>
    <w:rsid w:val="00741042"/>
    <w:rsid w:val="00741145"/>
    <w:rsid w:val="00741193"/>
    <w:rsid w:val="007411B6"/>
    <w:rsid w:val="00741263"/>
    <w:rsid w:val="007412E3"/>
    <w:rsid w:val="007413B1"/>
    <w:rsid w:val="0074146B"/>
    <w:rsid w:val="007414D4"/>
    <w:rsid w:val="00741552"/>
    <w:rsid w:val="00741559"/>
    <w:rsid w:val="00741593"/>
    <w:rsid w:val="007415C2"/>
    <w:rsid w:val="007415D5"/>
    <w:rsid w:val="007415EA"/>
    <w:rsid w:val="0074160A"/>
    <w:rsid w:val="00741622"/>
    <w:rsid w:val="00741644"/>
    <w:rsid w:val="007416A5"/>
    <w:rsid w:val="007416CD"/>
    <w:rsid w:val="007417A5"/>
    <w:rsid w:val="00741825"/>
    <w:rsid w:val="0074182D"/>
    <w:rsid w:val="0074187A"/>
    <w:rsid w:val="007418E0"/>
    <w:rsid w:val="00741928"/>
    <w:rsid w:val="007419CB"/>
    <w:rsid w:val="007419F4"/>
    <w:rsid w:val="00741B4B"/>
    <w:rsid w:val="00741B4C"/>
    <w:rsid w:val="00741C4E"/>
    <w:rsid w:val="00741D07"/>
    <w:rsid w:val="00741D44"/>
    <w:rsid w:val="00741E7A"/>
    <w:rsid w:val="00741F14"/>
    <w:rsid w:val="00741F2A"/>
    <w:rsid w:val="00742094"/>
    <w:rsid w:val="00742145"/>
    <w:rsid w:val="00742157"/>
    <w:rsid w:val="00742294"/>
    <w:rsid w:val="007422CF"/>
    <w:rsid w:val="00742304"/>
    <w:rsid w:val="0074235D"/>
    <w:rsid w:val="0074254B"/>
    <w:rsid w:val="00742554"/>
    <w:rsid w:val="00742568"/>
    <w:rsid w:val="00742678"/>
    <w:rsid w:val="0074269C"/>
    <w:rsid w:val="00742712"/>
    <w:rsid w:val="0074271A"/>
    <w:rsid w:val="0074275B"/>
    <w:rsid w:val="0074276E"/>
    <w:rsid w:val="0074277A"/>
    <w:rsid w:val="00742881"/>
    <w:rsid w:val="00742891"/>
    <w:rsid w:val="00742955"/>
    <w:rsid w:val="007429BF"/>
    <w:rsid w:val="007429F2"/>
    <w:rsid w:val="00742A57"/>
    <w:rsid w:val="00742B38"/>
    <w:rsid w:val="00742BC6"/>
    <w:rsid w:val="00742BDF"/>
    <w:rsid w:val="00742C07"/>
    <w:rsid w:val="00742CC9"/>
    <w:rsid w:val="00742D1E"/>
    <w:rsid w:val="00742D4B"/>
    <w:rsid w:val="00742D5D"/>
    <w:rsid w:val="00742EDB"/>
    <w:rsid w:val="00742FB7"/>
    <w:rsid w:val="00743068"/>
    <w:rsid w:val="007430CF"/>
    <w:rsid w:val="00743631"/>
    <w:rsid w:val="00743737"/>
    <w:rsid w:val="007438B6"/>
    <w:rsid w:val="00743984"/>
    <w:rsid w:val="007439B8"/>
    <w:rsid w:val="00743A24"/>
    <w:rsid w:val="00743BC3"/>
    <w:rsid w:val="00743C34"/>
    <w:rsid w:val="00743D3C"/>
    <w:rsid w:val="00743E9B"/>
    <w:rsid w:val="00743F1D"/>
    <w:rsid w:val="00743F3B"/>
    <w:rsid w:val="00743FA3"/>
    <w:rsid w:val="00743FBA"/>
    <w:rsid w:val="00744074"/>
    <w:rsid w:val="00744176"/>
    <w:rsid w:val="0074417D"/>
    <w:rsid w:val="00744205"/>
    <w:rsid w:val="00744284"/>
    <w:rsid w:val="007442FB"/>
    <w:rsid w:val="0074431E"/>
    <w:rsid w:val="00744345"/>
    <w:rsid w:val="0074434B"/>
    <w:rsid w:val="007443B3"/>
    <w:rsid w:val="00744584"/>
    <w:rsid w:val="007445D6"/>
    <w:rsid w:val="00744604"/>
    <w:rsid w:val="00744698"/>
    <w:rsid w:val="00744739"/>
    <w:rsid w:val="00744866"/>
    <w:rsid w:val="007449D8"/>
    <w:rsid w:val="00744B24"/>
    <w:rsid w:val="00744BAD"/>
    <w:rsid w:val="00744BEE"/>
    <w:rsid w:val="00744C0B"/>
    <w:rsid w:val="00744C0D"/>
    <w:rsid w:val="00744D13"/>
    <w:rsid w:val="00744DE1"/>
    <w:rsid w:val="00744E68"/>
    <w:rsid w:val="00744EBF"/>
    <w:rsid w:val="00744EFB"/>
    <w:rsid w:val="00744FC3"/>
    <w:rsid w:val="00744FE7"/>
    <w:rsid w:val="00745108"/>
    <w:rsid w:val="0074516D"/>
    <w:rsid w:val="00745186"/>
    <w:rsid w:val="0074527E"/>
    <w:rsid w:val="007452CD"/>
    <w:rsid w:val="0074536D"/>
    <w:rsid w:val="00745463"/>
    <w:rsid w:val="007454EE"/>
    <w:rsid w:val="007454F9"/>
    <w:rsid w:val="0074572E"/>
    <w:rsid w:val="00745792"/>
    <w:rsid w:val="007457A6"/>
    <w:rsid w:val="00745840"/>
    <w:rsid w:val="007458B7"/>
    <w:rsid w:val="00745906"/>
    <w:rsid w:val="0074593F"/>
    <w:rsid w:val="0074596E"/>
    <w:rsid w:val="00745984"/>
    <w:rsid w:val="00745992"/>
    <w:rsid w:val="007459B8"/>
    <w:rsid w:val="00745ACD"/>
    <w:rsid w:val="00745B8C"/>
    <w:rsid w:val="00745BDE"/>
    <w:rsid w:val="00745C14"/>
    <w:rsid w:val="00745F6B"/>
    <w:rsid w:val="00745F86"/>
    <w:rsid w:val="007460F8"/>
    <w:rsid w:val="007461C4"/>
    <w:rsid w:val="007461F7"/>
    <w:rsid w:val="007462C2"/>
    <w:rsid w:val="007462EB"/>
    <w:rsid w:val="00746350"/>
    <w:rsid w:val="007464C1"/>
    <w:rsid w:val="007466AD"/>
    <w:rsid w:val="0074674C"/>
    <w:rsid w:val="00746788"/>
    <w:rsid w:val="007467C4"/>
    <w:rsid w:val="0074682A"/>
    <w:rsid w:val="0074684E"/>
    <w:rsid w:val="00746860"/>
    <w:rsid w:val="00746870"/>
    <w:rsid w:val="00746874"/>
    <w:rsid w:val="00746963"/>
    <w:rsid w:val="007469FD"/>
    <w:rsid w:val="00746A3F"/>
    <w:rsid w:val="00746A45"/>
    <w:rsid w:val="00746A6C"/>
    <w:rsid w:val="00746A97"/>
    <w:rsid w:val="00746AA6"/>
    <w:rsid w:val="00746AB8"/>
    <w:rsid w:val="00746AEF"/>
    <w:rsid w:val="00746B01"/>
    <w:rsid w:val="00746B3F"/>
    <w:rsid w:val="00746C85"/>
    <w:rsid w:val="00746CD3"/>
    <w:rsid w:val="00746E60"/>
    <w:rsid w:val="00746E86"/>
    <w:rsid w:val="00746EED"/>
    <w:rsid w:val="00746F28"/>
    <w:rsid w:val="00746F46"/>
    <w:rsid w:val="00746F61"/>
    <w:rsid w:val="00746FA3"/>
    <w:rsid w:val="00746FA7"/>
    <w:rsid w:val="00746FD7"/>
    <w:rsid w:val="007470D1"/>
    <w:rsid w:val="007471EB"/>
    <w:rsid w:val="007472B6"/>
    <w:rsid w:val="007472B9"/>
    <w:rsid w:val="007473BE"/>
    <w:rsid w:val="0074751B"/>
    <w:rsid w:val="0074755E"/>
    <w:rsid w:val="00747653"/>
    <w:rsid w:val="007476F8"/>
    <w:rsid w:val="00747704"/>
    <w:rsid w:val="007478BD"/>
    <w:rsid w:val="00747929"/>
    <w:rsid w:val="007479F0"/>
    <w:rsid w:val="00747AAF"/>
    <w:rsid w:val="00747B5E"/>
    <w:rsid w:val="00747B98"/>
    <w:rsid w:val="00747CDA"/>
    <w:rsid w:val="00747D11"/>
    <w:rsid w:val="00747DF7"/>
    <w:rsid w:val="00747E2E"/>
    <w:rsid w:val="00747E32"/>
    <w:rsid w:val="0074E1A9"/>
    <w:rsid w:val="007500CF"/>
    <w:rsid w:val="007501A1"/>
    <w:rsid w:val="007501BE"/>
    <w:rsid w:val="007501C3"/>
    <w:rsid w:val="00750206"/>
    <w:rsid w:val="00750213"/>
    <w:rsid w:val="007502B8"/>
    <w:rsid w:val="007502CE"/>
    <w:rsid w:val="007502D8"/>
    <w:rsid w:val="0075035E"/>
    <w:rsid w:val="00750567"/>
    <w:rsid w:val="00750675"/>
    <w:rsid w:val="007506AF"/>
    <w:rsid w:val="0075083B"/>
    <w:rsid w:val="00750845"/>
    <w:rsid w:val="00750848"/>
    <w:rsid w:val="0075084A"/>
    <w:rsid w:val="007508BB"/>
    <w:rsid w:val="00750929"/>
    <w:rsid w:val="00750938"/>
    <w:rsid w:val="0075098C"/>
    <w:rsid w:val="00750A55"/>
    <w:rsid w:val="00750ABC"/>
    <w:rsid w:val="00750C6B"/>
    <w:rsid w:val="00750D5C"/>
    <w:rsid w:val="00750E4D"/>
    <w:rsid w:val="00750F02"/>
    <w:rsid w:val="00750F39"/>
    <w:rsid w:val="00750FB6"/>
    <w:rsid w:val="0075104A"/>
    <w:rsid w:val="00751069"/>
    <w:rsid w:val="0075110F"/>
    <w:rsid w:val="0075134E"/>
    <w:rsid w:val="0075135B"/>
    <w:rsid w:val="00751383"/>
    <w:rsid w:val="007513AC"/>
    <w:rsid w:val="007513AD"/>
    <w:rsid w:val="007513F0"/>
    <w:rsid w:val="00751406"/>
    <w:rsid w:val="00751417"/>
    <w:rsid w:val="007514EE"/>
    <w:rsid w:val="00751609"/>
    <w:rsid w:val="00751711"/>
    <w:rsid w:val="0075171E"/>
    <w:rsid w:val="007517CE"/>
    <w:rsid w:val="007517EC"/>
    <w:rsid w:val="0075183B"/>
    <w:rsid w:val="00751848"/>
    <w:rsid w:val="007518D2"/>
    <w:rsid w:val="007518D6"/>
    <w:rsid w:val="007519CF"/>
    <w:rsid w:val="007519F6"/>
    <w:rsid w:val="00751AC2"/>
    <w:rsid w:val="00751AC7"/>
    <w:rsid w:val="00751B82"/>
    <w:rsid w:val="00751BFA"/>
    <w:rsid w:val="00751C09"/>
    <w:rsid w:val="00751C7E"/>
    <w:rsid w:val="00751C9E"/>
    <w:rsid w:val="00751CF8"/>
    <w:rsid w:val="00751D92"/>
    <w:rsid w:val="00751D96"/>
    <w:rsid w:val="00751F79"/>
    <w:rsid w:val="00751FE5"/>
    <w:rsid w:val="0075203A"/>
    <w:rsid w:val="00752213"/>
    <w:rsid w:val="00752263"/>
    <w:rsid w:val="007523BE"/>
    <w:rsid w:val="00752480"/>
    <w:rsid w:val="00752515"/>
    <w:rsid w:val="00752519"/>
    <w:rsid w:val="00752552"/>
    <w:rsid w:val="00752659"/>
    <w:rsid w:val="00752694"/>
    <w:rsid w:val="007527A6"/>
    <w:rsid w:val="00752840"/>
    <w:rsid w:val="00752854"/>
    <w:rsid w:val="007528B7"/>
    <w:rsid w:val="007529E0"/>
    <w:rsid w:val="007529F2"/>
    <w:rsid w:val="00752BA6"/>
    <w:rsid w:val="00752C15"/>
    <w:rsid w:val="00752C93"/>
    <w:rsid w:val="00752CC4"/>
    <w:rsid w:val="00752CE9"/>
    <w:rsid w:val="00752D47"/>
    <w:rsid w:val="00752E1E"/>
    <w:rsid w:val="00752E35"/>
    <w:rsid w:val="00752EBD"/>
    <w:rsid w:val="00752ED6"/>
    <w:rsid w:val="00752EE3"/>
    <w:rsid w:val="00752F53"/>
    <w:rsid w:val="00753022"/>
    <w:rsid w:val="007530B4"/>
    <w:rsid w:val="007530ED"/>
    <w:rsid w:val="00753118"/>
    <w:rsid w:val="007531EB"/>
    <w:rsid w:val="0075329E"/>
    <w:rsid w:val="00753391"/>
    <w:rsid w:val="007533D9"/>
    <w:rsid w:val="00753403"/>
    <w:rsid w:val="00753459"/>
    <w:rsid w:val="00753476"/>
    <w:rsid w:val="00753491"/>
    <w:rsid w:val="0075355A"/>
    <w:rsid w:val="007535DB"/>
    <w:rsid w:val="007535F6"/>
    <w:rsid w:val="007536B7"/>
    <w:rsid w:val="0075371B"/>
    <w:rsid w:val="0075388A"/>
    <w:rsid w:val="007538A2"/>
    <w:rsid w:val="0075392A"/>
    <w:rsid w:val="00753A4E"/>
    <w:rsid w:val="00753A95"/>
    <w:rsid w:val="00753AB7"/>
    <w:rsid w:val="00753AF3"/>
    <w:rsid w:val="00753B2A"/>
    <w:rsid w:val="00753B69"/>
    <w:rsid w:val="00753BC1"/>
    <w:rsid w:val="00753BC3"/>
    <w:rsid w:val="00753CD9"/>
    <w:rsid w:val="00753D11"/>
    <w:rsid w:val="00753D27"/>
    <w:rsid w:val="00753E41"/>
    <w:rsid w:val="00753E99"/>
    <w:rsid w:val="00753EE9"/>
    <w:rsid w:val="00754031"/>
    <w:rsid w:val="00754086"/>
    <w:rsid w:val="007540AB"/>
    <w:rsid w:val="00754106"/>
    <w:rsid w:val="00754135"/>
    <w:rsid w:val="007541BF"/>
    <w:rsid w:val="007542BA"/>
    <w:rsid w:val="0075445F"/>
    <w:rsid w:val="00754513"/>
    <w:rsid w:val="00754552"/>
    <w:rsid w:val="007545B9"/>
    <w:rsid w:val="007545FB"/>
    <w:rsid w:val="00754603"/>
    <w:rsid w:val="007546C5"/>
    <w:rsid w:val="00754704"/>
    <w:rsid w:val="0075473B"/>
    <w:rsid w:val="007547E6"/>
    <w:rsid w:val="007547F9"/>
    <w:rsid w:val="00754961"/>
    <w:rsid w:val="00754A49"/>
    <w:rsid w:val="00754AC2"/>
    <w:rsid w:val="00754ADB"/>
    <w:rsid w:val="00754B4C"/>
    <w:rsid w:val="00754B82"/>
    <w:rsid w:val="00754BA4"/>
    <w:rsid w:val="00754C25"/>
    <w:rsid w:val="00754C8D"/>
    <w:rsid w:val="00754CBD"/>
    <w:rsid w:val="00754D68"/>
    <w:rsid w:val="00754E6E"/>
    <w:rsid w:val="00754EB0"/>
    <w:rsid w:val="00754EE6"/>
    <w:rsid w:val="00754F03"/>
    <w:rsid w:val="00754F5A"/>
    <w:rsid w:val="007551B6"/>
    <w:rsid w:val="007551F5"/>
    <w:rsid w:val="0075521C"/>
    <w:rsid w:val="007552AF"/>
    <w:rsid w:val="0075532E"/>
    <w:rsid w:val="0075537F"/>
    <w:rsid w:val="00755491"/>
    <w:rsid w:val="007554B7"/>
    <w:rsid w:val="00755566"/>
    <w:rsid w:val="007555B3"/>
    <w:rsid w:val="00755808"/>
    <w:rsid w:val="00755831"/>
    <w:rsid w:val="00755896"/>
    <w:rsid w:val="007558A4"/>
    <w:rsid w:val="0075593E"/>
    <w:rsid w:val="00755A0D"/>
    <w:rsid w:val="00755A12"/>
    <w:rsid w:val="00755B19"/>
    <w:rsid w:val="00755B3F"/>
    <w:rsid w:val="00755BE4"/>
    <w:rsid w:val="00755C38"/>
    <w:rsid w:val="00755D0C"/>
    <w:rsid w:val="00755D32"/>
    <w:rsid w:val="00755D44"/>
    <w:rsid w:val="00755D93"/>
    <w:rsid w:val="00755DAC"/>
    <w:rsid w:val="00755E4D"/>
    <w:rsid w:val="00755F80"/>
    <w:rsid w:val="00755FE0"/>
    <w:rsid w:val="00756029"/>
    <w:rsid w:val="0075614A"/>
    <w:rsid w:val="0075616A"/>
    <w:rsid w:val="007561AE"/>
    <w:rsid w:val="007561BE"/>
    <w:rsid w:val="00756235"/>
    <w:rsid w:val="00756280"/>
    <w:rsid w:val="007562AF"/>
    <w:rsid w:val="007562B2"/>
    <w:rsid w:val="007562B4"/>
    <w:rsid w:val="007562B7"/>
    <w:rsid w:val="0075643C"/>
    <w:rsid w:val="0075653B"/>
    <w:rsid w:val="0075672D"/>
    <w:rsid w:val="00756742"/>
    <w:rsid w:val="00756775"/>
    <w:rsid w:val="007567D7"/>
    <w:rsid w:val="007568AA"/>
    <w:rsid w:val="007568CB"/>
    <w:rsid w:val="00756900"/>
    <w:rsid w:val="00756943"/>
    <w:rsid w:val="00756948"/>
    <w:rsid w:val="007569BE"/>
    <w:rsid w:val="00756A5E"/>
    <w:rsid w:val="00756B6C"/>
    <w:rsid w:val="00756B89"/>
    <w:rsid w:val="00756BCC"/>
    <w:rsid w:val="00756C0A"/>
    <w:rsid w:val="00756C0D"/>
    <w:rsid w:val="00756C6B"/>
    <w:rsid w:val="00756CF8"/>
    <w:rsid w:val="00756DC1"/>
    <w:rsid w:val="00756E75"/>
    <w:rsid w:val="00756E96"/>
    <w:rsid w:val="00756EC6"/>
    <w:rsid w:val="00757063"/>
    <w:rsid w:val="00757098"/>
    <w:rsid w:val="00757187"/>
    <w:rsid w:val="00757290"/>
    <w:rsid w:val="007572AC"/>
    <w:rsid w:val="0075734E"/>
    <w:rsid w:val="007573C4"/>
    <w:rsid w:val="007573C5"/>
    <w:rsid w:val="00757417"/>
    <w:rsid w:val="0075748F"/>
    <w:rsid w:val="007574ED"/>
    <w:rsid w:val="007574F9"/>
    <w:rsid w:val="007576DC"/>
    <w:rsid w:val="00757711"/>
    <w:rsid w:val="00757773"/>
    <w:rsid w:val="007577BE"/>
    <w:rsid w:val="00757962"/>
    <w:rsid w:val="007579BF"/>
    <w:rsid w:val="00757A0D"/>
    <w:rsid w:val="00757AE5"/>
    <w:rsid w:val="00757B04"/>
    <w:rsid w:val="00757B97"/>
    <w:rsid w:val="00757C9C"/>
    <w:rsid w:val="00757D75"/>
    <w:rsid w:val="00757D89"/>
    <w:rsid w:val="00757DAA"/>
    <w:rsid w:val="00757E59"/>
    <w:rsid w:val="00757EA4"/>
    <w:rsid w:val="00757FD6"/>
    <w:rsid w:val="00760041"/>
    <w:rsid w:val="00760056"/>
    <w:rsid w:val="0076006A"/>
    <w:rsid w:val="007600DA"/>
    <w:rsid w:val="007601ED"/>
    <w:rsid w:val="00760280"/>
    <w:rsid w:val="007602BD"/>
    <w:rsid w:val="007602C9"/>
    <w:rsid w:val="0076033B"/>
    <w:rsid w:val="00760363"/>
    <w:rsid w:val="007603FE"/>
    <w:rsid w:val="0076052F"/>
    <w:rsid w:val="00760562"/>
    <w:rsid w:val="00760575"/>
    <w:rsid w:val="007605D2"/>
    <w:rsid w:val="007605E7"/>
    <w:rsid w:val="007605EC"/>
    <w:rsid w:val="00760692"/>
    <w:rsid w:val="00760897"/>
    <w:rsid w:val="0076091B"/>
    <w:rsid w:val="00760988"/>
    <w:rsid w:val="007609F7"/>
    <w:rsid w:val="00760AEE"/>
    <w:rsid w:val="00760BA7"/>
    <w:rsid w:val="00760DE4"/>
    <w:rsid w:val="00760E08"/>
    <w:rsid w:val="00760E23"/>
    <w:rsid w:val="00761066"/>
    <w:rsid w:val="007610AD"/>
    <w:rsid w:val="0076121B"/>
    <w:rsid w:val="00761269"/>
    <w:rsid w:val="00761296"/>
    <w:rsid w:val="00761379"/>
    <w:rsid w:val="007613F2"/>
    <w:rsid w:val="00761507"/>
    <w:rsid w:val="00761591"/>
    <w:rsid w:val="007616B3"/>
    <w:rsid w:val="00761705"/>
    <w:rsid w:val="00761779"/>
    <w:rsid w:val="007618EF"/>
    <w:rsid w:val="00761969"/>
    <w:rsid w:val="0076196E"/>
    <w:rsid w:val="007619B7"/>
    <w:rsid w:val="00761A86"/>
    <w:rsid w:val="00761BFB"/>
    <w:rsid w:val="00761C1E"/>
    <w:rsid w:val="00761C2C"/>
    <w:rsid w:val="00761CDA"/>
    <w:rsid w:val="00761DC0"/>
    <w:rsid w:val="00761E0E"/>
    <w:rsid w:val="00761E18"/>
    <w:rsid w:val="00761E3F"/>
    <w:rsid w:val="00761F36"/>
    <w:rsid w:val="00761F52"/>
    <w:rsid w:val="00761FAD"/>
    <w:rsid w:val="00761FEF"/>
    <w:rsid w:val="007620A1"/>
    <w:rsid w:val="007620E1"/>
    <w:rsid w:val="007620FA"/>
    <w:rsid w:val="00762269"/>
    <w:rsid w:val="0076232C"/>
    <w:rsid w:val="00762341"/>
    <w:rsid w:val="00762380"/>
    <w:rsid w:val="0076239C"/>
    <w:rsid w:val="00762469"/>
    <w:rsid w:val="007624E7"/>
    <w:rsid w:val="007624ED"/>
    <w:rsid w:val="00762531"/>
    <w:rsid w:val="0076262E"/>
    <w:rsid w:val="00762638"/>
    <w:rsid w:val="00762678"/>
    <w:rsid w:val="007626BE"/>
    <w:rsid w:val="007628C5"/>
    <w:rsid w:val="007628D5"/>
    <w:rsid w:val="0076297A"/>
    <w:rsid w:val="00762987"/>
    <w:rsid w:val="00762995"/>
    <w:rsid w:val="007629B0"/>
    <w:rsid w:val="00762AA3"/>
    <w:rsid w:val="00762B4D"/>
    <w:rsid w:val="00762BAD"/>
    <w:rsid w:val="00762C20"/>
    <w:rsid w:val="00762C3E"/>
    <w:rsid w:val="00762D62"/>
    <w:rsid w:val="00762D80"/>
    <w:rsid w:val="00762DB6"/>
    <w:rsid w:val="00762EA3"/>
    <w:rsid w:val="00762EF9"/>
    <w:rsid w:val="00762FF9"/>
    <w:rsid w:val="00763032"/>
    <w:rsid w:val="0076314E"/>
    <w:rsid w:val="007631DA"/>
    <w:rsid w:val="00763276"/>
    <w:rsid w:val="007632A7"/>
    <w:rsid w:val="00763349"/>
    <w:rsid w:val="00763352"/>
    <w:rsid w:val="00763399"/>
    <w:rsid w:val="007633FD"/>
    <w:rsid w:val="00763443"/>
    <w:rsid w:val="007634BA"/>
    <w:rsid w:val="00763528"/>
    <w:rsid w:val="00763556"/>
    <w:rsid w:val="00763574"/>
    <w:rsid w:val="00763589"/>
    <w:rsid w:val="007635CA"/>
    <w:rsid w:val="0076363A"/>
    <w:rsid w:val="0076367E"/>
    <w:rsid w:val="0076371F"/>
    <w:rsid w:val="00763770"/>
    <w:rsid w:val="007638CA"/>
    <w:rsid w:val="00763910"/>
    <w:rsid w:val="00763C82"/>
    <w:rsid w:val="00763CAF"/>
    <w:rsid w:val="00763D0B"/>
    <w:rsid w:val="00763D16"/>
    <w:rsid w:val="00763DC6"/>
    <w:rsid w:val="00763DC8"/>
    <w:rsid w:val="00763DF0"/>
    <w:rsid w:val="00763E66"/>
    <w:rsid w:val="00763E82"/>
    <w:rsid w:val="00763EFA"/>
    <w:rsid w:val="00763F39"/>
    <w:rsid w:val="00763F89"/>
    <w:rsid w:val="00764007"/>
    <w:rsid w:val="0076409F"/>
    <w:rsid w:val="007641C8"/>
    <w:rsid w:val="007641CB"/>
    <w:rsid w:val="007642AC"/>
    <w:rsid w:val="00764361"/>
    <w:rsid w:val="007643AA"/>
    <w:rsid w:val="007643CC"/>
    <w:rsid w:val="0076458F"/>
    <w:rsid w:val="007645C4"/>
    <w:rsid w:val="007645CA"/>
    <w:rsid w:val="007645F0"/>
    <w:rsid w:val="00764609"/>
    <w:rsid w:val="0076460C"/>
    <w:rsid w:val="0076469C"/>
    <w:rsid w:val="00764817"/>
    <w:rsid w:val="00764883"/>
    <w:rsid w:val="007648D5"/>
    <w:rsid w:val="007648F7"/>
    <w:rsid w:val="0076490E"/>
    <w:rsid w:val="00764947"/>
    <w:rsid w:val="00764B00"/>
    <w:rsid w:val="00764C04"/>
    <w:rsid w:val="00764C3B"/>
    <w:rsid w:val="00764D39"/>
    <w:rsid w:val="00764DF2"/>
    <w:rsid w:val="00764E12"/>
    <w:rsid w:val="00764E22"/>
    <w:rsid w:val="00764E43"/>
    <w:rsid w:val="00764F77"/>
    <w:rsid w:val="0076504B"/>
    <w:rsid w:val="007650AD"/>
    <w:rsid w:val="00765191"/>
    <w:rsid w:val="00765192"/>
    <w:rsid w:val="007651FD"/>
    <w:rsid w:val="00765233"/>
    <w:rsid w:val="00765248"/>
    <w:rsid w:val="00765450"/>
    <w:rsid w:val="0076545A"/>
    <w:rsid w:val="007654E8"/>
    <w:rsid w:val="007654FD"/>
    <w:rsid w:val="007655DA"/>
    <w:rsid w:val="00765650"/>
    <w:rsid w:val="00765783"/>
    <w:rsid w:val="0076579B"/>
    <w:rsid w:val="007657A1"/>
    <w:rsid w:val="007657DE"/>
    <w:rsid w:val="0076594A"/>
    <w:rsid w:val="00765B5E"/>
    <w:rsid w:val="00765BD5"/>
    <w:rsid w:val="00765CED"/>
    <w:rsid w:val="00765D72"/>
    <w:rsid w:val="00765D7C"/>
    <w:rsid w:val="00765ECF"/>
    <w:rsid w:val="00765F6A"/>
    <w:rsid w:val="00765FD6"/>
    <w:rsid w:val="0076604E"/>
    <w:rsid w:val="00766089"/>
    <w:rsid w:val="007663C1"/>
    <w:rsid w:val="0076640A"/>
    <w:rsid w:val="0076646E"/>
    <w:rsid w:val="007664EA"/>
    <w:rsid w:val="007665CA"/>
    <w:rsid w:val="0076663D"/>
    <w:rsid w:val="007667CD"/>
    <w:rsid w:val="00766899"/>
    <w:rsid w:val="007668BE"/>
    <w:rsid w:val="007668EA"/>
    <w:rsid w:val="00766AA8"/>
    <w:rsid w:val="00766AFD"/>
    <w:rsid w:val="00766CAC"/>
    <w:rsid w:val="00766D6C"/>
    <w:rsid w:val="00766D76"/>
    <w:rsid w:val="00766DAA"/>
    <w:rsid w:val="00766E3F"/>
    <w:rsid w:val="00766F68"/>
    <w:rsid w:val="00766F77"/>
    <w:rsid w:val="00766FC5"/>
    <w:rsid w:val="00767035"/>
    <w:rsid w:val="00767093"/>
    <w:rsid w:val="007670E6"/>
    <w:rsid w:val="00767136"/>
    <w:rsid w:val="0076720F"/>
    <w:rsid w:val="0076721E"/>
    <w:rsid w:val="00767295"/>
    <w:rsid w:val="00767339"/>
    <w:rsid w:val="0076736F"/>
    <w:rsid w:val="00767408"/>
    <w:rsid w:val="0076746F"/>
    <w:rsid w:val="007674D4"/>
    <w:rsid w:val="00767535"/>
    <w:rsid w:val="00767597"/>
    <w:rsid w:val="007675C7"/>
    <w:rsid w:val="007675FF"/>
    <w:rsid w:val="007676D8"/>
    <w:rsid w:val="007678F8"/>
    <w:rsid w:val="0076798C"/>
    <w:rsid w:val="00767AB3"/>
    <w:rsid w:val="00767AC5"/>
    <w:rsid w:val="00767B71"/>
    <w:rsid w:val="00767C4F"/>
    <w:rsid w:val="00767C68"/>
    <w:rsid w:val="00767CE1"/>
    <w:rsid w:val="00767D77"/>
    <w:rsid w:val="00767F19"/>
    <w:rsid w:val="00767F38"/>
    <w:rsid w:val="00767F8F"/>
    <w:rsid w:val="00767F9E"/>
    <w:rsid w:val="00767FB5"/>
    <w:rsid w:val="00770032"/>
    <w:rsid w:val="0077008C"/>
    <w:rsid w:val="0077017E"/>
    <w:rsid w:val="007701BE"/>
    <w:rsid w:val="00770212"/>
    <w:rsid w:val="0077025D"/>
    <w:rsid w:val="0077030B"/>
    <w:rsid w:val="00770327"/>
    <w:rsid w:val="00770528"/>
    <w:rsid w:val="007705EE"/>
    <w:rsid w:val="007706FD"/>
    <w:rsid w:val="0077074F"/>
    <w:rsid w:val="007707D3"/>
    <w:rsid w:val="00770865"/>
    <w:rsid w:val="0077091D"/>
    <w:rsid w:val="0077098D"/>
    <w:rsid w:val="007709AA"/>
    <w:rsid w:val="00770A70"/>
    <w:rsid w:val="00770A71"/>
    <w:rsid w:val="00770AA1"/>
    <w:rsid w:val="00770AEC"/>
    <w:rsid w:val="00770AFA"/>
    <w:rsid w:val="00770B43"/>
    <w:rsid w:val="00770C78"/>
    <w:rsid w:val="00770C9C"/>
    <w:rsid w:val="00770CE4"/>
    <w:rsid w:val="00770D6D"/>
    <w:rsid w:val="00770DFC"/>
    <w:rsid w:val="00770E1D"/>
    <w:rsid w:val="00770E5B"/>
    <w:rsid w:val="00770F4D"/>
    <w:rsid w:val="00770FF2"/>
    <w:rsid w:val="00770FF3"/>
    <w:rsid w:val="00771097"/>
    <w:rsid w:val="007710E8"/>
    <w:rsid w:val="007710F8"/>
    <w:rsid w:val="00771180"/>
    <w:rsid w:val="007711B6"/>
    <w:rsid w:val="00771267"/>
    <w:rsid w:val="007712DC"/>
    <w:rsid w:val="00771397"/>
    <w:rsid w:val="007713DB"/>
    <w:rsid w:val="00771464"/>
    <w:rsid w:val="007714F1"/>
    <w:rsid w:val="0077152A"/>
    <w:rsid w:val="00771549"/>
    <w:rsid w:val="00771643"/>
    <w:rsid w:val="00771655"/>
    <w:rsid w:val="007716A0"/>
    <w:rsid w:val="007716CB"/>
    <w:rsid w:val="007717E3"/>
    <w:rsid w:val="00771823"/>
    <w:rsid w:val="0077188C"/>
    <w:rsid w:val="007718D1"/>
    <w:rsid w:val="007718EC"/>
    <w:rsid w:val="00771937"/>
    <w:rsid w:val="0077196A"/>
    <w:rsid w:val="00771A74"/>
    <w:rsid w:val="00771AC1"/>
    <w:rsid w:val="00771AC4"/>
    <w:rsid w:val="00771BFB"/>
    <w:rsid w:val="00771C88"/>
    <w:rsid w:val="00771D2D"/>
    <w:rsid w:val="00771D9C"/>
    <w:rsid w:val="00771E48"/>
    <w:rsid w:val="00771F1D"/>
    <w:rsid w:val="00771F78"/>
    <w:rsid w:val="00771FE2"/>
    <w:rsid w:val="0077200C"/>
    <w:rsid w:val="00772042"/>
    <w:rsid w:val="007720B8"/>
    <w:rsid w:val="007722B7"/>
    <w:rsid w:val="007722FA"/>
    <w:rsid w:val="0077236A"/>
    <w:rsid w:val="00772388"/>
    <w:rsid w:val="00772440"/>
    <w:rsid w:val="00772547"/>
    <w:rsid w:val="00772548"/>
    <w:rsid w:val="007725CA"/>
    <w:rsid w:val="0077270B"/>
    <w:rsid w:val="00772751"/>
    <w:rsid w:val="00772756"/>
    <w:rsid w:val="007727F0"/>
    <w:rsid w:val="007727F5"/>
    <w:rsid w:val="007729FA"/>
    <w:rsid w:val="00772ABC"/>
    <w:rsid w:val="00772B35"/>
    <w:rsid w:val="00772B63"/>
    <w:rsid w:val="00772BCA"/>
    <w:rsid w:val="00772BFF"/>
    <w:rsid w:val="00772C3E"/>
    <w:rsid w:val="00772C54"/>
    <w:rsid w:val="00772C94"/>
    <w:rsid w:val="00772CE0"/>
    <w:rsid w:val="00772E17"/>
    <w:rsid w:val="00772EB2"/>
    <w:rsid w:val="00772EB4"/>
    <w:rsid w:val="00772F61"/>
    <w:rsid w:val="00772F99"/>
    <w:rsid w:val="00772FC1"/>
    <w:rsid w:val="00772FC7"/>
    <w:rsid w:val="00773026"/>
    <w:rsid w:val="00773119"/>
    <w:rsid w:val="0077317F"/>
    <w:rsid w:val="007731AD"/>
    <w:rsid w:val="00773424"/>
    <w:rsid w:val="007734B8"/>
    <w:rsid w:val="007735AF"/>
    <w:rsid w:val="0077367A"/>
    <w:rsid w:val="007736B1"/>
    <w:rsid w:val="0077378A"/>
    <w:rsid w:val="007738C0"/>
    <w:rsid w:val="007738CE"/>
    <w:rsid w:val="00773956"/>
    <w:rsid w:val="007739B3"/>
    <w:rsid w:val="00773A32"/>
    <w:rsid w:val="00773B3D"/>
    <w:rsid w:val="00773C64"/>
    <w:rsid w:val="00773CAF"/>
    <w:rsid w:val="00773CC1"/>
    <w:rsid w:val="00773D30"/>
    <w:rsid w:val="00773D82"/>
    <w:rsid w:val="00773D94"/>
    <w:rsid w:val="00773DF9"/>
    <w:rsid w:val="00773E65"/>
    <w:rsid w:val="00773E9B"/>
    <w:rsid w:val="00773E9F"/>
    <w:rsid w:val="0077404B"/>
    <w:rsid w:val="0077405C"/>
    <w:rsid w:val="0077408F"/>
    <w:rsid w:val="007740B1"/>
    <w:rsid w:val="007741E9"/>
    <w:rsid w:val="00774235"/>
    <w:rsid w:val="007742B3"/>
    <w:rsid w:val="007742BA"/>
    <w:rsid w:val="00774303"/>
    <w:rsid w:val="0077430C"/>
    <w:rsid w:val="00774339"/>
    <w:rsid w:val="0077447D"/>
    <w:rsid w:val="0077448B"/>
    <w:rsid w:val="007744ED"/>
    <w:rsid w:val="00774547"/>
    <w:rsid w:val="00774616"/>
    <w:rsid w:val="00774692"/>
    <w:rsid w:val="007749F2"/>
    <w:rsid w:val="00774A1D"/>
    <w:rsid w:val="00774A4C"/>
    <w:rsid w:val="00774A4E"/>
    <w:rsid w:val="00774A85"/>
    <w:rsid w:val="00774B67"/>
    <w:rsid w:val="00774C4F"/>
    <w:rsid w:val="00774C7C"/>
    <w:rsid w:val="00774CFF"/>
    <w:rsid w:val="00774E0A"/>
    <w:rsid w:val="00774E19"/>
    <w:rsid w:val="00774E34"/>
    <w:rsid w:val="00774EDE"/>
    <w:rsid w:val="00774F5C"/>
    <w:rsid w:val="00774F9B"/>
    <w:rsid w:val="00774FCA"/>
    <w:rsid w:val="007750C1"/>
    <w:rsid w:val="00775109"/>
    <w:rsid w:val="00775149"/>
    <w:rsid w:val="007752C1"/>
    <w:rsid w:val="007752CD"/>
    <w:rsid w:val="00775331"/>
    <w:rsid w:val="00775489"/>
    <w:rsid w:val="007754B6"/>
    <w:rsid w:val="00775578"/>
    <w:rsid w:val="007756C1"/>
    <w:rsid w:val="00775785"/>
    <w:rsid w:val="00775B32"/>
    <w:rsid w:val="00775B38"/>
    <w:rsid w:val="00775BBA"/>
    <w:rsid w:val="00775CAC"/>
    <w:rsid w:val="00775D92"/>
    <w:rsid w:val="00775E2E"/>
    <w:rsid w:val="00775E43"/>
    <w:rsid w:val="00775E44"/>
    <w:rsid w:val="00775FF1"/>
    <w:rsid w:val="00776014"/>
    <w:rsid w:val="00776108"/>
    <w:rsid w:val="00776111"/>
    <w:rsid w:val="007761B4"/>
    <w:rsid w:val="007761C9"/>
    <w:rsid w:val="00776207"/>
    <w:rsid w:val="0077623A"/>
    <w:rsid w:val="0077625E"/>
    <w:rsid w:val="007762B2"/>
    <w:rsid w:val="007763C8"/>
    <w:rsid w:val="007763E2"/>
    <w:rsid w:val="00776411"/>
    <w:rsid w:val="007764C0"/>
    <w:rsid w:val="00776502"/>
    <w:rsid w:val="00776555"/>
    <w:rsid w:val="0077659E"/>
    <w:rsid w:val="007765B6"/>
    <w:rsid w:val="007765DE"/>
    <w:rsid w:val="00776600"/>
    <w:rsid w:val="0077664D"/>
    <w:rsid w:val="007766EB"/>
    <w:rsid w:val="00776718"/>
    <w:rsid w:val="00776864"/>
    <w:rsid w:val="00776920"/>
    <w:rsid w:val="007769DD"/>
    <w:rsid w:val="00776A55"/>
    <w:rsid w:val="00776A64"/>
    <w:rsid w:val="00776A65"/>
    <w:rsid w:val="00776AB2"/>
    <w:rsid w:val="00776B06"/>
    <w:rsid w:val="00776B2E"/>
    <w:rsid w:val="00776B54"/>
    <w:rsid w:val="00776B55"/>
    <w:rsid w:val="00776BAD"/>
    <w:rsid w:val="00776BFB"/>
    <w:rsid w:val="00776C44"/>
    <w:rsid w:val="00776D23"/>
    <w:rsid w:val="00776D28"/>
    <w:rsid w:val="00776D78"/>
    <w:rsid w:val="00776DD5"/>
    <w:rsid w:val="00776DFF"/>
    <w:rsid w:val="00776F1E"/>
    <w:rsid w:val="00776F3A"/>
    <w:rsid w:val="00776F4E"/>
    <w:rsid w:val="007770CE"/>
    <w:rsid w:val="0077714E"/>
    <w:rsid w:val="0077722F"/>
    <w:rsid w:val="007772BD"/>
    <w:rsid w:val="0077734E"/>
    <w:rsid w:val="00777350"/>
    <w:rsid w:val="007773C1"/>
    <w:rsid w:val="00777518"/>
    <w:rsid w:val="0077756E"/>
    <w:rsid w:val="007775AA"/>
    <w:rsid w:val="00777681"/>
    <w:rsid w:val="0077769F"/>
    <w:rsid w:val="00777756"/>
    <w:rsid w:val="00777776"/>
    <w:rsid w:val="00777787"/>
    <w:rsid w:val="007777B1"/>
    <w:rsid w:val="0077782C"/>
    <w:rsid w:val="00777843"/>
    <w:rsid w:val="00777886"/>
    <w:rsid w:val="0077789B"/>
    <w:rsid w:val="00777956"/>
    <w:rsid w:val="00777977"/>
    <w:rsid w:val="00777999"/>
    <w:rsid w:val="00777AC8"/>
    <w:rsid w:val="00777BBC"/>
    <w:rsid w:val="00777C4F"/>
    <w:rsid w:val="00777CF6"/>
    <w:rsid w:val="00777D1B"/>
    <w:rsid w:val="00777D4F"/>
    <w:rsid w:val="00777D5D"/>
    <w:rsid w:val="00777D80"/>
    <w:rsid w:val="00777D91"/>
    <w:rsid w:val="00777E92"/>
    <w:rsid w:val="00777E9D"/>
    <w:rsid w:val="00777EBA"/>
    <w:rsid w:val="00777F15"/>
    <w:rsid w:val="00777FBC"/>
    <w:rsid w:val="00777FC2"/>
    <w:rsid w:val="0078002E"/>
    <w:rsid w:val="0078003A"/>
    <w:rsid w:val="00780069"/>
    <w:rsid w:val="007801B3"/>
    <w:rsid w:val="007801E6"/>
    <w:rsid w:val="00780253"/>
    <w:rsid w:val="00780288"/>
    <w:rsid w:val="007802DF"/>
    <w:rsid w:val="007802FA"/>
    <w:rsid w:val="0078034C"/>
    <w:rsid w:val="00780399"/>
    <w:rsid w:val="00780430"/>
    <w:rsid w:val="0078045F"/>
    <w:rsid w:val="00780493"/>
    <w:rsid w:val="0078054C"/>
    <w:rsid w:val="00780588"/>
    <w:rsid w:val="007805C1"/>
    <w:rsid w:val="007805FF"/>
    <w:rsid w:val="007808EB"/>
    <w:rsid w:val="0078097D"/>
    <w:rsid w:val="00780A57"/>
    <w:rsid w:val="00780AC4"/>
    <w:rsid w:val="00780AC5"/>
    <w:rsid w:val="00780D67"/>
    <w:rsid w:val="00780E28"/>
    <w:rsid w:val="00780EFA"/>
    <w:rsid w:val="00780F2B"/>
    <w:rsid w:val="0078110A"/>
    <w:rsid w:val="00781164"/>
    <w:rsid w:val="007812DC"/>
    <w:rsid w:val="0078134D"/>
    <w:rsid w:val="0078153A"/>
    <w:rsid w:val="007815B1"/>
    <w:rsid w:val="00781628"/>
    <w:rsid w:val="007816BB"/>
    <w:rsid w:val="0078172B"/>
    <w:rsid w:val="007817AB"/>
    <w:rsid w:val="0078184A"/>
    <w:rsid w:val="0078184D"/>
    <w:rsid w:val="0078186D"/>
    <w:rsid w:val="0078187F"/>
    <w:rsid w:val="00781898"/>
    <w:rsid w:val="00781991"/>
    <w:rsid w:val="007819BF"/>
    <w:rsid w:val="00781A3E"/>
    <w:rsid w:val="00781ABA"/>
    <w:rsid w:val="00781BF0"/>
    <w:rsid w:val="00781BF2"/>
    <w:rsid w:val="00781C17"/>
    <w:rsid w:val="00781C21"/>
    <w:rsid w:val="00781C8C"/>
    <w:rsid w:val="00781CE6"/>
    <w:rsid w:val="00781D07"/>
    <w:rsid w:val="00781D0E"/>
    <w:rsid w:val="00781DB1"/>
    <w:rsid w:val="00781E4F"/>
    <w:rsid w:val="00781E60"/>
    <w:rsid w:val="00781E78"/>
    <w:rsid w:val="00781EF1"/>
    <w:rsid w:val="00781F08"/>
    <w:rsid w:val="00781FF0"/>
    <w:rsid w:val="00782052"/>
    <w:rsid w:val="007820FA"/>
    <w:rsid w:val="0078212F"/>
    <w:rsid w:val="0078217A"/>
    <w:rsid w:val="0078233D"/>
    <w:rsid w:val="007823F3"/>
    <w:rsid w:val="00782426"/>
    <w:rsid w:val="00782495"/>
    <w:rsid w:val="0078252D"/>
    <w:rsid w:val="00782616"/>
    <w:rsid w:val="007826DE"/>
    <w:rsid w:val="0078276B"/>
    <w:rsid w:val="00782810"/>
    <w:rsid w:val="0078290B"/>
    <w:rsid w:val="00782946"/>
    <w:rsid w:val="0078296D"/>
    <w:rsid w:val="007829C8"/>
    <w:rsid w:val="007829FF"/>
    <w:rsid w:val="00782B3F"/>
    <w:rsid w:val="00782BD0"/>
    <w:rsid w:val="00782CA2"/>
    <w:rsid w:val="00782D43"/>
    <w:rsid w:val="00782D4A"/>
    <w:rsid w:val="00782E19"/>
    <w:rsid w:val="00782E9F"/>
    <w:rsid w:val="00782ECA"/>
    <w:rsid w:val="00782EE3"/>
    <w:rsid w:val="00782FCB"/>
    <w:rsid w:val="00782FE6"/>
    <w:rsid w:val="00782FF5"/>
    <w:rsid w:val="00782FF7"/>
    <w:rsid w:val="0078309D"/>
    <w:rsid w:val="007830AF"/>
    <w:rsid w:val="00783125"/>
    <w:rsid w:val="00783145"/>
    <w:rsid w:val="007831BF"/>
    <w:rsid w:val="0078329D"/>
    <w:rsid w:val="007832F0"/>
    <w:rsid w:val="0078332E"/>
    <w:rsid w:val="007833B5"/>
    <w:rsid w:val="007833C6"/>
    <w:rsid w:val="0078341A"/>
    <w:rsid w:val="007834D1"/>
    <w:rsid w:val="007834D6"/>
    <w:rsid w:val="0078357A"/>
    <w:rsid w:val="007835F1"/>
    <w:rsid w:val="00783762"/>
    <w:rsid w:val="0078379D"/>
    <w:rsid w:val="007837D5"/>
    <w:rsid w:val="0078383D"/>
    <w:rsid w:val="00783910"/>
    <w:rsid w:val="007839F2"/>
    <w:rsid w:val="00783BA1"/>
    <w:rsid w:val="00783C04"/>
    <w:rsid w:val="00783C54"/>
    <w:rsid w:val="00783CD5"/>
    <w:rsid w:val="00783CDD"/>
    <w:rsid w:val="00783E95"/>
    <w:rsid w:val="00783EA7"/>
    <w:rsid w:val="00783EB3"/>
    <w:rsid w:val="00783EEF"/>
    <w:rsid w:val="00783EF3"/>
    <w:rsid w:val="00783EFE"/>
    <w:rsid w:val="00783F57"/>
    <w:rsid w:val="00783F64"/>
    <w:rsid w:val="00783F70"/>
    <w:rsid w:val="00783F8F"/>
    <w:rsid w:val="00783FE7"/>
    <w:rsid w:val="00784026"/>
    <w:rsid w:val="007840E2"/>
    <w:rsid w:val="00784174"/>
    <w:rsid w:val="007841B1"/>
    <w:rsid w:val="007841DE"/>
    <w:rsid w:val="00784207"/>
    <w:rsid w:val="00784223"/>
    <w:rsid w:val="0078423F"/>
    <w:rsid w:val="00784264"/>
    <w:rsid w:val="00784296"/>
    <w:rsid w:val="0078432E"/>
    <w:rsid w:val="007843EF"/>
    <w:rsid w:val="0078445C"/>
    <w:rsid w:val="0078469F"/>
    <w:rsid w:val="0078471E"/>
    <w:rsid w:val="00784729"/>
    <w:rsid w:val="00784758"/>
    <w:rsid w:val="00784773"/>
    <w:rsid w:val="0078477B"/>
    <w:rsid w:val="007847A2"/>
    <w:rsid w:val="007847B0"/>
    <w:rsid w:val="0078482A"/>
    <w:rsid w:val="00784922"/>
    <w:rsid w:val="0078492C"/>
    <w:rsid w:val="0078497D"/>
    <w:rsid w:val="00784A27"/>
    <w:rsid w:val="00784A54"/>
    <w:rsid w:val="00784AC6"/>
    <w:rsid w:val="00784AEC"/>
    <w:rsid w:val="00784C06"/>
    <w:rsid w:val="00784CAE"/>
    <w:rsid w:val="00784D3E"/>
    <w:rsid w:val="00784D4C"/>
    <w:rsid w:val="00784E51"/>
    <w:rsid w:val="00784E6D"/>
    <w:rsid w:val="00784E79"/>
    <w:rsid w:val="00784EE2"/>
    <w:rsid w:val="00784F01"/>
    <w:rsid w:val="00784F53"/>
    <w:rsid w:val="00784F60"/>
    <w:rsid w:val="00784F75"/>
    <w:rsid w:val="00784FF2"/>
    <w:rsid w:val="0078506E"/>
    <w:rsid w:val="007850FC"/>
    <w:rsid w:val="0078516E"/>
    <w:rsid w:val="00785179"/>
    <w:rsid w:val="007851CF"/>
    <w:rsid w:val="00785300"/>
    <w:rsid w:val="0078536B"/>
    <w:rsid w:val="007853B8"/>
    <w:rsid w:val="00785441"/>
    <w:rsid w:val="00785468"/>
    <w:rsid w:val="007854A0"/>
    <w:rsid w:val="007854C8"/>
    <w:rsid w:val="00785517"/>
    <w:rsid w:val="00785523"/>
    <w:rsid w:val="00785548"/>
    <w:rsid w:val="00785648"/>
    <w:rsid w:val="007856A9"/>
    <w:rsid w:val="007857D5"/>
    <w:rsid w:val="00785825"/>
    <w:rsid w:val="0078585E"/>
    <w:rsid w:val="00785A1F"/>
    <w:rsid w:val="00785A99"/>
    <w:rsid w:val="00785AC3"/>
    <w:rsid w:val="00785ADD"/>
    <w:rsid w:val="00785BCF"/>
    <w:rsid w:val="00785BED"/>
    <w:rsid w:val="00785C6D"/>
    <w:rsid w:val="00785DA8"/>
    <w:rsid w:val="00785F53"/>
    <w:rsid w:val="00785F94"/>
    <w:rsid w:val="00785FCC"/>
    <w:rsid w:val="0078606C"/>
    <w:rsid w:val="007860E5"/>
    <w:rsid w:val="00786107"/>
    <w:rsid w:val="0078618E"/>
    <w:rsid w:val="0078639F"/>
    <w:rsid w:val="007863B7"/>
    <w:rsid w:val="00786469"/>
    <w:rsid w:val="007865B2"/>
    <w:rsid w:val="00786611"/>
    <w:rsid w:val="0078662A"/>
    <w:rsid w:val="0078673A"/>
    <w:rsid w:val="00786769"/>
    <w:rsid w:val="00786944"/>
    <w:rsid w:val="00786962"/>
    <w:rsid w:val="00786D36"/>
    <w:rsid w:val="00786D9B"/>
    <w:rsid w:val="00786DC4"/>
    <w:rsid w:val="00786DC7"/>
    <w:rsid w:val="00786EEF"/>
    <w:rsid w:val="00786F4D"/>
    <w:rsid w:val="00786FF9"/>
    <w:rsid w:val="0078724B"/>
    <w:rsid w:val="00787378"/>
    <w:rsid w:val="007873A5"/>
    <w:rsid w:val="007873EC"/>
    <w:rsid w:val="007874DD"/>
    <w:rsid w:val="00787566"/>
    <w:rsid w:val="007876D3"/>
    <w:rsid w:val="007876DE"/>
    <w:rsid w:val="0078773F"/>
    <w:rsid w:val="00787769"/>
    <w:rsid w:val="0078786D"/>
    <w:rsid w:val="007878AE"/>
    <w:rsid w:val="00787AAD"/>
    <w:rsid w:val="00787AE4"/>
    <w:rsid w:val="00787BB7"/>
    <w:rsid w:val="00787BFF"/>
    <w:rsid w:val="00787C11"/>
    <w:rsid w:val="00787D29"/>
    <w:rsid w:val="00787D49"/>
    <w:rsid w:val="00787DB8"/>
    <w:rsid w:val="00787E09"/>
    <w:rsid w:val="00787E5E"/>
    <w:rsid w:val="00790007"/>
    <w:rsid w:val="0079010A"/>
    <w:rsid w:val="00790285"/>
    <w:rsid w:val="00790344"/>
    <w:rsid w:val="0079037B"/>
    <w:rsid w:val="00790417"/>
    <w:rsid w:val="00790583"/>
    <w:rsid w:val="007906BB"/>
    <w:rsid w:val="007906D1"/>
    <w:rsid w:val="007907B9"/>
    <w:rsid w:val="00790899"/>
    <w:rsid w:val="00790A38"/>
    <w:rsid w:val="00790A56"/>
    <w:rsid w:val="00790C44"/>
    <w:rsid w:val="00790CC9"/>
    <w:rsid w:val="00790DCF"/>
    <w:rsid w:val="00790E08"/>
    <w:rsid w:val="00790E14"/>
    <w:rsid w:val="00790E6E"/>
    <w:rsid w:val="00791090"/>
    <w:rsid w:val="007910CA"/>
    <w:rsid w:val="007911D6"/>
    <w:rsid w:val="00791299"/>
    <w:rsid w:val="007912C2"/>
    <w:rsid w:val="007913C4"/>
    <w:rsid w:val="007913DF"/>
    <w:rsid w:val="007913FA"/>
    <w:rsid w:val="00791421"/>
    <w:rsid w:val="00791446"/>
    <w:rsid w:val="00791459"/>
    <w:rsid w:val="007914E2"/>
    <w:rsid w:val="007917C1"/>
    <w:rsid w:val="00791962"/>
    <w:rsid w:val="00791AE6"/>
    <w:rsid w:val="00791B70"/>
    <w:rsid w:val="00791BFF"/>
    <w:rsid w:val="00791C0F"/>
    <w:rsid w:val="00791CDF"/>
    <w:rsid w:val="00791D04"/>
    <w:rsid w:val="00791DE7"/>
    <w:rsid w:val="00791E46"/>
    <w:rsid w:val="00791EB7"/>
    <w:rsid w:val="00791F47"/>
    <w:rsid w:val="00791FC8"/>
    <w:rsid w:val="00791FF2"/>
    <w:rsid w:val="0079201E"/>
    <w:rsid w:val="0079203B"/>
    <w:rsid w:val="00792067"/>
    <w:rsid w:val="0079208D"/>
    <w:rsid w:val="007920E5"/>
    <w:rsid w:val="007920F3"/>
    <w:rsid w:val="00792107"/>
    <w:rsid w:val="00792128"/>
    <w:rsid w:val="00792174"/>
    <w:rsid w:val="00792207"/>
    <w:rsid w:val="00792214"/>
    <w:rsid w:val="007922AC"/>
    <w:rsid w:val="00792352"/>
    <w:rsid w:val="0079236C"/>
    <w:rsid w:val="00792435"/>
    <w:rsid w:val="00792445"/>
    <w:rsid w:val="0079249C"/>
    <w:rsid w:val="007924CA"/>
    <w:rsid w:val="0079253E"/>
    <w:rsid w:val="0079255A"/>
    <w:rsid w:val="007925CA"/>
    <w:rsid w:val="0079281F"/>
    <w:rsid w:val="007929AD"/>
    <w:rsid w:val="00792A6F"/>
    <w:rsid w:val="00792AAF"/>
    <w:rsid w:val="00792B75"/>
    <w:rsid w:val="00792BF0"/>
    <w:rsid w:val="00792C41"/>
    <w:rsid w:val="00792C8C"/>
    <w:rsid w:val="00792CEA"/>
    <w:rsid w:val="00792D3B"/>
    <w:rsid w:val="00792E4B"/>
    <w:rsid w:val="00792EFF"/>
    <w:rsid w:val="00793141"/>
    <w:rsid w:val="00793215"/>
    <w:rsid w:val="0079328C"/>
    <w:rsid w:val="00793297"/>
    <w:rsid w:val="00793388"/>
    <w:rsid w:val="0079338E"/>
    <w:rsid w:val="00793451"/>
    <w:rsid w:val="0079347C"/>
    <w:rsid w:val="007934A0"/>
    <w:rsid w:val="00793513"/>
    <w:rsid w:val="0079353F"/>
    <w:rsid w:val="00793713"/>
    <w:rsid w:val="0079374B"/>
    <w:rsid w:val="00793862"/>
    <w:rsid w:val="007938B1"/>
    <w:rsid w:val="00793929"/>
    <w:rsid w:val="00793A0F"/>
    <w:rsid w:val="00793A49"/>
    <w:rsid w:val="00793AE1"/>
    <w:rsid w:val="00793B11"/>
    <w:rsid w:val="00793CA5"/>
    <w:rsid w:val="00793D07"/>
    <w:rsid w:val="00793D95"/>
    <w:rsid w:val="00793DB6"/>
    <w:rsid w:val="00793E8D"/>
    <w:rsid w:val="00793E8F"/>
    <w:rsid w:val="00793E98"/>
    <w:rsid w:val="00793F01"/>
    <w:rsid w:val="00793F12"/>
    <w:rsid w:val="00793F3C"/>
    <w:rsid w:val="00793F56"/>
    <w:rsid w:val="0079408F"/>
    <w:rsid w:val="007940B1"/>
    <w:rsid w:val="0079416F"/>
    <w:rsid w:val="00794376"/>
    <w:rsid w:val="00794589"/>
    <w:rsid w:val="007945F5"/>
    <w:rsid w:val="00794634"/>
    <w:rsid w:val="00794646"/>
    <w:rsid w:val="00794732"/>
    <w:rsid w:val="00794746"/>
    <w:rsid w:val="007947D8"/>
    <w:rsid w:val="00794801"/>
    <w:rsid w:val="00794831"/>
    <w:rsid w:val="007948F4"/>
    <w:rsid w:val="00794920"/>
    <w:rsid w:val="00794A4E"/>
    <w:rsid w:val="00794A7B"/>
    <w:rsid w:val="00794B01"/>
    <w:rsid w:val="00794B3C"/>
    <w:rsid w:val="00794D65"/>
    <w:rsid w:val="00794ED9"/>
    <w:rsid w:val="00795078"/>
    <w:rsid w:val="007950F5"/>
    <w:rsid w:val="00795143"/>
    <w:rsid w:val="00795358"/>
    <w:rsid w:val="00795437"/>
    <w:rsid w:val="00795496"/>
    <w:rsid w:val="007954CD"/>
    <w:rsid w:val="007954CE"/>
    <w:rsid w:val="00795550"/>
    <w:rsid w:val="00795574"/>
    <w:rsid w:val="007955F9"/>
    <w:rsid w:val="00795694"/>
    <w:rsid w:val="00795789"/>
    <w:rsid w:val="007957DA"/>
    <w:rsid w:val="00795814"/>
    <w:rsid w:val="00795862"/>
    <w:rsid w:val="0079598F"/>
    <w:rsid w:val="007959FF"/>
    <w:rsid w:val="00795A1E"/>
    <w:rsid w:val="00795AC2"/>
    <w:rsid w:val="00795C10"/>
    <w:rsid w:val="00795D51"/>
    <w:rsid w:val="00796014"/>
    <w:rsid w:val="00796057"/>
    <w:rsid w:val="00796191"/>
    <w:rsid w:val="007961ED"/>
    <w:rsid w:val="00796238"/>
    <w:rsid w:val="0079625A"/>
    <w:rsid w:val="0079625B"/>
    <w:rsid w:val="00796311"/>
    <w:rsid w:val="00796313"/>
    <w:rsid w:val="00796376"/>
    <w:rsid w:val="00796401"/>
    <w:rsid w:val="0079661E"/>
    <w:rsid w:val="00796778"/>
    <w:rsid w:val="007967AD"/>
    <w:rsid w:val="007967E5"/>
    <w:rsid w:val="0079682D"/>
    <w:rsid w:val="00796930"/>
    <w:rsid w:val="00796996"/>
    <w:rsid w:val="00796997"/>
    <w:rsid w:val="007969CE"/>
    <w:rsid w:val="00796A20"/>
    <w:rsid w:val="00796A39"/>
    <w:rsid w:val="00796A4D"/>
    <w:rsid w:val="00796AA7"/>
    <w:rsid w:val="00796AE1"/>
    <w:rsid w:val="00796AF3"/>
    <w:rsid w:val="00796B19"/>
    <w:rsid w:val="00796B83"/>
    <w:rsid w:val="00796BD9"/>
    <w:rsid w:val="00796BEB"/>
    <w:rsid w:val="00796E3C"/>
    <w:rsid w:val="00796EF0"/>
    <w:rsid w:val="00796EFE"/>
    <w:rsid w:val="00796F3F"/>
    <w:rsid w:val="00796F73"/>
    <w:rsid w:val="00797012"/>
    <w:rsid w:val="00797149"/>
    <w:rsid w:val="00797189"/>
    <w:rsid w:val="00797200"/>
    <w:rsid w:val="0079724C"/>
    <w:rsid w:val="00797375"/>
    <w:rsid w:val="00797387"/>
    <w:rsid w:val="0079739D"/>
    <w:rsid w:val="0079753A"/>
    <w:rsid w:val="00797564"/>
    <w:rsid w:val="0079756D"/>
    <w:rsid w:val="00797588"/>
    <w:rsid w:val="00797595"/>
    <w:rsid w:val="007976A7"/>
    <w:rsid w:val="00797711"/>
    <w:rsid w:val="007977CD"/>
    <w:rsid w:val="0079786B"/>
    <w:rsid w:val="00797887"/>
    <w:rsid w:val="00797933"/>
    <w:rsid w:val="00797988"/>
    <w:rsid w:val="00797989"/>
    <w:rsid w:val="00797A60"/>
    <w:rsid w:val="00797B1C"/>
    <w:rsid w:val="00797B4A"/>
    <w:rsid w:val="00797BA4"/>
    <w:rsid w:val="00797BEB"/>
    <w:rsid w:val="00797C00"/>
    <w:rsid w:val="00797D82"/>
    <w:rsid w:val="00797DD0"/>
    <w:rsid w:val="00797E1F"/>
    <w:rsid w:val="00797E47"/>
    <w:rsid w:val="00797E4F"/>
    <w:rsid w:val="00797E56"/>
    <w:rsid w:val="00797F62"/>
    <w:rsid w:val="00797FAA"/>
    <w:rsid w:val="00797FCA"/>
    <w:rsid w:val="007A0145"/>
    <w:rsid w:val="007A0173"/>
    <w:rsid w:val="007A017D"/>
    <w:rsid w:val="007A01AE"/>
    <w:rsid w:val="007A01CA"/>
    <w:rsid w:val="007A0252"/>
    <w:rsid w:val="007A031B"/>
    <w:rsid w:val="007A0363"/>
    <w:rsid w:val="007A0391"/>
    <w:rsid w:val="007A039B"/>
    <w:rsid w:val="007A0607"/>
    <w:rsid w:val="007A076E"/>
    <w:rsid w:val="007A0846"/>
    <w:rsid w:val="007A0880"/>
    <w:rsid w:val="007A08E7"/>
    <w:rsid w:val="007A090F"/>
    <w:rsid w:val="007A097E"/>
    <w:rsid w:val="007A0A2A"/>
    <w:rsid w:val="007A0A54"/>
    <w:rsid w:val="007A0A87"/>
    <w:rsid w:val="007A0B4A"/>
    <w:rsid w:val="007A0FD7"/>
    <w:rsid w:val="007A1076"/>
    <w:rsid w:val="007A1114"/>
    <w:rsid w:val="007A121B"/>
    <w:rsid w:val="007A122E"/>
    <w:rsid w:val="007A1241"/>
    <w:rsid w:val="007A1277"/>
    <w:rsid w:val="007A12A1"/>
    <w:rsid w:val="007A12FE"/>
    <w:rsid w:val="007A1405"/>
    <w:rsid w:val="007A141D"/>
    <w:rsid w:val="007A1424"/>
    <w:rsid w:val="007A146F"/>
    <w:rsid w:val="007A14DD"/>
    <w:rsid w:val="007A1509"/>
    <w:rsid w:val="007A1540"/>
    <w:rsid w:val="007A1556"/>
    <w:rsid w:val="007A156E"/>
    <w:rsid w:val="007A1584"/>
    <w:rsid w:val="007A15D9"/>
    <w:rsid w:val="007A1666"/>
    <w:rsid w:val="007A1676"/>
    <w:rsid w:val="007A16CF"/>
    <w:rsid w:val="007A172A"/>
    <w:rsid w:val="007A1770"/>
    <w:rsid w:val="007A17BF"/>
    <w:rsid w:val="007A1AAA"/>
    <w:rsid w:val="007A1B76"/>
    <w:rsid w:val="007A1C6A"/>
    <w:rsid w:val="007A1D44"/>
    <w:rsid w:val="007A1D48"/>
    <w:rsid w:val="007A1E80"/>
    <w:rsid w:val="007A1EFA"/>
    <w:rsid w:val="007A1F58"/>
    <w:rsid w:val="007A1FAC"/>
    <w:rsid w:val="007A2035"/>
    <w:rsid w:val="007A2045"/>
    <w:rsid w:val="007A2121"/>
    <w:rsid w:val="007A2157"/>
    <w:rsid w:val="007A217C"/>
    <w:rsid w:val="007A222E"/>
    <w:rsid w:val="007A226F"/>
    <w:rsid w:val="007A2276"/>
    <w:rsid w:val="007A2277"/>
    <w:rsid w:val="007A24D4"/>
    <w:rsid w:val="007A2597"/>
    <w:rsid w:val="007A2671"/>
    <w:rsid w:val="007A26DE"/>
    <w:rsid w:val="007A274F"/>
    <w:rsid w:val="007A29A4"/>
    <w:rsid w:val="007A2A6D"/>
    <w:rsid w:val="007A2AEE"/>
    <w:rsid w:val="007A2B7A"/>
    <w:rsid w:val="007A2C37"/>
    <w:rsid w:val="007A2C9A"/>
    <w:rsid w:val="007A2CA1"/>
    <w:rsid w:val="007A2E3C"/>
    <w:rsid w:val="007A2F0E"/>
    <w:rsid w:val="007A2F5B"/>
    <w:rsid w:val="007A300F"/>
    <w:rsid w:val="007A30A8"/>
    <w:rsid w:val="007A3137"/>
    <w:rsid w:val="007A31E6"/>
    <w:rsid w:val="007A326A"/>
    <w:rsid w:val="007A354B"/>
    <w:rsid w:val="007A358D"/>
    <w:rsid w:val="007A379C"/>
    <w:rsid w:val="007A37A4"/>
    <w:rsid w:val="007A37CF"/>
    <w:rsid w:val="007A3977"/>
    <w:rsid w:val="007A3A1E"/>
    <w:rsid w:val="007A3AD2"/>
    <w:rsid w:val="007A3AE8"/>
    <w:rsid w:val="007A3B85"/>
    <w:rsid w:val="007A3C09"/>
    <w:rsid w:val="007A3C0F"/>
    <w:rsid w:val="007A3C26"/>
    <w:rsid w:val="007A3CF4"/>
    <w:rsid w:val="007A3DD1"/>
    <w:rsid w:val="007A3DD7"/>
    <w:rsid w:val="007A3E66"/>
    <w:rsid w:val="007A3FBD"/>
    <w:rsid w:val="007A4006"/>
    <w:rsid w:val="007A4064"/>
    <w:rsid w:val="007A40C0"/>
    <w:rsid w:val="007A4101"/>
    <w:rsid w:val="007A4108"/>
    <w:rsid w:val="007A42BC"/>
    <w:rsid w:val="007A4357"/>
    <w:rsid w:val="007A43E8"/>
    <w:rsid w:val="007A44D2"/>
    <w:rsid w:val="007A45EF"/>
    <w:rsid w:val="007A46B3"/>
    <w:rsid w:val="007A46B7"/>
    <w:rsid w:val="007A46EE"/>
    <w:rsid w:val="007A479D"/>
    <w:rsid w:val="007A47A2"/>
    <w:rsid w:val="007A48AE"/>
    <w:rsid w:val="007A48B3"/>
    <w:rsid w:val="007A48C9"/>
    <w:rsid w:val="007A490A"/>
    <w:rsid w:val="007A4934"/>
    <w:rsid w:val="007A4A05"/>
    <w:rsid w:val="007A4A75"/>
    <w:rsid w:val="007A4AD0"/>
    <w:rsid w:val="007A4B06"/>
    <w:rsid w:val="007A4C1C"/>
    <w:rsid w:val="007A4C80"/>
    <w:rsid w:val="007A4D8C"/>
    <w:rsid w:val="007A4DCF"/>
    <w:rsid w:val="007A4E25"/>
    <w:rsid w:val="007A4EB4"/>
    <w:rsid w:val="007A4ED3"/>
    <w:rsid w:val="007A501D"/>
    <w:rsid w:val="007A5080"/>
    <w:rsid w:val="007A514A"/>
    <w:rsid w:val="007A5165"/>
    <w:rsid w:val="007A5172"/>
    <w:rsid w:val="007A5264"/>
    <w:rsid w:val="007A5277"/>
    <w:rsid w:val="007A53A8"/>
    <w:rsid w:val="007A53FA"/>
    <w:rsid w:val="007A5525"/>
    <w:rsid w:val="007A55E4"/>
    <w:rsid w:val="007A5630"/>
    <w:rsid w:val="007A5736"/>
    <w:rsid w:val="007A5791"/>
    <w:rsid w:val="007A5807"/>
    <w:rsid w:val="007A5862"/>
    <w:rsid w:val="007A58B9"/>
    <w:rsid w:val="007A5AB1"/>
    <w:rsid w:val="007A5ABF"/>
    <w:rsid w:val="007A5B52"/>
    <w:rsid w:val="007A5BA6"/>
    <w:rsid w:val="007A5BB8"/>
    <w:rsid w:val="007A5C46"/>
    <w:rsid w:val="007A5CED"/>
    <w:rsid w:val="007A5DA7"/>
    <w:rsid w:val="007A5DC4"/>
    <w:rsid w:val="007A5E3A"/>
    <w:rsid w:val="007A5E6A"/>
    <w:rsid w:val="007A5ED8"/>
    <w:rsid w:val="007A5F3C"/>
    <w:rsid w:val="007A6003"/>
    <w:rsid w:val="007A6044"/>
    <w:rsid w:val="007A6104"/>
    <w:rsid w:val="007A61E7"/>
    <w:rsid w:val="007A629B"/>
    <w:rsid w:val="007A645F"/>
    <w:rsid w:val="007A6472"/>
    <w:rsid w:val="007A64A3"/>
    <w:rsid w:val="007A64AC"/>
    <w:rsid w:val="007A64C9"/>
    <w:rsid w:val="007A6500"/>
    <w:rsid w:val="007A651E"/>
    <w:rsid w:val="007A6655"/>
    <w:rsid w:val="007A667A"/>
    <w:rsid w:val="007A674B"/>
    <w:rsid w:val="007A6754"/>
    <w:rsid w:val="007A67C4"/>
    <w:rsid w:val="007A68FE"/>
    <w:rsid w:val="007A690D"/>
    <w:rsid w:val="007A69BD"/>
    <w:rsid w:val="007A6A98"/>
    <w:rsid w:val="007A6B87"/>
    <w:rsid w:val="007A6B89"/>
    <w:rsid w:val="007A6CA0"/>
    <w:rsid w:val="007A6E33"/>
    <w:rsid w:val="007A6E46"/>
    <w:rsid w:val="007A6EA7"/>
    <w:rsid w:val="007A6F2D"/>
    <w:rsid w:val="007A6F67"/>
    <w:rsid w:val="007A70D6"/>
    <w:rsid w:val="007A70F4"/>
    <w:rsid w:val="007A710F"/>
    <w:rsid w:val="007A71CD"/>
    <w:rsid w:val="007A724F"/>
    <w:rsid w:val="007A72CD"/>
    <w:rsid w:val="007A7358"/>
    <w:rsid w:val="007A7371"/>
    <w:rsid w:val="007A7379"/>
    <w:rsid w:val="007A7472"/>
    <w:rsid w:val="007A74CD"/>
    <w:rsid w:val="007A74EE"/>
    <w:rsid w:val="007A781A"/>
    <w:rsid w:val="007A78C8"/>
    <w:rsid w:val="007A797F"/>
    <w:rsid w:val="007A79E5"/>
    <w:rsid w:val="007A7A86"/>
    <w:rsid w:val="007A7B4E"/>
    <w:rsid w:val="007A7B59"/>
    <w:rsid w:val="007A7B96"/>
    <w:rsid w:val="007A7BBB"/>
    <w:rsid w:val="007A7C1C"/>
    <w:rsid w:val="007A7C1D"/>
    <w:rsid w:val="007A7C67"/>
    <w:rsid w:val="007A7C8B"/>
    <w:rsid w:val="007A7CFE"/>
    <w:rsid w:val="007A7D96"/>
    <w:rsid w:val="007A7DD1"/>
    <w:rsid w:val="007A7DDA"/>
    <w:rsid w:val="007A7DEF"/>
    <w:rsid w:val="007A7E45"/>
    <w:rsid w:val="007A7E6B"/>
    <w:rsid w:val="007A7F0D"/>
    <w:rsid w:val="007A7F28"/>
    <w:rsid w:val="007A7F8E"/>
    <w:rsid w:val="007A7FAB"/>
    <w:rsid w:val="007B0185"/>
    <w:rsid w:val="007B01D7"/>
    <w:rsid w:val="007B01F2"/>
    <w:rsid w:val="007B0213"/>
    <w:rsid w:val="007B02B1"/>
    <w:rsid w:val="007B02BD"/>
    <w:rsid w:val="007B02E8"/>
    <w:rsid w:val="007B02EE"/>
    <w:rsid w:val="007B03D4"/>
    <w:rsid w:val="007B03E7"/>
    <w:rsid w:val="007B046D"/>
    <w:rsid w:val="007B04A3"/>
    <w:rsid w:val="007B04AF"/>
    <w:rsid w:val="007B04B2"/>
    <w:rsid w:val="007B04C8"/>
    <w:rsid w:val="007B0570"/>
    <w:rsid w:val="007B0588"/>
    <w:rsid w:val="007B059B"/>
    <w:rsid w:val="007B05A7"/>
    <w:rsid w:val="007B065D"/>
    <w:rsid w:val="007B0699"/>
    <w:rsid w:val="007B06B2"/>
    <w:rsid w:val="007B0869"/>
    <w:rsid w:val="007B087D"/>
    <w:rsid w:val="007B09BD"/>
    <w:rsid w:val="007B09C2"/>
    <w:rsid w:val="007B09E7"/>
    <w:rsid w:val="007B09F3"/>
    <w:rsid w:val="007B0A06"/>
    <w:rsid w:val="007B0A6B"/>
    <w:rsid w:val="007B0ACF"/>
    <w:rsid w:val="007B0B32"/>
    <w:rsid w:val="007B0B3B"/>
    <w:rsid w:val="007B0B6F"/>
    <w:rsid w:val="007B0BC9"/>
    <w:rsid w:val="007B0C19"/>
    <w:rsid w:val="007B0C61"/>
    <w:rsid w:val="007B0CAE"/>
    <w:rsid w:val="007B0D0D"/>
    <w:rsid w:val="007B0D89"/>
    <w:rsid w:val="007B0D90"/>
    <w:rsid w:val="007B0E38"/>
    <w:rsid w:val="007B0E3E"/>
    <w:rsid w:val="007B0F5B"/>
    <w:rsid w:val="007B0FCA"/>
    <w:rsid w:val="007B0FDC"/>
    <w:rsid w:val="007B1052"/>
    <w:rsid w:val="007B107D"/>
    <w:rsid w:val="007B109E"/>
    <w:rsid w:val="007B10B6"/>
    <w:rsid w:val="007B10D3"/>
    <w:rsid w:val="007B111C"/>
    <w:rsid w:val="007B118E"/>
    <w:rsid w:val="007B12FE"/>
    <w:rsid w:val="007B136B"/>
    <w:rsid w:val="007B13B4"/>
    <w:rsid w:val="007B1406"/>
    <w:rsid w:val="007B15E0"/>
    <w:rsid w:val="007B15ED"/>
    <w:rsid w:val="007B1645"/>
    <w:rsid w:val="007B1651"/>
    <w:rsid w:val="007B1694"/>
    <w:rsid w:val="007B1886"/>
    <w:rsid w:val="007B18B0"/>
    <w:rsid w:val="007B1925"/>
    <w:rsid w:val="007B1947"/>
    <w:rsid w:val="007B1967"/>
    <w:rsid w:val="007B19A2"/>
    <w:rsid w:val="007B19DA"/>
    <w:rsid w:val="007B1A54"/>
    <w:rsid w:val="007B1A6C"/>
    <w:rsid w:val="007B1A91"/>
    <w:rsid w:val="007B1ABF"/>
    <w:rsid w:val="007B1B54"/>
    <w:rsid w:val="007B1BB8"/>
    <w:rsid w:val="007B1CB6"/>
    <w:rsid w:val="007B1CFF"/>
    <w:rsid w:val="007B1D11"/>
    <w:rsid w:val="007B1D7A"/>
    <w:rsid w:val="007B1D87"/>
    <w:rsid w:val="007B1DB8"/>
    <w:rsid w:val="007B1E25"/>
    <w:rsid w:val="007B1E8D"/>
    <w:rsid w:val="007B1F52"/>
    <w:rsid w:val="007B1F9F"/>
    <w:rsid w:val="007B1FAC"/>
    <w:rsid w:val="007B1FF8"/>
    <w:rsid w:val="007B2000"/>
    <w:rsid w:val="007B204E"/>
    <w:rsid w:val="007B2128"/>
    <w:rsid w:val="007B217D"/>
    <w:rsid w:val="007B22C2"/>
    <w:rsid w:val="007B22FB"/>
    <w:rsid w:val="007B231D"/>
    <w:rsid w:val="007B23F2"/>
    <w:rsid w:val="007B242E"/>
    <w:rsid w:val="007B2436"/>
    <w:rsid w:val="007B2452"/>
    <w:rsid w:val="007B2539"/>
    <w:rsid w:val="007B25E8"/>
    <w:rsid w:val="007B264E"/>
    <w:rsid w:val="007B265C"/>
    <w:rsid w:val="007B2723"/>
    <w:rsid w:val="007B2847"/>
    <w:rsid w:val="007B29BD"/>
    <w:rsid w:val="007B2A8B"/>
    <w:rsid w:val="007B2AD6"/>
    <w:rsid w:val="007B2BC3"/>
    <w:rsid w:val="007B2BD7"/>
    <w:rsid w:val="007B2CAA"/>
    <w:rsid w:val="007B2CBE"/>
    <w:rsid w:val="007B2CC2"/>
    <w:rsid w:val="007B2FF4"/>
    <w:rsid w:val="007B30E7"/>
    <w:rsid w:val="007B310A"/>
    <w:rsid w:val="007B3137"/>
    <w:rsid w:val="007B31D5"/>
    <w:rsid w:val="007B31EB"/>
    <w:rsid w:val="007B32F7"/>
    <w:rsid w:val="007B33B2"/>
    <w:rsid w:val="007B345D"/>
    <w:rsid w:val="007B3477"/>
    <w:rsid w:val="007B3595"/>
    <w:rsid w:val="007B3602"/>
    <w:rsid w:val="007B3668"/>
    <w:rsid w:val="007B3863"/>
    <w:rsid w:val="007B3982"/>
    <w:rsid w:val="007B39C1"/>
    <w:rsid w:val="007B3ADD"/>
    <w:rsid w:val="007B3BF8"/>
    <w:rsid w:val="007B3C40"/>
    <w:rsid w:val="007B3D3F"/>
    <w:rsid w:val="007B3DB6"/>
    <w:rsid w:val="007B3EEE"/>
    <w:rsid w:val="007B401A"/>
    <w:rsid w:val="007B4048"/>
    <w:rsid w:val="007B40A4"/>
    <w:rsid w:val="007B40CF"/>
    <w:rsid w:val="007B40FD"/>
    <w:rsid w:val="007B415E"/>
    <w:rsid w:val="007B419D"/>
    <w:rsid w:val="007B430A"/>
    <w:rsid w:val="007B432C"/>
    <w:rsid w:val="007B43C7"/>
    <w:rsid w:val="007B43C9"/>
    <w:rsid w:val="007B441C"/>
    <w:rsid w:val="007B441D"/>
    <w:rsid w:val="007B444E"/>
    <w:rsid w:val="007B4498"/>
    <w:rsid w:val="007B44CC"/>
    <w:rsid w:val="007B44FC"/>
    <w:rsid w:val="007B4522"/>
    <w:rsid w:val="007B45D8"/>
    <w:rsid w:val="007B47AB"/>
    <w:rsid w:val="007B4889"/>
    <w:rsid w:val="007B48F9"/>
    <w:rsid w:val="007B49F1"/>
    <w:rsid w:val="007B4AAB"/>
    <w:rsid w:val="007B4B4A"/>
    <w:rsid w:val="007B4B7E"/>
    <w:rsid w:val="007B4BFB"/>
    <w:rsid w:val="007B4C11"/>
    <w:rsid w:val="007B4C66"/>
    <w:rsid w:val="007B4D32"/>
    <w:rsid w:val="007B4D61"/>
    <w:rsid w:val="007B4DA4"/>
    <w:rsid w:val="007B4DCA"/>
    <w:rsid w:val="007B4EF0"/>
    <w:rsid w:val="007B4FCC"/>
    <w:rsid w:val="007B5055"/>
    <w:rsid w:val="007B5082"/>
    <w:rsid w:val="007B5087"/>
    <w:rsid w:val="007B509D"/>
    <w:rsid w:val="007B5127"/>
    <w:rsid w:val="007B51B6"/>
    <w:rsid w:val="007B5217"/>
    <w:rsid w:val="007B521E"/>
    <w:rsid w:val="007B5253"/>
    <w:rsid w:val="007B5263"/>
    <w:rsid w:val="007B52DA"/>
    <w:rsid w:val="007B531C"/>
    <w:rsid w:val="007B5498"/>
    <w:rsid w:val="007B5522"/>
    <w:rsid w:val="007B56F5"/>
    <w:rsid w:val="007B571E"/>
    <w:rsid w:val="007B5769"/>
    <w:rsid w:val="007B57E8"/>
    <w:rsid w:val="007B581E"/>
    <w:rsid w:val="007B58AF"/>
    <w:rsid w:val="007B597F"/>
    <w:rsid w:val="007B5A02"/>
    <w:rsid w:val="007B5A92"/>
    <w:rsid w:val="007B5BBD"/>
    <w:rsid w:val="007B5C80"/>
    <w:rsid w:val="007B5D86"/>
    <w:rsid w:val="007B5EBE"/>
    <w:rsid w:val="007B613A"/>
    <w:rsid w:val="007B61BB"/>
    <w:rsid w:val="007B6278"/>
    <w:rsid w:val="007B636D"/>
    <w:rsid w:val="007B6423"/>
    <w:rsid w:val="007B648F"/>
    <w:rsid w:val="007B64F6"/>
    <w:rsid w:val="007B653A"/>
    <w:rsid w:val="007B65C8"/>
    <w:rsid w:val="007B6681"/>
    <w:rsid w:val="007B66CE"/>
    <w:rsid w:val="007B66EB"/>
    <w:rsid w:val="007B687C"/>
    <w:rsid w:val="007B68FB"/>
    <w:rsid w:val="007B69B5"/>
    <w:rsid w:val="007B69D2"/>
    <w:rsid w:val="007B69FE"/>
    <w:rsid w:val="007B6A0D"/>
    <w:rsid w:val="007B6A20"/>
    <w:rsid w:val="007B6A2E"/>
    <w:rsid w:val="007B6A85"/>
    <w:rsid w:val="007B6ACF"/>
    <w:rsid w:val="007B6ADC"/>
    <w:rsid w:val="007B6AE4"/>
    <w:rsid w:val="007B6AF9"/>
    <w:rsid w:val="007B6B95"/>
    <w:rsid w:val="007B6C62"/>
    <w:rsid w:val="007B6C95"/>
    <w:rsid w:val="007B6CAB"/>
    <w:rsid w:val="007B6CB3"/>
    <w:rsid w:val="007B6CBE"/>
    <w:rsid w:val="007B6D50"/>
    <w:rsid w:val="007B6D5B"/>
    <w:rsid w:val="007B6DBC"/>
    <w:rsid w:val="007B6DF3"/>
    <w:rsid w:val="007B6E58"/>
    <w:rsid w:val="007B6EBF"/>
    <w:rsid w:val="007B6F01"/>
    <w:rsid w:val="007B6FB8"/>
    <w:rsid w:val="007B70EA"/>
    <w:rsid w:val="007B710A"/>
    <w:rsid w:val="007B7130"/>
    <w:rsid w:val="007B723C"/>
    <w:rsid w:val="007B72B4"/>
    <w:rsid w:val="007B72C5"/>
    <w:rsid w:val="007B72EA"/>
    <w:rsid w:val="007B7303"/>
    <w:rsid w:val="007B7485"/>
    <w:rsid w:val="007B74AB"/>
    <w:rsid w:val="007B75D2"/>
    <w:rsid w:val="007B762F"/>
    <w:rsid w:val="007B76D4"/>
    <w:rsid w:val="007B779A"/>
    <w:rsid w:val="007B77D9"/>
    <w:rsid w:val="007B7862"/>
    <w:rsid w:val="007B78A5"/>
    <w:rsid w:val="007B78FC"/>
    <w:rsid w:val="007B797D"/>
    <w:rsid w:val="007B7A0C"/>
    <w:rsid w:val="007B7A2C"/>
    <w:rsid w:val="007B7A2E"/>
    <w:rsid w:val="007B7A44"/>
    <w:rsid w:val="007B7A64"/>
    <w:rsid w:val="007B7A6B"/>
    <w:rsid w:val="007B7AA0"/>
    <w:rsid w:val="007B7AA8"/>
    <w:rsid w:val="007B7AB9"/>
    <w:rsid w:val="007B7B08"/>
    <w:rsid w:val="007B7B14"/>
    <w:rsid w:val="007B7B7D"/>
    <w:rsid w:val="007B7C05"/>
    <w:rsid w:val="007B7CB3"/>
    <w:rsid w:val="007B7D06"/>
    <w:rsid w:val="007B7E22"/>
    <w:rsid w:val="007B7E34"/>
    <w:rsid w:val="007B7E48"/>
    <w:rsid w:val="007B7F06"/>
    <w:rsid w:val="007B7F4B"/>
    <w:rsid w:val="007B7F81"/>
    <w:rsid w:val="007B7FD4"/>
    <w:rsid w:val="007B7FDE"/>
    <w:rsid w:val="007C0181"/>
    <w:rsid w:val="007C01AF"/>
    <w:rsid w:val="007C01C9"/>
    <w:rsid w:val="007C01F9"/>
    <w:rsid w:val="007C02AA"/>
    <w:rsid w:val="007C02E5"/>
    <w:rsid w:val="007C0433"/>
    <w:rsid w:val="007C045A"/>
    <w:rsid w:val="007C05F6"/>
    <w:rsid w:val="007C070D"/>
    <w:rsid w:val="007C0758"/>
    <w:rsid w:val="007C07C3"/>
    <w:rsid w:val="007C08E6"/>
    <w:rsid w:val="007C0A7D"/>
    <w:rsid w:val="007C0AE4"/>
    <w:rsid w:val="007C0B2F"/>
    <w:rsid w:val="007C0B44"/>
    <w:rsid w:val="007C0C88"/>
    <w:rsid w:val="007C0CE6"/>
    <w:rsid w:val="007C0DD2"/>
    <w:rsid w:val="007C0E32"/>
    <w:rsid w:val="007C1068"/>
    <w:rsid w:val="007C1226"/>
    <w:rsid w:val="007C12CD"/>
    <w:rsid w:val="007C13A1"/>
    <w:rsid w:val="007C140E"/>
    <w:rsid w:val="007C1426"/>
    <w:rsid w:val="007C1436"/>
    <w:rsid w:val="007C150E"/>
    <w:rsid w:val="007C1591"/>
    <w:rsid w:val="007C1680"/>
    <w:rsid w:val="007C173D"/>
    <w:rsid w:val="007C1758"/>
    <w:rsid w:val="007C178A"/>
    <w:rsid w:val="007C17C8"/>
    <w:rsid w:val="007C17E7"/>
    <w:rsid w:val="007C1837"/>
    <w:rsid w:val="007C187E"/>
    <w:rsid w:val="007C1884"/>
    <w:rsid w:val="007C18FB"/>
    <w:rsid w:val="007C1935"/>
    <w:rsid w:val="007C19EE"/>
    <w:rsid w:val="007C1A3E"/>
    <w:rsid w:val="007C1ABA"/>
    <w:rsid w:val="007C1AC1"/>
    <w:rsid w:val="007C1ACF"/>
    <w:rsid w:val="007C1ADA"/>
    <w:rsid w:val="007C1AEB"/>
    <w:rsid w:val="007C1B0E"/>
    <w:rsid w:val="007C1B33"/>
    <w:rsid w:val="007C1B86"/>
    <w:rsid w:val="007C1BA4"/>
    <w:rsid w:val="007C1BA8"/>
    <w:rsid w:val="007C1BF0"/>
    <w:rsid w:val="007C1D9F"/>
    <w:rsid w:val="007C1E0C"/>
    <w:rsid w:val="007C1E13"/>
    <w:rsid w:val="007C1E6E"/>
    <w:rsid w:val="007C1E9F"/>
    <w:rsid w:val="007C1EB2"/>
    <w:rsid w:val="007C2008"/>
    <w:rsid w:val="007C2013"/>
    <w:rsid w:val="007C2251"/>
    <w:rsid w:val="007C22BA"/>
    <w:rsid w:val="007C22CD"/>
    <w:rsid w:val="007C22DC"/>
    <w:rsid w:val="007C23B4"/>
    <w:rsid w:val="007C2546"/>
    <w:rsid w:val="007C2640"/>
    <w:rsid w:val="007C2712"/>
    <w:rsid w:val="007C2789"/>
    <w:rsid w:val="007C27F2"/>
    <w:rsid w:val="007C284B"/>
    <w:rsid w:val="007C28D5"/>
    <w:rsid w:val="007C29B8"/>
    <w:rsid w:val="007C2A58"/>
    <w:rsid w:val="007C2A8B"/>
    <w:rsid w:val="007C2A93"/>
    <w:rsid w:val="007C2AE2"/>
    <w:rsid w:val="007C2B3C"/>
    <w:rsid w:val="007C2CBE"/>
    <w:rsid w:val="007C2D6D"/>
    <w:rsid w:val="007C2D8E"/>
    <w:rsid w:val="007C2DB1"/>
    <w:rsid w:val="007C2DFB"/>
    <w:rsid w:val="007C2E05"/>
    <w:rsid w:val="007C2EA1"/>
    <w:rsid w:val="007C2EB6"/>
    <w:rsid w:val="007C2F0A"/>
    <w:rsid w:val="007C3013"/>
    <w:rsid w:val="007C3080"/>
    <w:rsid w:val="007C30B8"/>
    <w:rsid w:val="007C3136"/>
    <w:rsid w:val="007C314B"/>
    <w:rsid w:val="007C318A"/>
    <w:rsid w:val="007C334B"/>
    <w:rsid w:val="007C33CE"/>
    <w:rsid w:val="007C3425"/>
    <w:rsid w:val="007C349B"/>
    <w:rsid w:val="007C34A0"/>
    <w:rsid w:val="007C3557"/>
    <w:rsid w:val="007C359D"/>
    <w:rsid w:val="007C35B2"/>
    <w:rsid w:val="007C35F2"/>
    <w:rsid w:val="007C3609"/>
    <w:rsid w:val="007C3666"/>
    <w:rsid w:val="007C3743"/>
    <w:rsid w:val="007C375C"/>
    <w:rsid w:val="007C37C1"/>
    <w:rsid w:val="007C3A41"/>
    <w:rsid w:val="007C3A4D"/>
    <w:rsid w:val="007C3B3C"/>
    <w:rsid w:val="007C3B7F"/>
    <w:rsid w:val="007C3BA0"/>
    <w:rsid w:val="007C3CE2"/>
    <w:rsid w:val="007C3D2C"/>
    <w:rsid w:val="007C3DDC"/>
    <w:rsid w:val="007C3DFD"/>
    <w:rsid w:val="007C3E7E"/>
    <w:rsid w:val="007C3EC7"/>
    <w:rsid w:val="007C3F14"/>
    <w:rsid w:val="007C3FC0"/>
    <w:rsid w:val="007C403C"/>
    <w:rsid w:val="007C4329"/>
    <w:rsid w:val="007C438B"/>
    <w:rsid w:val="007C4396"/>
    <w:rsid w:val="007C43D7"/>
    <w:rsid w:val="007C4407"/>
    <w:rsid w:val="007C443C"/>
    <w:rsid w:val="007C448C"/>
    <w:rsid w:val="007C4491"/>
    <w:rsid w:val="007C44EE"/>
    <w:rsid w:val="007C454F"/>
    <w:rsid w:val="007C45B7"/>
    <w:rsid w:val="007C4699"/>
    <w:rsid w:val="007C46C1"/>
    <w:rsid w:val="007C473C"/>
    <w:rsid w:val="007C499B"/>
    <w:rsid w:val="007C49CE"/>
    <w:rsid w:val="007C4A04"/>
    <w:rsid w:val="007C4A47"/>
    <w:rsid w:val="007C4A72"/>
    <w:rsid w:val="007C4B2C"/>
    <w:rsid w:val="007C4B2D"/>
    <w:rsid w:val="007C4B87"/>
    <w:rsid w:val="007C4BB2"/>
    <w:rsid w:val="007C4BC5"/>
    <w:rsid w:val="007C4BFD"/>
    <w:rsid w:val="007C4C59"/>
    <w:rsid w:val="007C4D75"/>
    <w:rsid w:val="007C4DD9"/>
    <w:rsid w:val="007C4DE2"/>
    <w:rsid w:val="007C4E85"/>
    <w:rsid w:val="007C4F0F"/>
    <w:rsid w:val="007C5325"/>
    <w:rsid w:val="007C5351"/>
    <w:rsid w:val="007C53AE"/>
    <w:rsid w:val="007C53C2"/>
    <w:rsid w:val="007C5407"/>
    <w:rsid w:val="007C5440"/>
    <w:rsid w:val="007C5456"/>
    <w:rsid w:val="007C549C"/>
    <w:rsid w:val="007C551E"/>
    <w:rsid w:val="007C5554"/>
    <w:rsid w:val="007C55AF"/>
    <w:rsid w:val="007C5655"/>
    <w:rsid w:val="007C574B"/>
    <w:rsid w:val="007C574E"/>
    <w:rsid w:val="007C58BA"/>
    <w:rsid w:val="007C58F7"/>
    <w:rsid w:val="007C59C8"/>
    <w:rsid w:val="007C5A01"/>
    <w:rsid w:val="007C5A72"/>
    <w:rsid w:val="007C5A7F"/>
    <w:rsid w:val="007C5B88"/>
    <w:rsid w:val="007C5D04"/>
    <w:rsid w:val="007C5F08"/>
    <w:rsid w:val="007C60B7"/>
    <w:rsid w:val="007C6104"/>
    <w:rsid w:val="007C6209"/>
    <w:rsid w:val="007C6332"/>
    <w:rsid w:val="007C6413"/>
    <w:rsid w:val="007C641D"/>
    <w:rsid w:val="007C6438"/>
    <w:rsid w:val="007C64B1"/>
    <w:rsid w:val="007C64D7"/>
    <w:rsid w:val="007C64E5"/>
    <w:rsid w:val="007C66CC"/>
    <w:rsid w:val="007C66E1"/>
    <w:rsid w:val="007C67D4"/>
    <w:rsid w:val="007C67F0"/>
    <w:rsid w:val="007C681B"/>
    <w:rsid w:val="007C685C"/>
    <w:rsid w:val="007C68A4"/>
    <w:rsid w:val="007C68D6"/>
    <w:rsid w:val="007C68E6"/>
    <w:rsid w:val="007C6950"/>
    <w:rsid w:val="007C6AE4"/>
    <w:rsid w:val="007C6C64"/>
    <w:rsid w:val="007C6CAD"/>
    <w:rsid w:val="007C6CB3"/>
    <w:rsid w:val="007C6D4E"/>
    <w:rsid w:val="007C6E52"/>
    <w:rsid w:val="007C6E7E"/>
    <w:rsid w:val="007C7117"/>
    <w:rsid w:val="007C71D8"/>
    <w:rsid w:val="007C74E3"/>
    <w:rsid w:val="007C74F5"/>
    <w:rsid w:val="007C7510"/>
    <w:rsid w:val="007C7514"/>
    <w:rsid w:val="007C78E7"/>
    <w:rsid w:val="007C7A15"/>
    <w:rsid w:val="007C7AE0"/>
    <w:rsid w:val="007C7AF9"/>
    <w:rsid w:val="007C7B14"/>
    <w:rsid w:val="007C7C39"/>
    <w:rsid w:val="007C7C64"/>
    <w:rsid w:val="007C7D64"/>
    <w:rsid w:val="007C7D6F"/>
    <w:rsid w:val="007C7DCE"/>
    <w:rsid w:val="007C7E96"/>
    <w:rsid w:val="007C7E9D"/>
    <w:rsid w:val="007C7F3B"/>
    <w:rsid w:val="007C7FF3"/>
    <w:rsid w:val="007D007A"/>
    <w:rsid w:val="007D01F4"/>
    <w:rsid w:val="007D023E"/>
    <w:rsid w:val="007D0268"/>
    <w:rsid w:val="007D02B7"/>
    <w:rsid w:val="007D031F"/>
    <w:rsid w:val="007D0329"/>
    <w:rsid w:val="007D039F"/>
    <w:rsid w:val="007D03CB"/>
    <w:rsid w:val="007D0510"/>
    <w:rsid w:val="007D0530"/>
    <w:rsid w:val="007D05C8"/>
    <w:rsid w:val="007D05D4"/>
    <w:rsid w:val="007D0613"/>
    <w:rsid w:val="007D0656"/>
    <w:rsid w:val="007D0678"/>
    <w:rsid w:val="007D0734"/>
    <w:rsid w:val="007D0795"/>
    <w:rsid w:val="007D086D"/>
    <w:rsid w:val="007D08B3"/>
    <w:rsid w:val="007D0AB6"/>
    <w:rsid w:val="007D0B41"/>
    <w:rsid w:val="007D0CB6"/>
    <w:rsid w:val="007D0CF7"/>
    <w:rsid w:val="007D0D6E"/>
    <w:rsid w:val="007D0DA5"/>
    <w:rsid w:val="007D0E1A"/>
    <w:rsid w:val="007D0E37"/>
    <w:rsid w:val="007D0E56"/>
    <w:rsid w:val="007D1002"/>
    <w:rsid w:val="007D1021"/>
    <w:rsid w:val="007D1065"/>
    <w:rsid w:val="007D11BC"/>
    <w:rsid w:val="007D12AA"/>
    <w:rsid w:val="007D12E4"/>
    <w:rsid w:val="007D1327"/>
    <w:rsid w:val="007D13EC"/>
    <w:rsid w:val="007D13F6"/>
    <w:rsid w:val="007D1562"/>
    <w:rsid w:val="007D1575"/>
    <w:rsid w:val="007D1592"/>
    <w:rsid w:val="007D15C3"/>
    <w:rsid w:val="007D165E"/>
    <w:rsid w:val="007D1716"/>
    <w:rsid w:val="007D1AE4"/>
    <w:rsid w:val="007D1BA6"/>
    <w:rsid w:val="007D1BBD"/>
    <w:rsid w:val="007D1C46"/>
    <w:rsid w:val="007D1C63"/>
    <w:rsid w:val="007D1C6B"/>
    <w:rsid w:val="007D1CCE"/>
    <w:rsid w:val="007D1D46"/>
    <w:rsid w:val="007D1DB5"/>
    <w:rsid w:val="007D1DCD"/>
    <w:rsid w:val="007D1E6B"/>
    <w:rsid w:val="007D1FDC"/>
    <w:rsid w:val="007D1FDF"/>
    <w:rsid w:val="007D2095"/>
    <w:rsid w:val="007D2120"/>
    <w:rsid w:val="007D21ED"/>
    <w:rsid w:val="007D21FC"/>
    <w:rsid w:val="007D2321"/>
    <w:rsid w:val="007D23E9"/>
    <w:rsid w:val="007D241C"/>
    <w:rsid w:val="007D2446"/>
    <w:rsid w:val="007D257B"/>
    <w:rsid w:val="007D25B5"/>
    <w:rsid w:val="007D26B6"/>
    <w:rsid w:val="007D26EF"/>
    <w:rsid w:val="007D2717"/>
    <w:rsid w:val="007D273C"/>
    <w:rsid w:val="007D2787"/>
    <w:rsid w:val="007D27B1"/>
    <w:rsid w:val="007D28EE"/>
    <w:rsid w:val="007D2950"/>
    <w:rsid w:val="007D2A8E"/>
    <w:rsid w:val="007D2ACD"/>
    <w:rsid w:val="007D2B04"/>
    <w:rsid w:val="007D2BC5"/>
    <w:rsid w:val="007D2C33"/>
    <w:rsid w:val="007D2C52"/>
    <w:rsid w:val="007D2D0B"/>
    <w:rsid w:val="007D2D84"/>
    <w:rsid w:val="007D2E53"/>
    <w:rsid w:val="007D2EA5"/>
    <w:rsid w:val="007D2EEE"/>
    <w:rsid w:val="007D2F4D"/>
    <w:rsid w:val="007D2F5F"/>
    <w:rsid w:val="007D3057"/>
    <w:rsid w:val="007D30E2"/>
    <w:rsid w:val="007D3167"/>
    <w:rsid w:val="007D3184"/>
    <w:rsid w:val="007D31C0"/>
    <w:rsid w:val="007D31E7"/>
    <w:rsid w:val="007D329E"/>
    <w:rsid w:val="007D32B7"/>
    <w:rsid w:val="007D338D"/>
    <w:rsid w:val="007D3433"/>
    <w:rsid w:val="007D34A1"/>
    <w:rsid w:val="007D34DF"/>
    <w:rsid w:val="007D3511"/>
    <w:rsid w:val="007D3599"/>
    <w:rsid w:val="007D35C6"/>
    <w:rsid w:val="007D3689"/>
    <w:rsid w:val="007D368A"/>
    <w:rsid w:val="007D37A0"/>
    <w:rsid w:val="007D37F6"/>
    <w:rsid w:val="007D3848"/>
    <w:rsid w:val="007D38CD"/>
    <w:rsid w:val="007D39F7"/>
    <w:rsid w:val="007D3A24"/>
    <w:rsid w:val="007D3A6E"/>
    <w:rsid w:val="007D3AB6"/>
    <w:rsid w:val="007D3ADD"/>
    <w:rsid w:val="007D3B97"/>
    <w:rsid w:val="007D3C34"/>
    <w:rsid w:val="007D3DB3"/>
    <w:rsid w:val="007D3DE2"/>
    <w:rsid w:val="007D3E8A"/>
    <w:rsid w:val="007D3EB0"/>
    <w:rsid w:val="007D3F1C"/>
    <w:rsid w:val="007D3F50"/>
    <w:rsid w:val="007D3F85"/>
    <w:rsid w:val="007D3F8C"/>
    <w:rsid w:val="007D40CD"/>
    <w:rsid w:val="007D42A7"/>
    <w:rsid w:val="007D440C"/>
    <w:rsid w:val="007D4442"/>
    <w:rsid w:val="007D44C1"/>
    <w:rsid w:val="007D4598"/>
    <w:rsid w:val="007D45D5"/>
    <w:rsid w:val="007D4692"/>
    <w:rsid w:val="007D46DC"/>
    <w:rsid w:val="007D4744"/>
    <w:rsid w:val="007D4A57"/>
    <w:rsid w:val="007D4AAB"/>
    <w:rsid w:val="007D4B47"/>
    <w:rsid w:val="007D4B65"/>
    <w:rsid w:val="007D4BD4"/>
    <w:rsid w:val="007D4BD7"/>
    <w:rsid w:val="007D4BF0"/>
    <w:rsid w:val="007D4C3F"/>
    <w:rsid w:val="007D4C9E"/>
    <w:rsid w:val="007D4CB9"/>
    <w:rsid w:val="007D4D4E"/>
    <w:rsid w:val="007D4DAF"/>
    <w:rsid w:val="007D4E10"/>
    <w:rsid w:val="007D4E63"/>
    <w:rsid w:val="007D4E9F"/>
    <w:rsid w:val="007D4EC7"/>
    <w:rsid w:val="007D4ED2"/>
    <w:rsid w:val="007D4EF0"/>
    <w:rsid w:val="007D4F5F"/>
    <w:rsid w:val="007D5031"/>
    <w:rsid w:val="007D508B"/>
    <w:rsid w:val="007D50BC"/>
    <w:rsid w:val="007D51D4"/>
    <w:rsid w:val="007D527F"/>
    <w:rsid w:val="007D528D"/>
    <w:rsid w:val="007D548F"/>
    <w:rsid w:val="007D54CE"/>
    <w:rsid w:val="007D57B7"/>
    <w:rsid w:val="007D5B07"/>
    <w:rsid w:val="007D5B39"/>
    <w:rsid w:val="007D5BB3"/>
    <w:rsid w:val="007D5BBA"/>
    <w:rsid w:val="007D5C19"/>
    <w:rsid w:val="007D5C8F"/>
    <w:rsid w:val="007D5CF5"/>
    <w:rsid w:val="007D5E1B"/>
    <w:rsid w:val="007D5E7A"/>
    <w:rsid w:val="007D5E7D"/>
    <w:rsid w:val="007D5E93"/>
    <w:rsid w:val="007D5EBC"/>
    <w:rsid w:val="007D6046"/>
    <w:rsid w:val="007D6071"/>
    <w:rsid w:val="007D618C"/>
    <w:rsid w:val="007D619C"/>
    <w:rsid w:val="007D628D"/>
    <w:rsid w:val="007D62AE"/>
    <w:rsid w:val="007D631D"/>
    <w:rsid w:val="007D63BF"/>
    <w:rsid w:val="007D63C8"/>
    <w:rsid w:val="007D64F4"/>
    <w:rsid w:val="007D65BF"/>
    <w:rsid w:val="007D65FA"/>
    <w:rsid w:val="007D6609"/>
    <w:rsid w:val="007D6773"/>
    <w:rsid w:val="007D67CB"/>
    <w:rsid w:val="007D6839"/>
    <w:rsid w:val="007D6860"/>
    <w:rsid w:val="007D68B2"/>
    <w:rsid w:val="007D68C4"/>
    <w:rsid w:val="007D6B05"/>
    <w:rsid w:val="007D6B0F"/>
    <w:rsid w:val="007D6BB9"/>
    <w:rsid w:val="007D6C9C"/>
    <w:rsid w:val="007D6CB0"/>
    <w:rsid w:val="007D6D45"/>
    <w:rsid w:val="007D6F9C"/>
    <w:rsid w:val="007D710E"/>
    <w:rsid w:val="007D71AA"/>
    <w:rsid w:val="007D72D8"/>
    <w:rsid w:val="007D732D"/>
    <w:rsid w:val="007D7450"/>
    <w:rsid w:val="007D748C"/>
    <w:rsid w:val="007D74FD"/>
    <w:rsid w:val="007D7681"/>
    <w:rsid w:val="007D7745"/>
    <w:rsid w:val="007D7796"/>
    <w:rsid w:val="007D77D9"/>
    <w:rsid w:val="007D78B7"/>
    <w:rsid w:val="007D7A2D"/>
    <w:rsid w:val="007D7B46"/>
    <w:rsid w:val="007D7B62"/>
    <w:rsid w:val="007D7B92"/>
    <w:rsid w:val="007D7C69"/>
    <w:rsid w:val="007D7E40"/>
    <w:rsid w:val="007D7F1B"/>
    <w:rsid w:val="007D7F38"/>
    <w:rsid w:val="007E0131"/>
    <w:rsid w:val="007E0174"/>
    <w:rsid w:val="007E018D"/>
    <w:rsid w:val="007E01BE"/>
    <w:rsid w:val="007E021A"/>
    <w:rsid w:val="007E0237"/>
    <w:rsid w:val="007E0300"/>
    <w:rsid w:val="007E0380"/>
    <w:rsid w:val="007E03B7"/>
    <w:rsid w:val="007E0483"/>
    <w:rsid w:val="007E05ED"/>
    <w:rsid w:val="007E05FF"/>
    <w:rsid w:val="007E06D5"/>
    <w:rsid w:val="007E06F1"/>
    <w:rsid w:val="007E080B"/>
    <w:rsid w:val="007E0834"/>
    <w:rsid w:val="007E0882"/>
    <w:rsid w:val="007E094D"/>
    <w:rsid w:val="007E0A45"/>
    <w:rsid w:val="007E0AC9"/>
    <w:rsid w:val="007E0B62"/>
    <w:rsid w:val="007E0B88"/>
    <w:rsid w:val="007E0BAB"/>
    <w:rsid w:val="007E0BB0"/>
    <w:rsid w:val="007E0C74"/>
    <w:rsid w:val="007E0CC7"/>
    <w:rsid w:val="007E0CF2"/>
    <w:rsid w:val="007E0D03"/>
    <w:rsid w:val="007E0E19"/>
    <w:rsid w:val="007E0E42"/>
    <w:rsid w:val="007E0E55"/>
    <w:rsid w:val="007E0E65"/>
    <w:rsid w:val="007E0EA1"/>
    <w:rsid w:val="007E0EA6"/>
    <w:rsid w:val="007E0F6D"/>
    <w:rsid w:val="007E107F"/>
    <w:rsid w:val="007E1158"/>
    <w:rsid w:val="007E1390"/>
    <w:rsid w:val="007E141A"/>
    <w:rsid w:val="007E14C3"/>
    <w:rsid w:val="007E15C9"/>
    <w:rsid w:val="007E160D"/>
    <w:rsid w:val="007E165D"/>
    <w:rsid w:val="007E1688"/>
    <w:rsid w:val="007E17F5"/>
    <w:rsid w:val="007E1978"/>
    <w:rsid w:val="007E1A3C"/>
    <w:rsid w:val="007E1D31"/>
    <w:rsid w:val="007E1D56"/>
    <w:rsid w:val="007E1D87"/>
    <w:rsid w:val="007E1E23"/>
    <w:rsid w:val="007E1EBF"/>
    <w:rsid w:val="007E213F"/>
    <w:rsid w:val="007E22C4"/>
    <w:rsid w:val="007E22CF"/>
    <w:rsid w:val="007E23E1"/>
    <w:rsid w:val="007E23FB"/>
    <w:rsid w:val="007E243A"/>
    <w:rsid w:val="007E2466"/>
    <w:rsid w:val="007E24AF"/>
    <w:rsid w:val="007E2582"/>
    <w:rsid w:val="007E25FA"/>
    <w:rsid w:val="007E26B3"/>
    <w:rsid w:val="007E2786"/>
    <w:rsid w:val="007E27F2"/>
    <w:rsid w:val="007E28BE"/>
    <w:rsid w:val="007E2AB8"/>
    <w:rsid w:val="007E2AF1"/>
    <w:rsid w:val="007E2B8A"/>
    <w:rsid w:val="007E2C15"/>
    <w:rsid w:val="007E2E4C"/>
    <w:rsid w:val="007E2EBB"/>
    <w:rsid w:val="007E307F"/>
    <w:rsid w:val="007E30D1"/>
    <w:rsid w:val="007E322F"/>
    <w:rsid w:val="007E3239"/>
    <w:rsid w:val="007E3275"/>
    <w:rsid w:val="007E3311"/>
    <w:rsid w:val="007E332B"/>
    <w:rsid w:val="007E33CB"/>
    <w:rsid w:val="007E34DF"/>
    <w:rsid w:val="007E34FA"/>
    <w:rsid w:val="007E351E"/>
    <w:rsid w:val="007E3567"/>
    <w:rsid w:val="007E3603"/>
    <w:rsid w:val="007E367C"/>
    <w:rsid w:val="007E368A"/>
    <w:rsid w:val="007E36AE"/>
    <w:rsid w:val="007E3745"/>
    <w:rsid w:val="007E37BA"/>
    <w:rsid w:val="007E37FB"/>
    <w:rsid w:val="007E38A7"/>
    <w:rsid w:val="007E3924"/>
    <w:rsid w:val="007E3976"/>
    <w:rsid w:val="007E3A6D"/>
    <w:rsid w:val="007E3CC2"/>
    <w:rsid w:val="007E3CEB"/>
    <w:rsid w:val="007E3D5E"/>
    <w:rsid w:val="007E3DEE"/>
    <w:rsid w:val="007E3E76"/>
    <w:rsid w:val="007E3ECB"/>
    <w:rsid w:val="007E3F4B"/>
    <w:rsid w:val="007E3F64"/>
    <w:rsid w:val="007E403E"/>
    <w:rsid w:val="007E419A"/>
    <w:rsid w:val="007E42C8"/>
    <w:rsid w:val="007E4313"/>
    <w:rsid w:val="007E4363"/>
    <w:rsid w:val="007E4367"/>
    <w:rsid w:val="007E4487"/>
    <w:rsid w:val="007E4698"/>
    <w:rsid w:val="007E46AE"/>
    <w:rsid w:val="007E46DA"/>
    <w:rsid w:val="007E4732"/>
    <w:rsid w:val="007E48B9"/>
    <w:rsid w:val="007E4913"/>
    <w:rsid w:val="007E491D"/>
    <w:rsid w:val="007E4929"/>
    <w:rsid w:val="007E493A"/>
    <w:rsid w:val="007E4943"/>
    <w:rsid w:val="007E49C2"/>
    <w:rsid w:val="007E4A7B"/>
    <w:rsid w:val="007E4B33"/>
    <w:rsid w:val="007E4C9C"/>
    <w:rsid w:val="007E4E7A"/>
    <w:rsid w:val="007E4EEF"/>
    <w:rsid w:val="007E4F9F"/>
    <w:rsid w:val="007E4FB8"/>
    <w:rsid w:val="007E508E"/>
    <w:rsid w:val="007E5148"/>
    <w:rsid w:val="007E5160"/>
    <w:rsid w:val="007E5249"/>
    <w:rsid w:val="007E52E9"/>
    <w:rsid w:val="007E53CF"/>
    <w:rsid w:val="007E5402"/>
    <w:rsid w:val="007E5413"/>
    <w:rsid w:val="007E5446"/>
    <w:rsid w:val="007E54A5"/>
    <w:rsid w:val="007E54C7"/>
    <w:rsid w:val="007E5554"/>
    <w:rsid w:val="007E55CF"/>
    <w:rsid w:val="007E562D"/>
    <w:rsid w:val="007E5659"/>
    <w:rsid w:val="007E5695"/>
    <w:rsid w:val="007E56C9"/>
    <w:rsid w:val="007E577B"/>
    <w:rsid w:val="007E583D"/>
    <w:rsid w:val="007E5892"/>
    <w:rsid w:val="007E58B3"/>
    <w:rsid w:val="007E5A29"/>
    <w:rsid w:val="007E5A2D"/>
    <w:rsid w:val="007E5A33"/>
    <w:rsid w:val="007E5A6F"/>
    <w:rsid w:val="007E5B20"/>
    <w:rsid w:val="007E5B65"/>
    <w:rsid w:val="007E5BA0"/>
    <w:rsid w:val="007E5C22"/>
    <w:rsid w:val="007E5C60"/>
    <w:rsid w:val="007E5D72"/>
    <w:rsid w:val="007E5E5F"/>
    <w:rsid w:val="007E5EE4"/>
    <w:rsid w:val="007E5F8D"/>
    <w:rsid w:val="007E5F8E"/>
    <w:rsid w:val="007E5F98"/>
    <w:rsid w:val="007E6092"/>
    <w:rsid w:val="007E61E1"/>
    <w:rsid w:val="007E61EC"/>
    <w:rsid w:val="007E62D3"/>
    <w:rsid w:val="007E632E"/>
    <w:rsid w:val="007E63A3"/>
    <w:rsid w:val="007E6443"/>
    <w:rsid w:val="007E6452"/>
    <w:rsid w:val="007E647C"/>
    <w:rsid w:val="007E649D"/>
    <w:rsid w:val="007E6659"/>
    <w:rsid w:val="007E6762"/>
    <w:rsid w:val="007E68B1"/>
    <w:rsid w:val="007E68F9"/>
    <w:rsid w:val="007E69CA"/>
    <w:rsid w:val="007E69F5"/>
    <w:rsid w:val="007E6A27"/>
    <w:rsid w:val="007E6A34"/>
    <w:rsid w:val="007E6A52"/>
    <w:rsid w:val="007E6A88"/>
    <w:rsid w:val="007E6D39"/>
    <w:rsid w:val="007E6D61"/>
    <w:rsid w:val="007E6E2C"/>
    <w:rsid w:val="007E6E69"/>
    <w:rsid w:val="007E6EB3"/>
    <w:rsid w:val="007E6EEB"/>
    <w:rsid w:val="007E6FFF"/>
    <w:rsid w:val="007E71A2"/>
    <w:rsid w:val="007E7273"/>
    <w:rsid w:val="007E736D"/>
    <w:rsid w:val="007E73C2"/>
    <w:rsid w:val="007E7556"/>
    <w:rsid w:val="007E76E1"/>
    <w:rsid w:val="007E7768"/>
    <w:rsid w:val="007E7807"/>
    <w:rsid w:val="007E7865"/>
    <w:rsid w:val="007E78AF"/>
    <w:rsid w:val="007E78D5"/>
    <w:rsid w:val="007E7955"/>
    <w:rsid w:val="007E7A83"/>
    <w:rsid w:val="007E7A98"/>
    <w:rsid w:val="007E7ADA"/>
    <w:rsid w:val="007E7AED"/>
    <w:rsid w:val="007E7AF3"/>
    <w:rsid w:val="007E7BE4"/>
    <w:rsid w:val="007E7C30"/>
    <w:rsid w:val="007E7C3F"/>
    <w:rsid w:val="007E7C73"/>
    <w:rsid w:val="007E7E02"/>
    <w:rsid w:val="007E7E26"/>
    <w:rsid w:val="007E7E77"/>
    <w:rsid w:val="007E7E7A"/>
    <w:rsid w:val="007E7F9E"/>
    <w:rsid w:val="007E7FD1"/>
    <w:rsid w:val="007E7FEF"/>
    <w:rsid w:val="007F0097"/>
    <w:rsid w:val="007F014C"/>
    <w:rsid w:val="007F01AC"/>
    <w:rsid w:val="007F01E0"/>
    <w:rsid w:val="007F0203"/>
    <w:rsid w:val="007F028C"/>
    <w:rsid w:val="007F02A9"/>
    <w:rsid w:val="007F02AE"/>
    <w:rsid w:val="007F0328"/>
    <w:rsid w:val="007F047A"/>
    <w:rsid w:val="007F04A6"/>
    <w:rsid w:val="007F0529"/>
    <w:rsid w:val="007F052B"/>
    <w:rsid w:val="007F0576"/>
    <w:rsid w:val="007F059C"/>
    <w:rsid w:val="007F0662"/>
    <w:rsid w:val="007F072A"/>
    <w:rsid w:val="007F073C"/>
    <w:rsid w:val="007F08A1"/>
    <w:rsid w:val="007F09B3"/>
    <w:rsid w:val="007F0A0F"/>
    <w:rsid w:val="007F0AC9"/>
    <w:rsid w:val="007F0ADC"/>
    <w:rsid w:val="007F0AF1"/>
    <w:rsid w:val="007F0C3D"/>
    <w:rsid w:val="007F0D17"/>
    <w:rsid w:val="007F0D32"/>
    <w:rsid w:val="007F0DBA"/>
    <w:rsid w:val="007F0DC7"/>
    <w:rsid w:val="007F0E3B"/>
    <w:rsid w:val="007F0E76"/>
    <w:rsid w:val="007F0F2D"/>
    <w:rsid w:val="007F0F6A"/>
    <w:rsid w:val="007F0FEB"/>
    <w:rsid w:val="007F1003"/>
    <w:rsid w:val="007F1011"/>
    <w:rsid w:val="007F1063"/>
    <w:rsid w:val="007F1157"/>
    <w:rsid w:val="007F12A4"/>
    <w:rsid w:val="007F1330"/>
    <w:rsid w:val="007F1387"/>
    <w:rsid w:val="007F13DA"/>
    <w:rsid w:val="007F144F"/>
    <w:rsid w:val="007F14C4"/>
    <w:rsid w:val="007F1594"/>
    <w:rsid w:val="007F161F"/>
    <w:rsid w:val="007F1703"/>
    <w:rsid w:val="007F178B"/>
    <w:rsid w:val="007F185C"/>
    <w:rsid w:val="007F1886"/>
    <w:rsid w:val="007F1A53"/>
    <w:rsid w:val="007F1A5F"/>
    <w:rsid w:val="007F1AC2"/>
    <w:rsid w:val="007F1AD7"/>
    <w:rsid w:val="007F1B00"/>
    <w:rsid w:val="007F1B62"/>
    <w:rsid w:val="007F1BFD"/>
    <w:rsid w:val="007F1C3C"/>
    <w:rsid w:val="007F1CEC"/>
    <w:rsid w:val="007F1DFA"/>
    <w:rsid w:val="007F1E50"/>
    <w:rsid w:val="007F1F24"/>
    <w:rsid w:val="007F1F4B"/>
    <w:rsid w:val="007F2009"/>
    <w:rsid w:val="007F2044"/>
    <w:rsid w:val="007F210D"/>
    <w:rsid w:val="007F2174"/>
    <w:rsid w:val="007F218B"/>
    <w:rsid w:val="007F21A5"/>
    <w:rsid w:val="007F2320"/>
    <w:rsid w:val="007F23B6"/>
    <w:rsid w:val="007F241E"/>
    <w:rsid w:val="007F24A3"/>
    <w:rsid w:val="007F25A7"/>
    <w:rsid w:val="007F25EE"/>
    <w:rsid w:val="007F25F3"/>
    <w:rsid w:val="007F2611"/>
    <w:rsid w:val="007F2633"/>
    <w:rsid w:val="007F2666"/>
    <w:rsid w:val="007F26AE"/>
    <w:rsid w:val="007F277A"/>
    <w:rsid w:val="007F27DB"/>
    <w:rsid w:val="007F2A03"/>
    <w:rsid w:val="007F2BBF"/>
    <w:rsid w:val="007F2CF5"/>
    <w:rsid w:val="007F2D04"/>
    <w:rsid w:val="007F2D4F"/>
    <w:rsid w:val="007F2D52"/>
    <w:rsid w:val="007F2FDE"/>
    <w:rsid w:val="007F3174"/>
    <w:rsid w:val="007F31A9"/>
    <w:rsid w:val="007F31C3"/>
    <w:rsid w:val="007F3204"/>
    <w:rsid w:val="007F32C6"/>
    <w:rsid w:val="007F338E"/>
    <w:rsid w:val="007F342B"/>
    <w:rsid w:val="007F3435"/>
    <w:rsid w:val="007F34D5"/>
    <w:rsid w:val="007F35B5"/>
    <w:rsid w:val="007F35FE"/>
    <w:rsid w:val="007F3626"/>
    <w:rsid w:val="007F366C"/>
    <w:rsid w:val="007F368E"/>
    <w:rsid w:val="007F36D7"/>
    <w:rsid w:val="007F3765"/>
    <w:rsid w:val="007F378B"/>
    <w:rsid w:val="007F3A14"/>
    <w:rsid w:val="007F3AC2"/>
    <w:rsid w:val="007F3B30"/>
    <w:rsid w:val="007F3C33"/>
    <w:rsid w:val="007F3EB6"/>
    <w:rsid w:val="007F4022"/>
    <w:rsid w:val="007F414D"/>
    <w:rsid w:val="007F41A8"/>
    <w:rsid w:val="007F41D7"/>
    <w:rsid w:val="007F42D8"/>
    <w:rsid w:val="007F4301"/>
    <w:rsid w:val="007F4320"/>
    <w:rsid w:val="007F4393"/>
    <w:rsid w:val="007F43AB"/>
    <w:rsid w:val="007F44D0"/>
    <w:rsid w:val="007F4533"/>
    <w:rsid w:val="007F4591"/>
    <w:rsid w:val="007F4643"/>
    <w:rsid w:val="007F46A2"/>
    <w:rsid w:val="007F471B"/>
    <w:rsid w:val="007F4779"/>
    <w:rsid w:val="007F47A4"/>
    <w:rsid w:val="007F4904"/>
    <w:rsid w:val="007F4961"/>
    <w:rsid w:val="007F49A8"/>
    <w:rsid w:val="007F4A0E"/>
    <w:rsid w:val="007F4AA5"/>
    <w:rsid w:val="007F4AB1"/>
    <w:rsid w:val="007F4AC8"/>
    <w:rsid w:val="007F4B31"/>
    <w:rsid w:val="007F4BAC"/>
    <w:rsid w:val="007F4C06"/>
    <w:rsid w:val="007F4C3B"/>
    <w:rsid w:val="007F4C51"/>
    <w:rsid w:val="007F4CCD"/>
    <w:rsid w:val="007F4CEF"/>
    <w:rsid w:val="007F4F59"/>
    <w:rsid w:val="007F4FCA"/>
    <w:rsid w:val="007F5076"/>
    <w:rsid w:val="007F50DB"/>
    <w:rsid w:val="007F511D"/>
    <w:rsid w:val="007F51C6"/>
    <w:rsid w:val="007F51DF"/>
    <w:rsid w:val="007F51F2"/>
    <w:rsid w:val="007F5235"/>
    <w:rsid w:val="007F52FA"/>
    <w:rsid w:val="007F5384"/>
    <w:rsid w:val="007F53C7"/>
    <w:rsid w:val="007F53C8"/>
    <w:rsid w:val="007F53DF"/>
    <w:rsid w:val="007F548B"/>
    <w:rsid w:val="007F54D5"/>
    <w:rsid w:val="007F5526"/>
    <w:rsid w:val="007F5539"/>
    <w:rsid w:val="007F553C"/>
    <w:rsid w:val="007F5600"/>
    <w:rsid w:val="007F5651"/>
    <w:rsid w:val="007F5661"/>
    <w:rsid w:val="007F573A"/>
    <w:rsid w:val="007F5758"/>
    <w:rsid w:val="007F57E9"/>
    <w:rsid w:val="007F5820"/>
    <w:rsid w:val="007F5834"/>
    <w:rsid w:val="007F583B"/>
    <w:rsid w:val="007F587A"/>
    <w:rsid w:val="007F58C3"/>
    <w:rsid w:val="007F5A01"/>
    <w:rsid w:val="007F5A25"/>
    <w:rsid w:val="007F5A72"/>
    <w:rsid w:val="007F5BDF"/>
    <w:rsid w:val="007F5C38"/>
    <w:rsid w:val="007F5CC7"/>
    <w:rsid w:val="007F5DBE"/>
    <w:rsid w:val="007F5ED9"/>
    <w:rsid w:val="007F5EEA"/>
    <w:rsid w:val="007F5F1A"/>
    <w:rsid w:val="007F5FC7"/>
    <w:rsid w:val="007F6167"/>
    <w:rsid w:val="007F6260"/>
    <w:rsid w:val="007F6277"/>
    <w:rsid w:val="007F629D"/>
    <w:rsid w:val="007F63C6"/>
    <w:rsid w:val="007F63EB"/>
    <w:rsid w:val="007F647A"/>
    <w:rsid w:val="007F6513"/>
    <w:rsid w:val="007F6542"/>
    <w:rsid w:val="007F6649"/>
    <w:rsid w:val="007F666D"/>
    <w:rsid w:val="007F66C3"/>
    <w:rsid w:val="007F66F0"/>
    <w:rsid w:val="007F676F"/>
    <w:rsid w:val="007F67CF"/>
    <w:rsid w:val="007F6841"/>
    <w:rsid w:val="007F6864"/>
    <w:rsid w:val="007F68F2"/>
    <w:rsid w:val="007F68FC"/>
    <w:rsid w:val="007F691D"/>
    <w:rsid w:val="007F69BD"/>
    <w:rsid w:val="007F6AAD"/>
    <w:rsid w:val="007F6AD1"/>
    <w:rsid w:val="007F6AD3"/>
    <w:rsid w:val="007F6B0A"/>
    <w:rsid w:val="007F6BB1"/>
    <w:rsid w:val="007F6BC4"/>
    <w:rsid w:val="007F6BE8"/>
    <w:rsid w:val="007F6D12"/>
    <w:rsid w:val="007F6D92"/>
    <w:rsid w:val="007F6E3B"/>
    <w:rsid w:val="007F6EB0"/>
    <w:rsid w:val="007F6EF5"/>
    <w:rsid w:val="007F6F98"/>
    <w:rsid w:val="007F6FBB"/>
    <w:rsid w:val="007F6FC7"/>
    <w:rsid w:val="007F702B"/>
    <w:rsid w:val="007F7088"/>
    <w:rsid w:val="007F717B"/>
    <w:rsid w:val="007F7203"/>
    <w:rsid w:val="007F7258"/>
    <w:rsid w:val="007F7319"/>
    <w:rsid w:val="007F74F6"/>
    <w:rsid w:val="007F7505"/>
    <w:rsid w:val="007F75DA"/>
    <w:rsid w:val="007F75F4"/>
    <w:rsid w:val="007F766C"/>
    <w:rsid w:val="007F76C2"/>
    <w:rsid w:val="007F774D"/>
    <w:rsid w:val="007F7771"/>
    <w:rsid w:val="007F7799"/>
    <w:rsid w:val="007F7827"/>
    <w:rsid w:val="007F785A"/>
    <w:rsid w:val="007F788D"/>
    <w:rsid w:val="007F78DF"/>
    <w:rsid w:val="007F7920"/>
    <w:rsid w:val="007F796B"/>
    <w:rsid w:val="007F7985"/>
    <w:rsid w:val="007F7B70"/>
    <w:rsid w:val="007F7B98"/>
    <w:rsid w:val="007F7CDF"/>
    <w:rsid w:val="007F7E34"/>
    <w:rsid w:val="007F7E64"/>
    <w:rsid w:val="007F7EE1"/>
    <w:rsid w:val="007F7F03"/>
    <w:rsid w:val="007F7FAA"/>
    <w:rsid w:val="00800132"/>
    <w:rsid w:val="00800164"/>
    <w:rsid w:val="00800218"/>
    <w:rsid w:val="008002AA"/>
    <w:rsid w:val="0080033B"/>
    <w:rsid w:val="008003E3"/>
    <w:rsid w:val="00800588"/>
    <w:rsid w:val="00800589"/>
    <w:rsid w:val="00800661"/>
    <w:rsid w:val="0080067B"/>
    <w:rsid w:val="008007F3"/>
    <w:rsid w:val="00800867"/>
    <w:rsid w:val="0080088C"/>
    <w:rsid w:val="00800895"/>
    <w:rsid w:val="008008E7"/>
    <w:rsid w:val="008008FE"/>
    <w:rsid w:val="0080092F"/>
    <w:rsid w:val="0080095C"/>
    <w:rsid w:val="00800A18"/>
    <w:rsid w:val="00800CA9"/>
    <w:rsid w:val="00800CC1"/>
    <w:rsid w:val="00800D48"/>
    <w:rsid w:val="00800DA7"/>
    <w:rsid w:val="00800DB2"/>
    <w:rsid w:val="00800E83"/>
    <w:rsid w:val="00800EE8"/>
    <w:rsid w:val="00801034"/>
    <w:rsid w:val="00801059"/>
    <w:rsid w:val="0080124C"/>
    <w:rsid w:val="00801317"/>
    <w:rsid w:val="0080133F"/>
    <w:rsid w:val="00801351"/>
    <w:rsid w:val="00801471"/>
    <w:rsid w:val="00801548"/>
    <w:rsid w:val="0080156F"/>
    <w:rsid w:val="00801629"/>
    <w:rsid w:val="00801679"/>
    <w:rsid w:val="008016B3"/>
    <w:rsid w:val="0080174E"/>
    <w:rsid w:val="0080183B"/>
    <w:rsid w:val="0080186D"/>
    <w:rsid w:val="008018E8"/>
    <w:rsid w:val="0080191F"/>
    <w:rsid w:val="00801A6B"/>
    <w:rsid w:val="00801B00"/>
    <w:rsid w:val="00801C0C"/>
    <w:rsid w:val="00801CBC"/>
    <w:rsid w:val="00801CE7"/>
    <w:rsid w:val="00801DA4"/>
    <w:rsid w:val="00801E13"/>
    <w:rsid w:val="00801E38"/>
    <w:rsid w:val="00801E90"/>
    <w:rsid w:val="00801FCE"/>
    <w:rsid w:val="008021C6"/>
    <w:rsid w:val="008021FC"/>
    <w:rsid w:val="008022C5"/>
    <w:rsid w:val="0080236C"/>
    <w:rsid w:val="0080243C"/>
    <w:rsid w:val="0080248E"/>
    <w:rsid w:val="00802500"/>
    <w:rsid w:val="00802501"/>
    <w:rsid w:val="00802659"/>
    <w:rsid w:val="00802776"/>
    <w:rsid w:val="008027C3"/>
    <w:rsid w:val="008027D8"/>
    <w:rsid w:val="00802810"/>
    <w:rsid w:val="0080285F"/>
    <w:rsid w:val="008028E5"/>
    <w:rsid w:val="0080294A"/>
    <w:rsid w:val="0080298A"/>
    <w:rsid w:val="00802A4B"/>
    <w:rsid w:val="00802A7C"/>
    <w:rsid w:val="00802A9B"/>
    <w:rsid w:val="00802ACE"/>
    <w:rsid w:val="00802BB7"/>
    <w:rsid w:val="00802C6A"/>
    <w:rsid w:val="00802D40"/>
    <w:rsid w:val="00802D42"/>
    <w:rsid w:val="00802D50"/>
    <w:rsid w:val="00802E5C"/>
    <w:rsid w:val="00802ECE"/>
    <w:rsid w:val="00802F83"/>
    <w:rsid w:val="0080303E"/>
    <w:rsid w:val="0080309A"/>
    <w:rsid w:val="008030CB"/>
    <w:rsid w:val="00803148"/>
    <w:rsid w:val="00803174"/>
    <w:rsid w:val="00803199"/>
    <w:rsid w:val="00803244"/>
    <w:rsid w:val="00803264"/>
    <w:rsid w:val="008033CB"/>
    <w:rsid w:val="008033FA"/>
    <w:rsid w:val="00803425"/>
    <w:rsid w:val="00803579"/>
    <w:rsid w:val="00803593"/>
    <w:rsid w:val="00803680"/>
    <w:rsid w:val="00803694"/>
    <w:rsid w:val="00803785"/>
    <w:rsid w:val="00803842"/>
    <w:rsid w:val="00803862"/>
    <w:rsid w:val="008038E3"/>
    <w:rsid w:val="0080396E"/>
    <w:rsid w:val="00803A5C"/>
    <w:rsid w:val="00803C52"/>
    <w:rsid w:val="00803C7E"/>
    <w:rsid w:val="00803CAF"/>
    <w:rsid w:val="00803CC2"/>
    <w:rsid w:val="00803D45"/>
    <w:rsid w:val="00803D56"/>
    <w:rsid w:val="00803DAA"/>
    <w:rsid w:val="00803E42"/>
    <w:rsid w:val="00803F1A"/>
    <w:rsid w:val="00803F86"/>
    <w:rsid w:val="00803F91"/>
    <w:rsid w:val="00803FB6"/>
    <w:rsid w:val="00803FED"/>
    <w:rsid w:val="00804018"/>
    <w:rsid w:val="008040C1"/>
    <w:rsid w:val="008041A0"/>
    <w:rsid w:val="00804261"/>
    <w:rsid w:val="008043D4"/>
    <w:rsid w:val="008044A5"/>
    <w:rsid w:val="008044A8"/>
    <w:rsid w:val="0080455E"/>
    <w:rsid w:val="008045FC"/>
    <w:rsid w:val="00804603"/>
    <w:rsid w:val="0080464B"/>
    <w:rsid w:val="008046AC"/>
    <w:rsid w:val="008046E1"/>
    <w:rsid w:val="008047FA"/>
    <w:rsid w:val="00804985"/>
    <w:rsid w:val="00804A99"/>
    <w:rsid w:val="00804B61"/>
    <w:rsid w:val="00804BB9"/>
    <w:rsid w:val="00804C51"/>
    <w:rsid w:val="00804C76"/>
    <w:rsid w:val="00804DB4"/>
    <w:rsid w:val="00804DC6"/>
    <w:rsid w:val="00804FD0"/>
    <w:rsid w:val="0080505C"/>
    <w:rsid w:val="008050E3"/>
    <w:rsid w:val="00805128"/>
    <w:rsid w:val="008051AB"/>
    <w:rsid w:val="0080525C"/>
    <w:rsid w:val="008053E6"/>
    <w:rsid w:val="00805407"/>
    <w:rsid w:val="0080541C"/>
    <w:rsid w:val="00805466"/>
    <w:rsid w:val="0080549B"/>
    <w:rsid w:val="0080555E"/>
    <w:rsid w:val="008055C7"/>
    <w:rsid w:val="0080561C"/>
    <w:rsid w:val="00805628"/>
    <w:rsid w:val="0080563C"/>
    <w:rsid w:val="008058B8"/>
    <w:rsid w:val="00805927"/>
    <w:rsid w:val="00805936"/>
    <w:rsid w:val="00805974"/>
    <w:rsid w:val="00805981"/>
    <w:rsid w:val="00805997"/>
    <w:rsid w:val="008059A1"/>
    <w:rsid w:val="008059D5"/>
    <w:rsid w:val="00805A4A"/>
    <w:rsid w:val="00805B10"/>
    <w:rsid w:val="00805B50"/>
    <w:rsid w:val="00805B9B"/>
    <w:rsid w:val="00805BBF"/>
    <w:rsid w:val="00805BC6"/>
    <w:rsid w:val="00805D23"/>
    <w:rsid w:val="00805D3D"/>
    <w:rsid w:val="00805D71"/>
    <w:rsid w:val="00805DBC"/>
    <w:rsid w:val="00805DDC"/>
    <w:rsid w:val="00805E94"/>
    <w:rsid w:val="00805EB2"/>
    <w:rsid w:val="00805F59"/>
    <w:rsid w:val="0080600E"/>
    <w:rsid w:val="00806054"/>
    <w:rsid w:val="0080620E"/>
    <w:rsid w:val="00806213"/>
    <w:rsid w:val="0080623B"/>
    <w:rsid w:val="0080629C"/>
    <w:rsid w:val="00806393"/>
    <w:rsid w:val="00806395"/>
    <w:rsid w:val="008063AF"/>
    <w:rsid w:val="008063D0"/>
    <w:rsid w:val="00806404"/>
    <w:rsid w:val="0080643D"/>
    <w:rsid w:val="008064DD"/>
    <w:rsid w:val="008065DF"/>
    <w:rsid w:val="00806632"/>
    <w:rsid w:val="0080663A"/>
    <w:rsid w:val="0080665B"/>
    <w:rsid w:val="00806721"/>
    <w:rsid w:val="0080676A"/>
    <w:rsid w:val="008067C6"/>
    <w:rsid w:val="008068C6"/>
    <w:rsid w:val="008068D9"/>
    <w:rsid w:val="00806A77"/>
    <w:rsid w:val="00806A8E"/>
    <w:rsid w:val="00806A9C"/>
    <w:rsid w:val="00806B84"/>
    <w:rsid w:val="00806DA4"/>
    <w:rsid w:val="00806E1E"/>
    <w:rsid w:val="00806E5A"/>
    <w:rsid w:val="00806E74"/>
    <w:rsid w:val="00806ED6"/>
    <w:rsid w:val="00806F40"/>
    <w:rsid w:val="00806FEC"/>
    <w:rsid w:val="00807039"/>
    <w:rsid w:val="00807075"/>
    <w:rsid w:val="00807118"/>
    <w:rsid w:val="0080719C"/>
    <w:rsid w:val="00807257"/>
    <w:rsid w:val="00807276"/>
    <w:rsid w:val="008073D4"/>
    <w:rsid w:val="00807457"/>
    <w:rsid w:val="00807459"/>
    <w:rsid w:val="008075C2"/>
    <w:rsid w:val="008075EE"/>
    <w:rsid w:val="00807611"/>
    <w:rsid w:val="00807818"/>
    <w:rsid w:val="008078A5"/>
    <w:rsid w:val="00807AB1"/>
    <w:rsid w:val="00807AD1"/>
    <w:rsid w:val="00807B05"/>
    <w:rsid w:val="00807CD8"/>
    <w:rsid w:val="00807D39"/>
    <w:rsid w:val="00807D7B"/>
    <w:rsid w:val="00807DB3"/>
    <w:rsid w:val="00807DD4"/>
    <w:rsid w:val="00807E29"/>
    <w:rsid w:val="00807EC7"/>
    <w:rsid w:val="00807ECA"/>
    <w:rsid w:val="00807FFE"/>
    <w:rsid w:val="008100EE"/>
    <w:rsid w:val="00810112"/>
    <w:rsid w:val="00810164"/>
    <w:rsid w:val="008101D6"/>
    <w:rsid w:val="0081036F"/>
    <w:rsid w:val="00810415"/>
    <w:rsid w:val="00810469"/>
    <w:rsid w:val="008104B2"/>
    <w:rsid w:val="00810504"/>
    <w:rsid w:val="0081055B"/>
    <w:rsid w:val="00810577"/>
    <w:rsid w:val="008106B2"/>
    <w:rsid w:val="00810707"/>
    <w:rsid w:val="008107FC"/>
    <w:rsid w:val="0081087C"/>
    <w:rsid w:val="008108D9"/>
    <w:rsid w:val="0081096C"/>
    <w:rsid w:val="008109BB"/>
    <w:rsid w:val="00810A0C"/>
    <w:rsid w:val="00810AED"/>
    <w:rsid w:val="00810B5F"/>
    <w:rsid w:val="00810B87"/>
    <w:rsid w:val="00810C06"/>
    <w:rsid w:val="00810C1D"/>
    <w:rsid w:val="00810E48"/>
    <w:rsid w:val="00810F99"/>
    <w:rsid w:val="00811008"/>
    <w:rsid w:val="0081102F"/>
    <w:rsid w:val="008110D5"/>
    <w:rsid w:val="00811150"/>
    <w:rsid w:val="0081119A"/>
    <w:rsid w:val="008111C5"/>
    <w:rsid w:val="008111D1"/>
    <w:rsid w:val="008111F6"/>
    <w:rsid w:val="0081131D"/>
    <w:rsid w:val="0081132F"/>
    <w:rsid w:val="00811417"/>
    <w:rsid w:val="00811442"/>
    <w:rsid w:val="008114DF"/>
    <w:rsid w:val="00811547"/>
    <w:rsid w:val="0081155D"/>
    <w:rsid w:val="00811623"/>
    <w:rsid w:val="00811649"/>
    <w:rsid w:val="00811714"/>
    <w:rsid w:val="0081177E"/>
    <w:rsid w:val="00811802"/>
    <w:rsid w:val="0081185C"/>
    <w:rsid w:val="008118EA"/>
    <w:rsid w:val="0081195C"/>
    <w:rsid w:val="00811B1F"/>
    <w:rsid w:val="00811BBC"/>
    <w:rsid w:val="00811BC8"/>
    <w:rsid w:val="00811F32"/>
    <w:rsid w:val="00811FC3"/>
    <w:rsid w:val="0081204C"/>
    <w:rsid w:val="00812141"/>
    <w:rsid w:val="0081217D"/>
    <w:rsid w:val="00812187"/>
    <w:rsid w:val="00812188"/>
    <w:rsid w:val="008123A5"/>
    <w:rsid w:val="00812414"/>
    <w:rsid w:val="00812454"/>
    <w:rsid w:val="00812459"/>
    <w:rsid w:val="008124FF"/>
    <w:rsid w:val="00812558"/>
    <w:rsid w:val="008125B8"/>
    <w:rsid w:val="00812688"/>
    <w:rsid w:val="008126BA"/>
    <w:rsid w:val="00812733"/>
    <w:rsid w:val="008128D5"/>
    <w:rsid w:val="00812975"/>
    <w:rsid w:val="008129AD"/>
    <w:rsid w:val="008129C1"/>
    <w:rsid w:val="00812A76"/>
    <w:rsid w:val="00812AAC"/>
    <w:rsid w:val="00812ADC"/>
    <w:rsid w:val="00812ADE"/>
    <w:rsid w:val="00812AFD"/>
    <w:rsid w:val="00812B50"/>
    <w:rsid w:val="00812C89"/>
    <w:rsid w:val="00812CA9"/>
    <w:rsid w:val="00812CFA"/>
    <w:rsid w:val="00812D17"/>
    <w:rsid w:val="00812E57"/>
    <w:rsid w:val="00812ECB"/>
    <w:rsid w:val="00812F70"/>
    <w:rsid w:val="00812F7A"/>
    <w:rsid w:val="00812FAB"/>
    <w:rsid w:val="0081306F"/>
    <w:rsid w:val="008130E1"/>
    <w:rsid w:val="00813335"/>
    <w:rsid w:val="00813374"/>
    <w:rsid w:val="008133C8"/>
    <w:rsid w:val="008134B7"/>
    <w:rsid w:val="00813823"/>
    <w:rsid w:val="0081382A"/>
    <w:rsid w:val="00813875"/>
    <w:rsid w:val="008138C9"/>
    <w:rsid w:val="008138D9"/>
    <w:rsid w:val="008138F3"/>
    <w:rsid w:val="00813A4D"/>
    <w:rsid w:val="00813B1D"/>
    <w:rsid w:val="00813B31"/>
    <w:rsid w:val="00813D40"/>
    <w:rsid w:val="00813E06"/>
    <w:rsid w:val="00813E28"/>
    <w:rsid w:val="00813E65"/>
    <w:rsid w:val="00813FAB"/>
    <w:rsid w:val="00813FBD"/>
    <w:rsid w:val="0081402B"/>
    <w:rsid w:val="00814041"/>
    <w:rsid w:val="008140AF"/>
    <w:rsid w:val="00814206"/>
    <w:rsid w:val="00814244"/>
    <w:rsid w:val="008142B8"/>
    <w:rsid w:val="00814304"/>
    <w:rsid w:val="008144D5"/>
    <w:rsid w:val="0081463C"/>
    <w:rsid w:val="0081469E"/>
    <w:rsid w:val="00814702"/>
    <w:rsid w:val="008147A8"/>
    <w:rsid w:val="008147AF"/>
    <w:rsid w:val="00814837"/>
    <w:rsid w:val="008148E3"/>
    <w:rsid w:val="00814901"/>
    <w:rsid w:val="0081493D"/>
    <w:rsid w:val="00814A58"/>
    <w:rsid w:val="00814A7C"/>
    <w:rsid w:val="00814BC4"/>
    <w:rsid w:val="00814BE7"/>
    <w:rsid w:val="00814C05"/>
    <w:rsid w:val="00814C40"/>
    <w:rsid w:val="00814C54"/>
    <w:rsid w:val="00814CFB"/>
    <w:rsid w:val="00814D43"/>
    <w:rsid w:val="00814E6F"/>
    <w:rsid w:val="00814E92"/>
    <w:rsid w:val="00814EE9"/>
    <w:rsid w:val="00814F2B"/>
    <w:rsid w:val="00814FFE"/>
    <w:rsid w:val="0081502C"/>
    <w:rsid w:val="00815032"/>
    <w:rsid w:val="008151BC"/>
    <w:rsid w:val="0081529D"/>
    <w:rsid w:val="0081538F"/>
    <w:rsid w:val="0081540B"/>
    <w:rsid w:val="00815443"/>
    <w:rsid w:val="00815553"/>
    <w:rsid w:val="008155E6"/>
    <w:rsid w:val="00815616"/>
    <w:rsid w:val="00815671"/>
    <w:rsid w:val="0081571E"/>
    <w:rsid w:val="0081578A"/>
    <w:rsid w:val="00815875"/>
    <w:rsid w:val="0081588F"/>
    <w:rsid w:val="008158E6"/>
    <w:rsid w:val="00815945"/>
    <w:rsid w:val="008159D7"/>
    <w:rsid w:val="00815A05"/>
    <w:rsid w:val="00815A8D"/>
    <w:rsid w:val="00815B4E"/>
    <w:rsid w:val="00815B56"/>
    <w:rsid w:val="00815D34"/>
    <w:rsid w:val="00815D71"/>
    <w:rsid w:val="00815DE8"/>
    <w:rsid w:val="00815E11"/>
    <w:rsid w:val="00815EA8"/>
    <w:rsid w:val="00815F0E"/>
    <w:rsid w:val="00815F2C"/>
    <w:rsid w:val="00815FBF"/>
    <w:rsid w:val="008160D5"/>
    <w:rsid w:val="0081616A"/>
    <w:rsid w:val="00816225"/>
    <w:rsid w:val="00816264"/>
    <w:rsid w:val="008162D6"/>
    <w:rsid w:val="00816422"/>
    <w:rsid w:val="00816446"/>
    <w:rsid w:val="00816491"/>
    <w:rsid w:val="008164AB"/>
    <w:rsid w:val="008165C5"/>
    <w:rsid w:val="0081660A"/>
    <w:rsid w:val="00816710"/>
    <w:rsid w:val="0081676D"/>
    <w:rsid w:val="008167B6"/>
    <w:rsid w:val="008167DB"/>
    <w:rsid w:val="00816809"/>
    <w:rsid w:val="0081682E"/>
    <w:rsid w:val="00816904"/>
    <w:rsid w:val="0081699F"/>
    <w:rsid w:val="00816A4A"/>
    <w:rsid w:val="00816B1C"/>
    <w:rsid w:val="00816B84"/>
    <w:rsid w:val="00816C33"/>
    <w:rsid w:val="00816C94"/>
    <w:rsid w:val="00816CC4"/>
    <w:rsid w:val="00816D4A"/>
    <w:rsid w:val="00816DEA"/>
    <w:rsid w:val="00816E7C"/>
    <w:rsid w:val="00816ED9"/>
    <w:rsid w:val="00816F41"/>
    <w:rsid w:val="00816F88"/>
    <w:rsid w:val="00817195"/>
    <w:rsid w:val="0081722B"/>
    <w:rsid w:val="00817234"/>
    <w:rsid w:val="00817247"/>
    <w:rsid w:val="0081729B"/>
    <w:rsid w:val="0081730B"/>
    <w:rsid w:val="00817397"/>
    <w:rsid w:val="008173AA"/>
    <w:rsid w:val="008173DC"/>
    <w:rsid w:val="00817456"/>
    <w:rsid w:val="008174FD"/>
    <w:rsid w:val="00817547"/>
    <w:rsid w:val="0081756E"/>
    <w:rsid w:val="00817660"/>
    <w:rsid w:val="00817702"/>
    <w:rsid w:val="00817739"/>
    <w:rsid w:val="00817757"/>
    <w:rsid w:val="008177AD"/>
    <w:rsid w:val="0081784B"/>
    <w:rsid w:val="008178CB"/>
    <w:rsid w:val="008178E9"/>
    <w:rsid w:val="00817901"/>
    <w:rsid w:val="008179D3"/>
    <w:rsid w:val="008179D4"/>
    <w:rsid w:val="00817A17"/>
    <w:rsid w:val="00817A33"/>
    <w:rsid w:val="00817A9F"/>
    <w:rsid w:val="00817AFC"/>
    <w:rsid w:val="00817BF9"/>
    <w:rsid w:val="00817BFA"/>
    <w:rsid w:val="00817C4E"/>
    <w:rsid w:val="00817CF6"/>
    <w:rsid w:val="00817DC7"/>
    <w:rsid w:val="00817E47"/>
    <w:rsid w:val="00817F99"/>
    <w:rsid w:val="00817FB3"/>
    <w:rsid w:val="00820004"/>
    <w:rsid w:val="0082015F"/>
    <w:rsid w:val="008201A9"/>
    <w:rsid w:val="0082024F"/>
    <w:rsid w:val="0082026E"/>
    <w:rsid w:val="00820279"/>
    <w:rsid w:val="0082033B"/>
    <w:rsid w:val="00820378"/>
    <w:rsid w:val="00820397"/>
    <w:rsid w:val="0082040C"/>
    <w:rsid w:val="00820453"/>
    <w:rsid w:val="0082050D"/>
    <w:rsid w:val="0082051D"/>
    <w:rsid w:val="0082063C"/>
    <w:rsid w:val="0082064C"/>
    <w:rsid w:val="008206A5"/>
    <w:rsid w:val="008206B1"/>
    <w:rsid w:val="0082077F"/>
    <w:rsid w:val="008207B2"/>
    <w:rsid w:val="008207BF"/>
    <w:rsid w:val="00820804"/>
    <w:rsid w:val="0082087C"/>
    <w:rsid w:val="008208E8"/>
    <w:rsid w:val="00820930"/>
    <w:rsid w:val="0082096B"/>
    <w:rsid w:val="00820A04"/>
    <w:rsid w:val="00820A0E"/>
    <w:rsid w:val="00820A29"/>
    <w:rsid w:val="00820A2D"/>
    <w:rsid w:val="00820AF9"/>
    <w:rsid w:val="00820BD3"/>
    <w:rsid w:val="00820CAA"/>
    <w:rsid w:val="00820E24"/>
    <w:rsid w:val="00820E40"/>
    <w:rsid w:val="00820E92"/>
    <w:rsid w:val="00820EF3"/>
    <w:rsid w:val="00820F33"/>
    <w:rsid w:val="00821127"/>
    <w:rsid w:val="0082114D"/>
    <w:rsid w:val="00821218"/>
    <w:rsid w:val="0082126A"/>
    <w:rsid w:val="008212BF"/>
    <w:rsid w:val="00821338"/>
    <w:rsid w:val="008213B6"/>
    <w:rsid w:val="008215A4"/>
    <w:rsid w:val="00821634"/>
    <w:rsid w:val="00821680"/>
    <w:rsid w:val="008216B5"/>
    <w:rsid w:val="008216EF"/>
    <w:rsid w:val="00821768"/>
    <w:rsid w:val="0082184A"/>
    <w:rsid w:val="00821931"/>
    <w:rsid w:val="00821A7D"/>
    <w:rsid w:val="00821CC2"/>
    <w:rsid w:val="00821CFB"/>
    <w:rsid w:val="00821E4D"/>
    <w:rsid w:val="00821E5C"/>
    <w:rsid w:val="00822049"/>
    <w:rsid w:val="00822055"/>
    <w:rsid w:val="00822073"/>
    <w:rsid w:val="0082208C"/>
    <w:rsid w:val="008220AB"/>
    <w:rsid w:val="00822198"/>
    <w:rsid w:val="008221AB"/>
    <w:rsid w:val="008221E4"/>
    <w:rsid w:val="00822233"/>
    <w:rsid w:val="008222E4"/>
    <w:rsid w:val="0082231C"/>
    <w:rsid w:val="008223D5"/>
    <w:rsid w:val="00822447"/>
    <w:rsid w:val="00822456"/>
    <w:rsid w:val="00822524"/>
    <w:rsid w:val="0082254A"/>
    <w:rsid w:val="0082263B"/>
    <w:rsid w:val="008226A2"/>
    <w:rsid w:val="00822707"/>
    <w:rsid w:val="00822752"/>
    <w:rsid w:val="00822799"/>
    <w:rsid w:val="008227F8"/>
    <w:rsid w:val="0082281A"/>
    <w:rsid w:val="00822820"/>
    <w:rsid w:val="0082282A"/>
    <w:rsid w:val="008228DE"/>
    <w:rsid w:val="008229A2"/>
    <w:rsid w:val="00822AC7"/>
    <w:rsid w:val="00822AF5"/>
    <w:rsid w:val="00822BD8"/>
    <w:rsid w:val="00822C50"/>
    <w:rsid w:val="00822D52"/>
    <w:rsid w:val="00822D66"/>
    <w:rsid w:val="00822D73"/>
    <w:rsid w:val="00822E86"/>
    <w:rsid w:val="00822EA0"/>
    <w:rsid w:val="00822EA6"/>
    <w:rsid w:val="00822EAB"/>
    <w:rsid w:val="00822EDA"/>
    <w:rsid w:val="00822F0A"/>
    <w:rsid w:val="00823002"/>
    <w:rsid w:val="00823293"/>
    <w:rsid w:val="008232CF"/>
    <w:rsid w:val="00823466"/>
    <w:rsid w:val="0082348F"/>
    <w:rsid w:val="008234AF"/>
    <w:rsid w:val="008234EE"/>
    <w:rsid w:val="0082355D"/>
    <w:rsid w:val="008235F7"/>
    <w:rsid w:val="0082361E"/>
    <w:rsid w:val="0082365F"/>
    <w:rsid w:val="008236A9"/>
    <w:rsid w:val="008236B7"/>
    <w:rsid w:val="0082371C"/>
    <w:rsid w:val="008237C2"/>
    <w:rsid w:val="008237EA"/>
    <w:rsid w:val="008238E1"/>
    <w:rsid w:val="00823910"/>
    <w:rsid w:val="00823927"/>
    <w:rsid w:val="00823943"/>
    <w:rsid w:val="00823999"/>
    <w:rsid w:val="008239D3"/>
    <w:rsid w:val="008239E9"/>
    <w:rsid w:val="00823AAD"/>
    <w:rsid w:val="00823AB5"/>
    <w:rsid w:val="00823AF4"/>
    <w:rsid w:val="00823C13"/>
    <w:rsid w:val="00823C20"/>
    <w:rsid w:val="00823CD1"/>
    <w:rsid w:val="00823D79"/>
    <w:rsid w:val="00823E2A"/>
    <w:rsid w:val="00823F78"/>
    <w:rsid w:val="00823FA0"/>
    <w:rsid w:val="00823FC8"/>
    <w:rsid w:val="00823FD2"/>
    <w:rsid w:val="00824069"/>
    <w:rsid w:val="00824103"/>
    <w:rsid w:val="0082415E"/>
    <w:rsid w:val="00824256"/>
    <w:rsid w:val="00824292"/>
    <w:rsid w:val="00824315"/>
    <w:rsid w:val="0082432D"/>
    <w:rsid w:val="00824432"/>
    <w:rsid w:val="00824686"/>
    <w:rsid w:val="00824770"/>
    <w:rsid w:val="0082478F"/>
    <w:rsid w:val="0082480F"/>
    <w:rsid w:val="00824919"/>
    <w:rsid w:val="00824943"/>
    <w:rsid w:val="008249B0"/>
    <w:rsid w:val="008249D6"/>
    <w:rsid w:val="00824AF4"/>
    <w:rsid w:val="00824B26"/>
    <w:rsid w:val="00824B9D"/>
    <w:rsid w:val="00824D45"/>
    <w:rsid w:val="00824DE5"/>
    <w:rsid w:val="00824E0A"/>
    <w:rsid w:val="00824E48"/>
    <w:rsid w:val="00824EBF"/>
    <w:rsid w:val="00824F6B"/>
    <w:rsid w:val="00825067"/>
    <w:rsid w:val="008250C8"/>
    <w:rsid w:val="008250C9"/>
    <w:rsid w:val="008251A3"/>
    <w:rsid w:val="00825269"/>
    <w:rsid w:val="008253B7"/>
    <w:rsid w:val="0082545B"/>
    <w:rsid w:val="00825547"/>
    <w:rsid w:val="0082555B"/>
    <w:rsid w:val="0082561D"/>
    <w:rsid w:val="00825662"/>
    <w:rsid w:val="0082569F"/>
    <w:rsid w:val="008257A2"/>
    <w:rsid w:val="008257E3"/>
    <w:rsid w:val="0082581E"/>
    <w:rsid w:val="00825ADB"/>
    <w:rsid w:val="00825B04"/>
    <w:rsid w:val="00825B3D"/>
    <w:rsid w:val="00825B52"/>
    <w:rsid w:val="00825B60"/>
    <w:rsid w:val="00825C20"/>
    <w:rsid w:val="00825D4F"/>
    <w:rsid w:val="00825D95"/>
    <w:rsid w:val="00825DA8"/>
    <w:rsid w:val="00825DF3"/>
    <w:rsid w:val="00825E22"/>
    <w:rsid w:val="00825E2D"/>
    <w:rsid w:val="00825F08"/>
    <w:rsid w:val="00825F2C"/>
    <w:rsid w:val="00825F59"/>
    <w:rsid w:val="00825FA2"/>
    <w:rsid w:val="00825FD2"/>
    <w:rsid w:val="00826040"/>
    <w:rsid w:val="008260CA"/>
    <w:rsid w:val="00826135"/>
    <w:rsid w:val="00826171"/>
    <w:rsid w:val="00826178"/>
    <w:rsid w:val="008261D6"/>
    <w:rsid w:val="008261E5"/>
    <w:rsid w:val="00826237"/>
    <w:rsid w:val="00826253"/>
    <w:rsid w:val="008262EA"/>
    <w:rsid w:val="00826310"/>
    <w:rsid w:val="008263C4"/>
    <w:rsid w:val="0082642B"/>
    <w:rsid w:val="0082643F"/>
    <w:rsid w:val="008264BD"/>
    <w:rsid w:val="008264DC"/>
    <w:rsid w:val="008264E5"/>
    <w:rsid w:val="008266CC"/>
    <w:rsid w:val="008267F2"/>
    <w:rsid w:val="00826809"/>
    <w:rsid w:val="0082682D"/>
    <w:rsid w:val="008268E3"/>
    <w:rsid w:val="008269BF"/>
    <w:rsid w:val="00826A0B"/>
    <w:rsid w:val="00826A32"/>
    <w:rsid w:val="00826AB8"/>
    <w:rsid w:val="00826C50"/>
    <w:rsid w:val="00826C99"/>
    <w:rsid w:val="00826CA8"/>
    <w:rsid w:val="00826DA4"/>
    <w:rsid w:val="00826DBB"/>
    <w:rsid w:val="00826E32"/>
    <w:rsid w:val="00826E3F"/>
    <w:rsid w:val="00826E90"/>
    <w:rsid w:val="00826EB6"/>
    <w:rsid w:val="00826ED8"/>
    <w:rsid w:val="00826FF8"/>
    <w:rsid w:val="00827003"/>
    <w:rsid w:val="00827111"/>
    <w:rsid w:val="00827118"/>
    <w:rsid w:val="0082713B"/>
    <w:rsid w:val="00827178"/>
    <w:rsid w:val="008271CD"/>
    <w:rsid w:val="0082724A"/>
    <w:rsid w:val="008272AE"/>
    <w:rsid w:val="008272C5"/>
    <w:rsid w:val="008273CB"/>
    <w:rsid w:val="0082741E"/>
    <w:rsid w:val="008274C8"/>
    <w:rsid w:val="008275E0"/>
    <w:rsid w:val="00827695"/>
    <w:rsid w:val="008276A2"/>
    <w:rsid w:val="00827709"/>
    <w:rsid w:val="00827771"/>
    <w:rsid w:val="00827777"/>
    <w:rsid w:val="00827808"/>
    <w:rsid w:val="00827842"/>
    <w:rsid w:val="0082785F"/>
    <w:rsid w:val="00827887"/>
    <w:rsid w:val="00827914"/>
    <w:rsid w:val="00827930"/>
    <w:rsid w:val="0082793B"/>
    <w:rsid w:val="0082795D"/>
    <w:rsid w:val="00827A16"/>
    <w:rsid w:val="00827A66"/>
    <w:rsid w:val="00827B81"/>
    <w:rsid w:val="00827C1E"/>
    <w:rsid w:val="00827C1F"/>
    <w:rsid w:val="00827CA6"/>
    <w:rsid w:val="00827CD9"/>
    <w:rsid w:val="00827D1A"/>
    <w:rsid w:val="00827E19"/>
    <w:rsid w:val="00827E74"/>
    <w:rsid w:val="00827EA4"/>
    <w:rsid w:val="00827EEF"/>
    <w:rsid w:val="00827F5B"/>
    <w:rsid w:val="00827FF1"/>
    <w:rsid w:val="008300D9"/>
    <w:rsid w:val="008300DF"/>
    <w:rsid w:val="008300FB"/>
    <w:rsid w:val="00830124"/>
    <w:rsid w:val="0083020E"/>
    <w:rsid w:val="00830243"/>
    <w:rsid w:val="0083029F"/>
    <w:rsid w:val="008302F7"/>
    <w:rsid w:val="008303E9"/>
    <w:rsid w:val="0083046B"/>
    <w:rsid w:val="008304CA"/>
    <w:rsid w:val="008304DC"/>
    <w:rsid w:val="008304FC"/>
    <w:rsid w:val="00830505"/>
    <w:rsid w:val="008305AC"/>
    <w:rsid w:val="0083067D"/>
    <w:rsid w:val="00830754"/>
    <w:rsid w:val="00830768"/>
    <w:rsid w:val="008307FB"/>
    <w:rsid w:val="00830828"/>
    <w:rsid w:val="0083084F"/>
    <w:rsid w:val="0083095C"/>
    <w:rsid w:val="0083095D"/>
    <w:rsid w:val="00830A09"/>
    <w:rsid w:val="00830A76"/>
    <w:rsid w:val="00830A8B"/>
    <w:rsid w:val="00830B25"/>
    <w:rsid w:val="00830B77"/>
    <w:rsid w:val="00830CEE"/>
    <w:rsid w:val="00830D06"/>
    <w:rsid w:val="00830D4E"/>
    <w:rsid w:val="00830F6A"/>
    <w:rsid w:val="00830FA5"/>
    <w:rsid w:val="008310F1"/>
    <w:rsid w:val="0083115A"/>
    <w:rsid w:val="008311BB"/>
    <w:rsid w:val="0083122F"/>
    <w:rsid w:val="00831240"/>
    <w:rsid w:val="008312CC"/>
    <w:rsid w:val="0083134F"/>
    <w:rsid w:val="00831353"/>
    <w:rsid w:val="008313DD"/>
    <w:rsid w:val="00831432"/>
    <w:rsid w:val="00831439"/>
    <w:rsid w:val="008315AB"/>
    <w:rsid w:val="008315B9"/>
    <w:rsid w:val="008316DF"/>
    <w:rsid w:val="008317E4"/>
    <w:rsid w:val="00831813"/>
    <w:rsid w:val="008318AA"/>
    <w:rsid w:val="008318DE"/>
    <w:rsid w:val="0083197A"/>
    <w:rsid w:val="00831A1D"/>
    <w:rsid w:val="00831A37"/>
    <w:rsid w:val="00831C49"/>
    <w:rsid w:val="00831C90"/>
    <w:rsid w:val="00831D60"/>
    <w:rsid w:val="00831DA6"/>
    <w:rsid w:val="00831E4E"/>
    <w:rsid w:val="00831ED9"/>
    <w:rsid w:val="00831F58"/>
    <w:rsid w:val="0083208B"/>
    <w:rsid w:val="0083219B"/>
    <w:rsid w:val="008321FA"/>
    <w:rsid w:val="0083225B"/>
    <w:rsid w:val="00832356"/>
    <w:rsid w:val="00832407"/>
    <w:rsid w:val="008324BB"/>
    <w:rsid w:val="008325CC"/>
    <w:rsid w:val="008325E2"/>
    <w:rsid w:val="0083264D"/>
    <w:rsid w:val="00832670"/>
    <w:rsid w:val="00832718"/>
    <w:rsid w:val="0083271E"/>
    <w:rsid w:val="0083273E"/>
    <w:rsid w:val="0083275B"/>
    <w:rsid w:val="0083279E"/>
    <w:rsid w:val="0083280A"/>
    <w:rsid w:val="008329AD"/>
    <w:rsid w:val="00832AE6"/>
    <w:rsid w:val="00832CAF"/>
    <w:rsid w:val="00832D60"/>
    <w:rsid w:val="00832E55"/>
    <w:rsid w:val="00832EB0"/>
    <w:rsid w:val="00832EB7"/>
    <w:rsid w:val="00832EC0"/>
    <w:rsid w:val="00832F65"/>
    <w:rsid w:val="00832FBF"/>
    <w:rsid w:val="0083302F"/>
    <w:rsid w:val="0083305A"/>
    <w:rsid w:val="008330E0"/>
    <w:rsid w:val="008331B0"/>
    <w:rsid w:val="008331B6"/>
    <w:rsid w:val="0083322B"/>
    <w:rsid w:val="00833423"/>
    <w:rsid w:val="00833535"/>
    <w:rsid w:val="00833585"/>
    <w:rsid w:val="008335F4"/>
    <w:rsid w:val="008336D0"/>
    <w:rsid w:val="00833916"/>
    <w:rsid w:val="00833919"/>
    <w:rsid w:val="0083395D"/>
    <w:rsid w:val="00833966"/>
    <w:rsid w:val="008339BA"/>
    <w:rsid w:val="008339CD"/>
    <w:rsid w:val="008339D2"/>
    <w:rsid w:val="00833A36"/>
    <w:rsid w:val="00833B21"/>
    <w:rsid w:val="00833BB6"/>
    <w:rsid w:val="00833CA3"/>
    <w:rsid w:val="00833D01"/>
    <w:rsid w:val="00833E34"/>
    <w:rsid w:val="00833E8C"/>
    <w:rsid w:val="00833EAB"/>
    <w:rsid w:val="00833ECE"/>
    <w:rsid w:val="00833ED5"/>
    <w:rsid w:val="00833F03"/>
    <w:rsid w:val="00833FF3"/>
    <w:rsid w:val="00834055"/>
    <w:rsid w:val="008340B6"/>
    <w:rsid w:val="008340F3"/>
    <w:rsid w:val="00834230"/>
    <w:rsid w:val="00834280"/>
    <w:rsid w:val="0083435C"/>
    <w:rsid w:val="008343BD"/>
    <w:rsid w:val="00834429"/>
    <w:rsid w:val="00834458"/>
    <w:rsid w:val="00834461"/>
    <w:rsid w:val="008344BF"/>
    <w:rsid w:val="008346F6"/>
    <w:rsid w:val="008348A8"/>
    <w:rsid w:val="008348E4"/>
    <w:rsid w:val="00834953"/>
    <w:rsid w:val="00834A01"/>
    <w:rsid w:val="00834A3E"/>
    <w:rsid w:val="00834A62"/>
    <w:rsid w:val="00834C16"/>
    <w:rsid w:val="00834C27"/>
    <w:rsid w:val="00834DF6"/>
    <w:rsid w:val="00834E06"/>
    <w:rsid w:val="00834EBD"/>
    <w:rsid w:val="00834ED7"/>
    <w:rsid w:val="00834F13"/>
    <w:rsid w:val="00834F82"/>
    <w:rsid w:val="00835065"/>
    <w:rsid w:val="008351B4"/>
    <w:rsid w:val="00835304"/>
    <w:rsid w:val="00835308"/>
    <w:rsid w:val="00835329"/>
    <w:rsid w:val="0083540A"/>
    <w:rsid w:val="00835495"/>
    <w:rsid w:val="00835496"/>
    <w:rsid w:val="00835524"/>
    <w:rsid w:val="00835542"/>
    <w:rsid w:val="0083554E"/>
    <w:rsid w:val="0083561A"/>
    <w:rsid w:val="00835651"/>
    <w:rsid w:val="008356A2"/>
    <w:rsid w:val="00835770"/>
    <w:rsid w:val="0083578F"/>
    <w:rsid w:val="008358B3"/>
    <w:rsid w:val="00835932"/>
    <w:rsid w:val="00835934"/>
    <w:rsid w:val="00835A37"/>
    <w:rsid w:val="00835AF8"/>
    <w:rsid w:val="00835BBE"/>
    <w:rsid w:val="00835BF7"/>
    <w:rsid w:val="00835C26"/>
    <w:rsid w:val="00835C4D"/>
    <w:rsid w:val="00835C88"/>
    <w:rsid w:val="00835D87"/>
    <w:rsid w:val="00835ECE"/>
    <w:rsid w:val="00836061"/>
    <w:rsid w:val="00836095"/>
    <w:rsid w:val="0083618A"/>
    <w:rsid w:val="0083622E"/>
    <w:rsid w:val="00836293"/>
    <w:rsid w:val="00836385"/>
    <w:rsid w:val="008363AA"/>
    <w:rsid w:val="00836511"/>
    <w:rsid w:val="00836531"/>
    <w:rsid w:val="008365CC"/>
    <w:rsid w:val="008365E4"/>
    <w:rsid w:val="00836628"/>
    <w:rsid w:val="008366AF"/>
    <w:rsid w:val="00836798"/>
    <w:rsid w:val="00836853"/>
    <w:rsid w:val="0083693A"/>
    <w:rsid w:val="008369CF"/>
    <w:rsid w:val="00836A8A"/>
    <w:rsid w:val="00836AA0"/>
    <w:rsid w:val="00836AA1"/>
    <w:rsid w:val="00836AC3"/>
    <w:rsid w:val="00836AE0"/>
    <w:rsid w:val="00836B28"/>
    <w:rsid w:val="00836BFF"/>
    <w:rsid w:val="00836C1E"/>
    <w:rsid w:val="00836DDE"/>
    <w:rsid w:val="00836E6D"/>
    <w:rsid w:val="00836E7C"/>
    <w:rsid w:val="00836E98"/>
    <w:rsid w:val="0083713A"/>
    <w:rsid w:val="008371EA"/>
    <w:rsid w:val="008372CC"/>
    <w:rsid w:val="008374E3"/>
    <w:rsid w:val="00837619"/>
    <w:rsid w:val="008376E7"/>
    <w:rsid w:val="00837718"/>
    <w:rsid w:val="0083773B"/>
    <w:rsid w:val="0083797B"/>
    <w:rsid w:val="0083797E"/>
    <w:rsid w:val="00837AA1"/>
    <w:rsid w:val="00837AA2"/>
    <w:rsid w:val="00837B96"/>
    <w:rsid w:val="00837C80"/>
    <w:rsid w:val="00837D6D"/>
    <w:rsid w:val="00837DAE"/>
    <w:rsid w:val="00837E9E"/>
    <w:rsid w:val="0084002C"/>
    <w:rsid w:val="008400A5"/>
    <w:rsid w:val="00840186"/>
    <w:rsid w:val="008401B5"/>
    <w:rsid w:val="00840265"/>
    <w:rsid w:val="0084026B"/>
    <w:rsid w:val="008402EA"/>
    <w:rsid w:val="00840393"/>
    <w:rsid w:val="00840535"/>
    <w:rsid w:val="00840622"/>
    <w:rsid w:val="00840636"/>
    <w:rsid w:val="00840809"/>
    <w:rsid w:val="00840831"/>
    <w:rsid w:val="0084085B"/>
    <w:rsid w:val="0084097B"/>
    <w:rsid w:val="008409E3"/>
    <w:rsid w:val="00840B65"/>
    <w:rsid w:val="00840B82"/>
    <w:rsid w:val="00840DB9"/>
    <w:rsid w:val="00840DC7"/>
    <w:rsid w:val="00840E5A"/>
    <w:rsid w:val="00840E6A"/>
    <w:rsid w:val="00840F79"/>
    <w:rsid w:val="00840F9F"/>
    <w:rsid w:val="00840FA2"/>
    <w:rsid w:val="00840FB7"/>
    <w:rsid w:val="0084100E"/>
    <w:rsid w:val="0084102C"/>
    <w:rsid w:val="0084104A"/>
    <w:rsid w:val="00841063"/>
    <w:rsid w:val="008410A7"/>
    <w:rsid w:val="0084110C"/>
    <w:rsid w:val="0084126D"/>
    <w:rsid w:val="0084128F"/>
    <w:rsid w:val="008413E8"/>
    <w:rsid w:val="008414C8"/>
    <w:rsid w:val="00841502"/>
    <w:rsid w:val="008415BD"/>
    <w:rsid w:val="008415FE"/>
    <w:rsid w:val="008416FC"/>
    <w:rsid w:val="0084173E"/>
    <w:rsid w:val="00841814"/>
    <w:rsid w:val="0084182F"/>
    <w:rsid w:val="0084187E"/>
    <w:rsid w:val="008418A8"/>
    <w:rsid w:val="0084199E"/>
    <w:rsid w:val="008419C6"/>
    <w:rsid w:val="00841A71"/>
    <w:rsid w:val="00841B95"/>
    <w:rsid w:val="00841C37"/>
    <w:rsid w:val="00841C82"/>
    <w:rsid w:val="00841D11"/>
    <w:rsid w:val="00841E6D"/>
    <w:rsid w:val="00841EE3"/>
    <w:rsid w:val="00841F6D"/>
    <w:rsid w:val="00841FB7"/>
    <w:rsid w:val="00841FEF"/>
    <w:rsid w:val="00841FF4"/>
    <w:rsid w:val="0084202D"/>
    <w:rsid w:val="008420A2"/>
    <w:rsid w:val="00842146"/>
    <w:rsid w:val="008421E9"/>
    <w:rsid w:val="0084227D"/>
    <w:rsid w:val="00842436"/>
    <w:rsid w:val="00842443"/>
    <w:rsid w:val="00842488"/>
    <w:rsid w:val="008424D5"/>
    <w:rsid w:val="0084257C"/>
    <w:rsid w:val="0084277E"/>
    <w:rsid w:val="008427F9"/>
    <w:rsid w:val="0084286F"/>
    <w:rsid w:val="00842963"/>
    <w:rsid w:val="00842A9B"/>
    <w:rsid w:val="00842AAE"/>
    <w:rsid w:val="00842AD0"/>
    <w:rsid w:val="00842B3E"/>
    <w:rsid w:val="00842C23"/>
    <w:rsid w:val="00842C6C"/>
    <w:rsid w:val="00842D30"/>
    <w:rsid w:val="00842FD6"/>
    <w:rsid w:val="00842FDA"/>
    <w:rsid w:val="00842FE4"/>
    <w:rsid w:val="0084306E"/>
    <w:rsid w:val="0084315B"/>
    <w:rsid w:val="008431C8"/>
    <w:rsid w:val="0084321E"/>
    <w:rsid w:val="00843372"/>
    <w:rsid w:val="008433F9"/>
    <w:rsid w:val="00843454"/>
    <w:rsid w:val="00843485"/>
    <w:rsid w:val="008434F4"/>
    <w:rsid w:val="00843529"/>
    <w:rsid w:val="008435A3"/>
    <w:rsid w:val="008435E8"/>
    <w:rsid w:val="008436CC"/>
    <w:rsid w:val="00843754"/>
    <w:rsid w:val="0084378D"/>
    <w:rsid w:val="00843828"/>
    <w:rsid w:val="00843880"/>
    <w:rsid w:val="00843888"/>
    <w:rsid w:val="008438B7"/>
    <w:rsid w:val="008438F9"/>
    <w:rsid w:val="00843999"/>
    <w:rsid w:val="00843A42"/>
    <w:rsid w:val="00843AC4"/>
    <w:rsid w:val="00843B06"/>
    <w:rsid w:val="00843B19"/>
    <w:rsid w:val="00843B3D"/>
    <w:rsid w:val="00843B5E"/>
    <w:rsid w:val="00843C52"/>
    <w:rsid w:val="00843C59"/>
    <w:rsid w:val="00843C76"/>
    <w:rsid w:val="00843D28"/>
    <w:rsid w:val="00843D83"/>
    <w:rsid w:val="00843DD7"/>
    <w:rsid w:val="00843E93"/>
    <w:rsid w:val="00843F72"/>
    <w:rsid w:val="008440DA"/>
    <w:rsid w:val="0084413A"/>
    <w:rsid w:val="00844297"/>
    <w:rsid w:val="008442CC"/>
    <w:rsid w:val="008443B1"/>
    <w:rsid w:val="0084445C"/>
    <w:rsid w:val="008444EA"/>
    <w:rsid w:val="00844515"/>
    <w:rsid w:val="00844609"/>
    <w:rsid w:val="00844617"/>
    <w:rsid w:val="00844639"/>
    <w:rsid w:val="008446FE"/>
    <w:rsid w:val="008447DA"/>
    <w:rsid w:val="00844932"/>
    <w:rsid w:val="00844955"/>
    <w:rsid w:val="008449A9"/>
    <w:rsid w:val="00844A38"/>
    <w:rsid w:val="00844A79"/>
    <w:rsid w:val="00844AF0"/>
    <w:rsid w:val="00844BCA"/>
    <w:rsid w:val="00844DB4"/>
    <w:rsid w:val="00844DD9"/>
    <w:rsid w:val="00844EF3"/>
    <w:rsid w:val="00844FCA"/>
    <w:rsid w:val="008450BC"/>
    <w:rsid w:val="0084518B"/>
    <w:rsid w:val="0084519C"/>
    <w:rsid w:val="008451A1"/>
    <w:rsid w:val="008451AC"/>
    <w:rsid w:val="008451FF"/>
    <w:rsid w:val="00845276"/>
    <w:rsid w:val="00845289"/>
    <w:rsid w:val="008452B2"/>
    <w:rsid w:val="008452B6"/>
    <w:rsid w:val="008452EC"/>
    <w:rsid w:val="00845314"/>
    <w:rsid w:val="00845317"/>
    <w:rsid w:val="0084537F"/>
    <w:rsid w:val="008453CB"/>
    <w:rsid w:val="00845428"/>
    <w:rsid w:val="00845430"/>
    <w:rsid w:val="00845432"/>
    <w:rsid w:val="00845434"/>
    <w:rsid w:val="00845435"/>
    <w:rsid w:val="008454E8"/>
    <w:rsid w:val="008454EE"/>
    <w:rsid w:val="008455A8"/>
    <w:rsid w:val="00845701"/>
    <w:rsid w:val="0084579A"/>
    <w:rsid w:val="008457A8"/>
    <w:rsid w:val="008457F6"/>
    <w:rsid w:val="00845825"/>
    <w:rsid w:val="00845AA3"/>
    <w:rsid w:val="00845AAD"/>
    <w:rsid w:val="00845AF0"/>
    <w:rsid w:val="00845B7A"/>
    <w:rsid w:val="00845BC5"/>
    <w:rsid w:val="00845BF3"/>
    <w:rsid w:val="00845C35"/>
    <w:rsid w:val="00845C36"/>
    <w:rsid w:val="00845C6A"/>
    <w:rsid w:val="00845C9B"/>
    <w:rsid w:val="00845CDB"/>
    <w:rsid w:val="00845CF4"/>
    <w:rsid w:val="00845F69"/>
    <w:rsid w:val="00846019"/>
    <w:rsid w:val="00846031"/>
    <w:rsid w:val="00846114"/>
    <w:rsid w:val="00846230"/>
    <w:rsid w:val="00846235"/>
    <w:rsid w:val="0084624D"/>
    <w:rsid w:val="008462A5"/>
    <w:rsid w:val="00846370"/>
    <w:rsid w:val="008463F6"/>
    <w:rsid w:val="0084646F"/>
    <w:rsid w:val="008464AF"/>
    <w:rsid w:val="008465B3"/>
    <w:rsid w:val="008465E7"/>
    <w:rsid w:val="00846620"/>
    <w:rsid w:val="0084662F"/>
    <w:rsid w:val="00846649"/>
    <w:rsid w:val="008466A1"/>
    <w:rsid w:val="00846700"/>
    <w:rsid w:val="008467FB"/>
    <w:rsid w:val="00846801"/>
    <w:rsid w:val="00846824"/>
    <w:rsid w:val="0084695F"/>
    <w:rsid w:val="008469CF"/>
    <w:rsid w:val="008469E3"/>
    <w:rsid w:val="00846A8F"/>
    <w:rsid w:val="00846A9A"/>
    <w:rsid w:val="00846B61"/>
    <w:rsid w:val="00846C1A"/>
    <w:rsid w:val="00846CA7"/>
    <w:rsid w:val="00846DDB"/>
    <w:rsid w:val="00846DFD"/>
    <w:rsid w:val="00846E74"/>
    <w:rsid w:val="00846EB5"/>
    <w:rsid w:val="00846F09"/>
    <w:rsid w:val="00846F29"/>
    <w:rsid w:val="00846F72"/>
    <w:rsid w:val="00846F88"/>
    <w:rsid w:val="00846FCC"/>
    <w:rsid w:val="00847111"/>
    <w:rsid w:val="008471A3"/>
    <w:rsid w:val="008471E5"/>
    <w:rsid w:val="00847249"/>
    <w:rsid w:val="008472BE"/>
    <w:rsid w:val="00847356"/>
    <w:rsid w:val="0084735E"/>
    <w:rsid w:val="00847436"/>
    <w:rsid w:val="008474C3"/>
    <w:rsid w:val="008474DF"/>
    <w:rsid w:val="0084753D"/>
    <w:rsid w:val="0084754E"/>
    <w:rsid w:val="00847554"/>
    <w:rsid w:val="008475AE"/>
    <w:rsid w:val="00847628"/>
    <w:rsid w:val="0084763F"/>
    <w:rsid w:val="0084766B"/>
    <w:rsid w:val="008476BE"/>
    <w:rsid w:val="008476CE"/>
    <w:rsid w:val="00847703"/>
    <w:rsid w:val="00847725"/>
    <w:rsid w:val="0084772F"/>
    <w:rsid w:val="008477FD"/>
    <w:rsid w:val="0084785D"/>
    <w:rsid w:val="008479E8"/>
    <w:rsid w:val="00847A6E"/>
    <w:rsid w:val="00847A8F"/>
    <w:rsid w:val="00847AE8"/>
    <w:rsid w:val="00847AF3"/>
    <w:rsid w:val="00847C1A"/>
    <w:rsid w:val="00847C26"/>
    <w:rsid w:val="00847C47"/>
    <w:rsid w:val="00847DDB"/>
    <w:rsid w:val="00847E21"/>
    <w:rsid w:val="00847E73"/>
    <w:rsid w:val="00847FB5"/>
    <w:rsid w:val="00847FEC"/>
    <w:rsid w:val="00850000"/>
    <w:rsid w:val="00850011"/>
    <w:rsid w:val="00850070"/>
    <w:rsid w:val="008500A3"/>
    <w:rsid w:val="008500B6"/>
    <w:rsid w:val="00850114"/>
    <w:rsid w:val="00850122"/>
    <w:rsid w:val="00850394"/>
    <w:rsid w:val="0085050C"/>
    <w:rsid w:val="00850528"/>
    <w:rsid w:val="00850557"/>
    <w:rsid w:val="008505B9"/>
    <w:rsid w:val="008505D4"/>
    <w:rsid w:val="008505D7"/>
    <w:rsid w:val="008507D2"/>
    <w:rsid w:val="00850A18"/>
    <w:rsid w:val="00850BEC"/>
    <w:rsid w:val="00850C4D"/>
    <w:rsid w:val="00850CB9"/>
    <w:rsid w:val="00850D52"/>
    <w:rsid w:val="00850D7B"/>
    <w:rsid w:val="00850D9C"/>
    <w:rsid w:val="00850E42"/>
    <w:rsid w:val="00850E83"/>
    <w:rsid w:val="00850EDE"/>
    <w:rsid w:val="00850EDF"/>
    <w:rsid w:val="00850EF1"/>
    <w:rsid w:val="008510C3"/>
    <w:rsid w:val="0085117F"/>
    <w:rsid w:val="00851222"/>
    <w:rsid w:val="008512C1"/>
    <w:rsid w:val="008512F5"/>
    <w:rsid w:val="00851300"/>
    <w:rsid w:val="0085131D"/>
    <w:rsid w:val="008514A6"/>
    <w:rsid w:val="00851539"/>
    <w:rsid w:val="008515B0"/>
    <w:rsid w:val="008516E4"/>
    <w:rsid w:val="0085171B"/>
    <w:rsid w:val="00851732"/>
    <w:rsid w:val="0085179B"/>
    <w:rsid w:val="008517BB"/>
    <w:rsid w:val="008517BC"/>
    <w:rsid w:val="008518DA"/>
    <w:rsid w:val="00851995"/>
    <w:rsid w:val="008519BA"/>
    <w:rsid w:val="008519CC"/>
    <w:rsid w:val="00851A15"/>
    <w:rsid w:val="00851AA9"/>
    <w:rsid w:val="00851B0C"/>
    <w:rsid w:val="00851B33"/>
    <w:rsid w:val="00851C0A"/>
    <w:rsid w:val="00851C68"/>
    <w:rsid w:val="00851CC1"/>
    <w:rsid w:val="00851CC6"/>
    <w:rsid w:val="00851CF1"/>
    <w:rsid w:val="00851CF3"/>
    <w:rsid w:val="00851D96"/>
    <w:rsid w:val="00851E15"/>
    <w:rsid w:val="00851EC9"/>
    <w:rsid w:val="00851F07"/>
    <w:rsid w:val="00851F0E"/>
    <w:rsid w:val="00851FE8"/>
    <w:rsid w:val="00852018"/>
    <w:rsid w:val="00852048"/>
    <w:rsid w:val="00852108"/>
    <w:rsid w:val="00852138"/>
    <w:rsid w:val="00852232"/>
    <w:rsid w:val="00852255"/>
    <w:rsid w:val="0085225C"/>
    <w:rsid w:val="00852377"/>
    <w:rsid w:val="0085237A"/>
    <w:rsid w:val="0085243D"/>
    <w:rsid w:val="0085247A"/>
    <w:rsid w:val="008524A9"/>
    <w:rsid w:val="0085252D"/>
    <w:rsid w:val="008525CE"/>
    <w:rsid w:val="008526A7"/>
    <w:rsid w:val="008526E0"/>
    <w:rsid w:val="008529AB"/>
    <w:rsid w:val="00852BC6"/>
    <w:rsid w:val="00852C8B"/>
    <w:rsid w:val="00852DE0"/>
    <w:rsid w:val="00852E75"/>
    <w:rsid w:val="00852F59"/>
    <w:rsid w:val="00852F5E"/>
    <w:rsid w:val="00852FAD"/>
    <w:rsid w:val="008530F5"/>
    <w:rsid w:val="00853177"/>
    <w:rsid w:val="008531B6"/>
    <w:rsid w:val="0085322B"/>
    <w:rsid w:val="00853262"/>
    <w:rsid w:val="008532B7"/>
    <w:rsid w:val="0085331F"/>
    <w:rsid w:val="00853330"/>
    <w:rsid w:val="00853392"/>
    <w:rsid w:val="00853398"/>
    <w:rsid w:val="00853436"/>
    <w:rsid w:val="008534E6"/>
    <w:rsid w:val="0085350C"/>
    <w:rsid w:val="00853662"/>
    <w:rsid w:val="00853772"/>
    <w:rsid w:val="008537B4"/>
    <w:rsid w:val="00853889"/>
    <w:rsid w:val="008538CF"/>
    <w:rsid w:val="0085393C"/>
    <w:rsid w:val="00853947"/>
    <w:rsid w:val="00853A08"/>
    <w:rsid w:val="00853A0F"/>
    <w:rsid w:val="00853ACF"/>
    <w:rsid w:val="00853C0E"/>
    <w:rsid w:val="00853CA5"/>
    <w:rsid w:val="00853D5D"/>
    <w:rsid w:val="00853EA3"/>
    <w:rsid w:val="00853F0E"/>
    <w:rsid w:val="00853F22"/>
    <w:rsid w:val="00853F9E"/>
    <w:rsid w:val="00853FE3"/>
    <w:rsid w:val="00854043"/>
    <w:rsid w:val="00854099"/>
    <w:rsid w:val="0085420F"/>
    <w:rsid w:val="0085424C"/>
    <w:rsid w:val="00854393"/>
    <w:rsid w:val="008545A7"/>
    <w:rsid w:val="008547B6"/>
    <w:rsid w:val="00854828"/>
    <w:rsid w:val="00854925"/>
    <w:rsid w:val="00854B55"/>
    <w:rsid w:val="00854B5A"/>
    <w:rsid w:val="00854C66"/>
    <w:rsid w:val="00854CD1"/>
    <w:rsid w:val="00854D4E"/>
    <w:rsid w:val="00854E23"/>
    <w:rsid w:val="00854EE5"/>
    <w:rsid w:val="00854F14"/>
    <w:rsid w:val="00854F1D"/>
    <w:rsid w:val="00854FAD"/>
    <w:rsid w:val="00855063"/>
    <w:rsid w:val="008550AE"/>
    <w:rsid w:val="00855190"/>
    <w:rsid w:val="008551BF"/>
    <w:rsid w:val="00855203"/>
    <w:rsid w:val="008552B8"/>
    <w:rsid w:val="0085530B"/>
    <w:rsid w:val="0085548B"/>
    <w:rsid w:val="0085549C"/>
    <w:rsid w:val="00855532"/>
    <w:rsid w:val="008555B0"/>
    <w:rsid w:val="00855773"/>
    <w:rsid w:val="00855814"/>
    <w:rsid w:val="00855816"/>
    <w:rsid w:val="00855823"/>
    <w:rsid w:val="00855859"/>
    <w:rsid w:val="008559AE"/>
    <w:rsid w:val="00855A35"/>
    <w:rsid w:val="00855A81"/>
    <w:rsid w:val="00855AAF"/>
    <w:rsid w:val="00855ACC"/>
    <w:rsid w:val="00855BB9"/>
    <w:rsid w:val="00855C6E"/>
    <w:rsid w:val="00855C84"/>
    <w:rsid w:val="00855D73"/>
    <w:rsid w:val="00855DDF"/>
    <w:rsid w:val="00855DE9"/>
    <w:rsid w:val="00855E62"/>
    <w:rsid w:val="00855E71"/>
    <w:rsid w:val="00855EB4"/>
    <w:rsid w:val="00855EEE"/>
    <w:rsid w:val="00855FAA"/>
    <w:rsid w:val="00855FAB"/>
    <w:rsid w:val="00856010"/>
    <w:rsid w:val="00856011"/>
    <w:rsid w:val="00856045"/>
    <w:rsid w:val="0085605A"/>
    <w:rsid w:val="008561F4"/>
    <w:rsid w:val="00856201"/>
    <w:rsid w:val="0085638C"/>
    <w:rsid w:val="0085639C"/>
    <w:rsid w:val="00856438"/>
    <w:rsid w:val="00856501"/>
    <w:rsid w:val="008565EB"/>
    <w:rsid w:val="008566FA"/>
    <w:rsid w:val="0085673A"/>
    <w:rsid w:val="00856770"/>
    <w:rsid w:val="00856800"/>
    <w:rsid w:val="0085681E"/>
    <w:rsid w:val="00856842"/>
    <w:rsid w:val="0085691C"/>
    <w:rsid w:val="0085691D"/>
    <w:rsid w:val="00856A4A"/>
    <w:rsid w:val="00856A66"/>
    <w:rsid w:val="00856AE5"/>
    <w:rsid w:val="00856B42"/>
    <w:rsid w:val="00856BFF"/>
    <w:rsid w:val="00856C80"/>
    <w:rsid w:val="00856CD7"/>
    <w:rsid w:val="00856D90"/>
    <w:rsid w:val="00856E18"/>
    <w:rsid w:val="00856F9A"/>
    <w:rsid w:val="00856FC0"/>
    <w:rsid w:val="008570B7"/>
    <w:rsid w:val="008570C6"/>
    <w:rsid w:val="00857236"/>
    <w:rsid w:val="00857246"/>
    <w:rsid w:val="0085724C"/>
    <w:rsid w:val="00857275"/>
    <w:rsid w:val="00857326"/>
    <w:rsid w:val="00857395"/>
    <w:rsid w:val="008574BE"/>
    <w:rsid w:val="008574E6"/>
    <w:rsid w:val="0085776C"/>
    <w:rsid w:val="008577AF"/>
    <w:rsid w:val="00857801"/>
    <w:rsid w:val="00857898"/>
    <w:rsid w:val="008578C1"/>
    <w:rsid w:val="008578FD"/>
    <w:rsid w:val="0085791D"/>
    <w:rsid w:val="0085793B"/>
    <w:rsid w:val="00857A6F"/>
    <w:rsid w:val="00857A93"/>
    <w:rsid w:val="00857B71"/>
    <w:rsid w:val="00857C49"/>
    <w:rsid w:val="00857DD7"/>
    <w:rsid w:val="00857E04"/>
    <w:rsid w:val="00857F31"/>
    <w:rsid w:val="00857FA5"/>
    <w:rsid w:val="00857FD3"/>
    <w:rsid w:val="00860053"/>
    <w:rsid w:val="00860075"/>
    <w:rsid w:val="00860147"/>
    <w:rsid w:val="00860178"/>
    <w:rsid w:val="0086019C"/>
    <w:rsid w:val="008601C9"/>
    <w:rsid w:val="00860241"/>
    <w:rsid w:val="00860269"/>
    <w:rsid w:val="008604BE"/>
    <w:rsid w:val="008605F2"/>
    <w:rsid w:val="008605FC"/>
    <w:rsid w:val="0086067D"/>
    <w:rsid w:val="008606CA"/>
    <w:rsid w:val="00860719"/>
    <w:rsid w:val="008607A7"/>
    <w:rsid w:val="00860846"/>
    <w:rsid w:val="008608A7"/>
    <w:rsid w:val="00860947"/>
    <w:rsid w:val="00860A00"/>
    <w:rsid w:val="00860A79"/>
    <w:rsid w:val="00860AA2"/>
    <w:rsid w:val="00860AD4"/>
    <w:rsid w:val="00860C74"/>
    <w:rsid w:val="00860DD7"/>
    <w:rsid w:val="00860DF1"/>
    <w:rsid w:val="00860E5F"/>
    <w:rsid w:val="00860ED6"/>
    <w:rsid w:val="00861167"/>
    <w:rsid w:val="00861236"/>
    <w:rsid w:val="008614BC"/>
    <w:rsid w:val="008614D0"/>
    <w:rsid w:val="008614DA"/>
    <w:rsid w:val="00861585"/>
    <w:rsid w:val="008617A4"/>
    <w:rsid w:val="008617E4"/>
    <w:rsid w:val="00861819"/>
    <w:rsid w:val="0086186A"/>
    <w:rsid w:val="00861880"/>
    <w:rsid w:val="008619E7"/>
    <w:rsid w:val="00861ACF"/>
    <w:rsid w:val="00861ADD"/>
    <w:rsid w:val="00861B39"/>
    <w:rsid w:val="00861BEF"/>
    <w:rsid w:val="00861CED"/>
    <w:rsid w:val="00861D56"/>
    <w:rsid w:val="00861FF8"/>
    <w:rsid w:val="00862152"/>
    <w:rsid w:val="00862198"/>
    <w:rsid w:val="008621A0"/>
    <w:rsid w:val="008621C1"/>
    <w:rsid w:val="008621EB"/>
    <w:rsid w:val="008621FC"/>
    <w:rsid w:val="00862332"/>
    <w:rsid w:val="0086238C"/>
    <w:rsid w:val="008623BB"/>
    <w:rsid w:val="00862451"/>
    <w:rsid w:val="008624E8"/>
    <w:rsid w:val="0086255A"/>
    <w:rsid w:val="008625F1"/>
    <w:rsid w:val="00862620"/>
    <w:rsid w:val="008626E3"/>
    <w:rsid w:val="008627CC"/>
    <w:rsid w:val="008627F5"/>
    <w:rsid w:val="00862828"/>
    <w:rsid w:val="0086282B"/>
    <w:rsid w:val="0086285E"/>
    <w:rsid w:val="00862879"/>
    <w:rsid w:val="008629A5"/>
    <w:rsid w:val="00862B5C"/>
    <w:rsid w:val="00862BAE"/>
    <w:rsid w:val="00862BCA"/>
    <w:rsid w:val="00862C2E"/>
    <w:rsid w:val="00862C4A"/>
    <w:rsid w:val="00862C51"/>
    <w:rsid w:val="00862C61"/>
    <w:rsid w:val="00862CCA"/>
    <w:rsid w:val="00862CD5"/>
    <w:rsid w:val="00862FA9"/>
    <w:rsid w:val="008630FB"/>
    <w:rsid w:val="008632AB"/>
    <w:rsid w:val="00863326"/>
    <w:rsid w:val="00863330"/>
    <w:rsid w:val="00863351"/>
    <w:rsid w:val="0086336E"/>
    <w:rsid w:val="008633A8"/>
    <w:rsid w:val="008634B3"/>
    <w:rsid w:val="00863533"/>
    <w:rsid w:val="008635B0"/>
    <w:rsid w:val="008635E5"/>
    <w:rsid w:val="00863637"/>
    <w:rsid w:val="00863703"/>
    <w:rsid w:val="0086373B"/>
    <w:rsid w:val="0086374B"/>
    <w:rsid w:val="00863785"/>
    <w:rsid w:val="008637C6"/>
    <w:rsid w:val="008637C8"/>
    <w:rsid w:val="0086381C"/>
    <w:rsid w:val="0086384A"/>
    <w:rsid w:val="0086392B"/>
    <w:rsid w:val="008639E1"/>
    <w:rsid w:val="00863A23"/>
    <w:rsid w:val="00863A77"/>
    <w:rsid w:val="00863B61"/>
    <w:rsid w:val="00863BDC"/>
    <w:rsid w:val="00863BE6"/>
    <w:rsid w:val="00863C2E"/>
    <w:rsid w:val="00863C93"/>
    <w:rsid w:val="00863CFB"/>
    <w:rsid w:val="00863DD7"/>
    <w:rsid w:val="00863E0D"/>
    <w:rsid w:val="00863E0E"/>
    <w:rsid w:val="00863E53"/>
    <w:rsid w:val="00863E97"/>
    <w:rsid w:val="00863F50"/>
    <w:rsid w:val="0086404B"/>
    <w:rsid w:val="00864095"/>
    <w:rsid w:val="0086416D"/>
    <w:rsid w:val="008642AC"/>
    <w:rsid w:val="008643C3"/>
    <w:rsid w:val="00864550"/>
    <w:rsid w:val="008645F5"/>
    <w:rsid w:val="0086460A"/>
    <w:rsid w:val="00864658"/>
    <w:rsid w:val="00864695"/>
    <w:rsid w:val="00864987"/>
    <w:rsid w:val="00864AF6"/>
    <w:rsid w:val="00864B00"/>
    <w:rsid w:val="00864B4C"/>
    <w:rsid w:val="00864B6C"/>
    <w:rsid w:val="00864BC0"/>
    <w:rsid w:val="00864C95"/>
    <w:rsid w:val="00864CA8"/>
    <w:rsid w:val="00864CB3"/>
    <w:rsid w:val="00864CEC"/>
    <w:rsid w:val="00864D53"/>
    <w:rsid w:val="00864DE4"/>
    <w:rsid w:val="00864E86"/>
    <w:rsid w:val="00864EFD"/>
    <w:rsid w:val="00864FC6"/>
    <w:rsid w:val="00865096"/>
    <w:rsid w:val="008651D1"/>
    <w:rsid w:val="008651FF"/>
    <w:rsid w:val="008652C3"/>
    <w:rsid w:val="008652F1"/>
    <w:rsid w:val="0086547F"/>
    <w:rsid w:val="0086551B"/>
    <w:rsid w:val="00865528"/>
    <w:rsid w:val="008655A7"/>
    <w:rsid w:val="0086563C"/>
    <w:rsid w:val="00865675"/>
    <w:rsid w:val="008656AD"/>
    <w:rsid w:val="00865753"/>
    <w:rsid w:val="0086576C"/>
    <w:rsid w:val="00865840"/>
    <w:rsid w:val="0086584E"/>
    <w:rsid w:val="00865882"/>
    <w:rsid w:val="008658A8"/>
    <w:rsid w:val="008658C3"/>
    <w:rsid w:val="008658EA"/>
    <w:rsid w:val="0086596B"/>
    <w:rsid w:val="00865997"/>
    <w:rsid w:val="00865A07"/>
    <w:rsid w:val="00865B10"/>
    <w:rsid w:val="00865CA6"/>
    <w:rsid w:val="00865F6D"/>
    <w:rsid w:val="00866146"/>
    <w:rsid w:val="008661A6"/>
    <w:rsid w:val="008661E1"/>
    <w:rsid w:val="00866224"/>
    <w:rsid w:val="00866250"/>
    <w:rsid w:val="00866348"/>
    <w:rsid w:val="008663DE"/>
    <w:rsid w:val="00866525"/>
    <w:rsid w:val="00866537"/>
    <w:rsid w:val="008665B2"/>
    <w:rsid w:val="0086665D"/>
    <w:rsid w:val="008668CC"/>
    <w:rsid w:val="00866A0B"/>
    <w:rsid w:val="00866B16"/>
    <w:rsid w:val="00866B6B"/>
    <w:rsid w:val="00866C24"/>
    <w:rsid w:val="00866D6F"/>
    <w:rsid w:val="00866D80"/>
    <w:rsid w:val="00866E09"/>
    <w:rsid w:val="00866E38"/>
    <w:rsid w:val="00866EA8"/>
    <w:rsid w:val="00866F40"/>
    <w:rsid w:val="00866F6E"/>
    <w:rsid w:val="00866F8F"/>
    <w:rsid w:val="00867026"/>
    <w:rsid w:val="0086713C"/>
    <w:rsid w:val="0086718C"/>
    <w:rsid w:val="0086718D"/>
    <w:rsid w:val="00867208"/>
    <w:rsid w:val="0086723F"/>
    <w:rsid w:val="008672FC"/>
    <w:rsid w:val="008672FF"/>
    <w:rsid w:val="00867394"/>
    <w:rsid w:val="00867415"/>
    <w:rsid w:val="00867468"/>
    <w:rsid w:val="00867486"/>
    <w:rsid w:val="008674AA"/>
    <w:rsid w:val="008674AC"/>
    <w:rsid w:val="008674B2"/>
    <w:rsid w:val="00867526"/>
    <w:rsid w:val="00867605"/>
    <w:rsid w:val="0086762F"/>
    <w:rsid w:val="00867635"/>
    <w:rsid w:val="008676E2"/>
    <w:rsid w:val="0086771E"/>
    <w:rsid w:val="0086777B"/>
    <w:rsid w:val="0086779A"/>
    <w:rsid w:val="008677F5"/>
    <w:rsid w:val="00867850"/>
    <w:rsid w:val="008679DA"/>
    <w:rsid w:val="008679DE"/>
    <w:rsid w:val="00867A3B"/>
    <w:rsid w:val="00867AC2"/>
    <w:rsid w:val="00867BBD"/>
    <w:rsid w:val="00867C1F"/>
    <w:rsid w:val="00867C34"/>
    <w:rsid w:val="00867C5F"/>
    <w:rsid w:val="00867CC9"/>
    <w:rsid w:val="00867D97"/>
    <w:rsid w:val="00867DE1"/>
    <w:rsid w:val="00867F97"/>
    <w:rsid w:val="00867FA0"/>
    <w:rsid w:val="0086A625"/>
    <w:rsid w:val="00870079"/>
    <w:rsid w:val="00870156"/>
    <w:rsid w:val="0087019D"/>
    <w:rsid w:val="008702C7"/>
    <w:rsid w:val="00870367"/>
    <w:rsid w:val="0087048A"/>
    <w:rsid w:val="00870544"/>
    <w:rsid w:val="00870602"/>
    <w:rsid w:val="00870624"/>
    <w:rsid w:val="0087065E"/>
    <w:rsid w:val="008706A6"/>
    <w:rsid w:val="0087075E"/>
    <w:rsid w:val="0087078D"/>
    <w:rsid w:val="008709C3"/>
    <w:rsid w:val="00870A34"/>
    <w:rsid w:val="00870AA0"/>
    <w:rsid w:val="00870AAF"/>
    <w:rsid w:val="00870B17"/>
    <w:rsid w:val="00870BCC"/>
    <w:rsid w:val="00870C0C"/>
    <w:rsid w:val="00870D07"/>
    <w:rsid w:val="00870E2D"/>
    <w:rsid w:val="00870F96"/>
    <w:rsid w:val="008710A7"/>
    <w:rsid w:val="008710EE"/>
    <w:rsid w:val="008710FA"/>
    <w:rsid w:val="00871145"/>
    <w:rsid w:val="008711BF"/>
    <w:rsid w:val="0087120F"/>
    <w:rsid w:val="00871292"/>
    <w:rsid w:val="008712FA"/>
    <w:rsid w:val="00871304"/>
    <w:rsid w:val="008713C2"/>
    <w:rsid w:val="0087146C"/>
    <w:rsid w:val="008714B9"/>
    <w:rsid w:val="00871510"/>
    <w:rsid w:val="00871524"/>
    <w:rsid w:val="00871635"/>
    <w:rsid w:val="00871654"/>
    <w:rsid w:val="008716B3"/>
    <w:rsid w:val="00871700"/>
    <w:rsid w:val="008717E7"/>
    <w:rsid w:val="00871807"/>
    <w:rsid w:val="008718D4"/>
    <w:rsid w:val="008718E7"/>
    <w:rsid w:val="008718FA"/>
    <w:rsid w:val="0087193E"/>
    <w:rsid w:val="00871946"/>
    <w:rsid w:val="00871A29"/>
    <w:rsid w:val="00871A72"/>
    <w:rsid w:val="00871B2A"/>
    <w:rsid w:val="00871BB6"/>
    <w:rsid w:val="00871C44"/>
    <w:rsid w:val="00871C97"/>
    <w:rsid w:val="00871CB4"/>
    <w:rsid w:val="00871D9D"/>
    <w:rsid w:val="00871E35"/>
    <w:rsid w:val="00871ED3"/>
    <w:rsid w:val="00871F1A"/>
    <w:rsid w:val="00871FDF"/>
    <w:rsid w:val="0087204B"/>
    <w:rsid w:val="00872200"/>
    <w:rsid w:val="00872245"/>
    <w:rsid w:val="008722ED"/>
    <w:rsid w:val="00872485"/>
    <w:rsid w:val="008724D2"/>
    <w:rsid w:val="008724E1"/>
    <w:rsid w:val="008725B3"/>
    <w:rsid w:val="008725B8"/>
    <w:rsid w:val="008726C7"/>
    <w:rsid w:val="00872716"/>
    <w:rsid w:val="00872767"/>
    <w:rsid w:val="00872802"/>
    <w:rsid w:val="0087295B"/>
    <w:rsid w:val="0087298C"/>
    <w:rsid w:val="00872994"/>
    <w:rsid w:val="00872998"/>
    <w:rsid w:val="008729AC"/>
    <w:rsid w:val="008729B4"/>
    <w:rsid w:val="008729F8"/>
    <w:rsid w:val="00872A20"/>
    <w:rsid w:val="00872A9F"/>
    <w:rsid w:val="00872AB9"/>
    <w:rsid w:val="00872BCB"/>
    <w:rsid w:val="00872C3A"/>
    <w:rsid w:val="00872C55"/>
    <w:rsid w:val="00872CBD"/>
    <w:rsid w:val="00872DFD"/>
    <w:rsid w:val="00872E5C"/>
    <w:rsid w:val="00872EB7"/>
    <w:rsid w:val="008730DE"/>
    <w:rsid w:val="008730F3"/>
    <w:rsid w:val="00873134"/>
    <w:rsid w:val="00873162"/>
    <w:rsid w:val="008731BA"/>
    <w:rsid w:val="008731D4"/>
    <w:rsid w:val="00873200"/>
    <w:rsid w:val="00873203"/>
    <w:rsid w:val="00873463"/>
    <w:rsid w:val="00873466"/>
    <w:rsid w:val="008734A8"/>
    <w:rsid w:val="008734C6"/>
    <w:rsid w:val="008734CA"/>
    <w:rsid w:val="0087353F"/>
    <w:rsid w:val="008735CE"/>
    <w:rsid w:val="008735DE"/>
    <w:rsid w:val="00873608"/>
    <w:rsid w:val="00873670"/>
    <w:rsid w:val="00873753"/>
    <w:rsid w:val="008737F8"/>
    <w:rsid w:val="0087385F"/>
    <w:rsid w:val="008738A5"/>
    <w:rsid w:val="008739BA"/>
    <w:rsid w:val="00873A91"/>
    <w:rsid w:val="00873AC1"/>
    <w:rsid w:val="00873B04"/>
    <w:rsid w:val="00873BE0"/>
    <w:rsid w:val="00873D15"/>
    <w:rsid w:val="00873EBA"/>
    <w:rsid w:val="00873ECF"/>
    <w:rsid w:val="00873F44"/>
    <w:rsid w:val="00873FEF"/>
    <w:rsid w:val="00874004"/>
    <w:rsid w:val="008741ED"/>
    <w:rsid w:val="008742F2"/>
    <w:rsid w:val="00874324"/>
    <w:rsid w:val="008743E7"/>
    <w:rsid w:val="0087455E"/>
    <w:rsid w:val="00874657"/>
    <w:rsid w:val="0087467B"/>
    <w:rsid w:val="00874699"/>
    <w:rsid w:val="008746D8"/>
    <w:rsid w:val="00874731"/>
    <w:rsid w:val="0087476B"/>
    <w:rsid w:val="008747D9"/>
    <w:rsid w:val="00874851"/>
    <w:rsid w:val="008748A4"/>
    <w:rsid w:val="00874A22"/>
    <w:rsid w:val="00874A8D"/>
    <w:rsid w:val="00874AD2"/>
    <w:rsid w:val="00874BA3"/>
    <w:rsid w:val="00874BFC"/>
    <w:rsid w:val="00874C17"/>
    <w:rsid w:val="00874C5C"/>
    <w:rsid w:val="00874C9C"/>
    <w:rsid w:val="00874CA0"/>
    <w:rsid w:val="00874CCC"/>
    <w:rsid w:val="00874F66"/>
    <w:rsid w:val="00875032"/>
    <w:rsid w:val="0087513D"/>
    <w:rsid w:val="00875155"/>
    <w:rsid w:val="00875160"/>
    <w:rsid w:val="00875218"/>
    <w:rsid w:val="008752A8"/>
    <w:rsid w:val="008753CF"/>
    <w:rsid w:val="008753EE"/>
    <w:rsid w:val="008753F0"/>
    <w:rsid w:val="00875422"/>
    <w:rsid w:val="0087544E"/>
    <w:rsid w:val="00875481"/>
    <w:rsid w:val="008754A9"/>
    <w:rsid w:val="008754CC"/>
    <w:rsid w:val="008754E2"/>
    <w:rsid w:val="008754F2"/>
    <w:rsid w:val="0087552A"/>
    <w:rsid w:val="008755AD"/>
    <w:rsid w:val="008756DF"/>
    <w:rsid w:val="00875716"/>
    <w:rsid w:val="0087574C"/>
    <w:rsid w:val="008758DA"/>
    <w:rsid w:val="00875A0C"/>
    <w:rsid w:val="00875A31"/>
    <w:rsid w:val="00875AD2"/>
    <w:rsid w:val="00875BF7"/>
    <w:rsid w:val="00875C6E"/>
    <w:rsid w:val="00875C95"/>
    <w:rsid w:val="00875CE8"/>
    <w:rsid w:val="00875D77"/>
    <w:rsid w:val="00875D89"/>
    <w:rsid w:val="00875DC4"/>
    <w:rsid w:val="00875EE1"/>
    <w:rsid w:val="00875F96"/>
    <w:rsid w:val="00876011"/>
    <w:rsid w:val="00876136"/>
    <w:rsid w:val="00876193"/>
    <w:rsid w:val="00876342"/>
    <w:rsid w:val="008763BD"/>
    <w:rsid w:val="008763D0"/>
    <w:rsid w:val="008765D3"/>
    <w:rsid w:val="00876837"/>
    <w:rsid w:val="00876845"/>
    <w:rsid w:val="00876893"/>
    <w:rsid w:val="0087694D"/>
    <w:rsid w:val="0087695E"/>
    <w:rsid w:val="008769A5"/>
    <w:rsid w:val="00876A71"/>
    <w:rsid w:val="00876A95"/>
    <w:rsid w:val="00876B27"/>
    <w:rsid w:val="00876D18"/>
    <w:rsid w:val="00876E24"/>
    <w:rsid w:val="00876E38"/>
    <w:rsid w:val="00876E8D"/>
    <w:rsid w:val="00876E91"/>
    <w:rsid w:val="00876EFB"/>
    <w:rsid w:val="00876F72"/>
    <w:rsid w:val="00876FCB"/>
    <w:rsid w:val="0087700D"/>
    <w:rsid w:val="0087711F"/>
    <w:rsid w:val="00877132"/>
    <w:rsid w:val="00877179"/>
    <w:rsid w:val="008771EB"/>
    <w:rsid w:val="00877235"/>
    <w:rsid w:val="0087724C"/>
    <w:rsid w:val="008772BD"/>
    <w:rsid w:val="00877340"/>
    <w:rsid w:val="008773C0"/>
    <w:rsid w:val="008775FE"/>
    <w:rsid w:val="0087784C"/>
    <w:rsid w:val="00877854"/>
    <w:rsid w:val="00877961"/>
    <w:rsid w:val="00877995"/>
    <w:rsid w:val="00877A47"/>
    <w:rsid w:val="00877AFE"/>
    <w:rsid w:val="00877B0F"/>
    <w:rsid w:val="00877B17"/>
    <w:rsid w:val="00877B64"/>
    <w:rsid w:val="00877B70"/>
    <w:rsid w:val="00877B81"/>
    <w:rsid w:val="00877C49"/>
    <w:rsid w:val="00877F89"/>
    <w:rsid w:val="00877F93"/>
    <w:rsid w:val="00877FE3"/>
    <w:rsid w:val="00880051"/>
    <w:rsid w:val="008800E4"/>
    <w:rsid w:val="00880129"/>
    <w:rsid w:val="0088014A"/>
    <w:rsid w:val="00880248"/>
    <w:rsid w:val="008802A9"/>
    <w:rsid w:val="008802BA"/>
    <w:rsid w:val="008802E7"/>
    <w:rsid w:val="00880328"/>
    <w:rsid w:val="008803D2"/>
    <w:rsid w:val="0088045B"/>
    <w:rsid w:val="00880578"/>
    <w:rsid w:val="008805D4"/>
    <w:rsid w:val="00880663"/>
    <w:rsid w:val="00880693"/>
    <w:rsid w:val="008806D4"/>
    <w:rsid w:val="0088075F"/>
    <w:rsid w:val="008807ED"/>
    <w:rsid w:val="00880858"/>
    <w:rsid w:val="00880942"/>
    <w:rsid w:val="00880B1A"/>
    <w:rsid w:val="00880B5B"/>
    <w:rsid w:val="00880B78"/>
    <w:rsid w:val="00880BF6"/>
    <w:rsid w:val="00880C44"/>
    <w:rsid w:val="00880D00"/>
    <w:rsid w:val="00880E50"/>
    <w:rsid w:val="00880EA5"/>
    <w:rsid w:val="00880EAD"/>
    <w:rsid w:val="00880ECF"/>
    <w:rsid w:val="00880F88"/>
    <w:rsid w:val="00880FB9"/>
    <w:rsid w:val="0088102B"/>
    <w:rsid w:val="00881045"/>
    <w:rsid w:val="00881081"/>
    <w:rsid w:val="00881243"/>
    <w:rsid w:val="008812BC"/>
    <w:rsid w:val="008812E3"/>
    <w:rsid w:val="00881310"/>
    <w:rsid w:val="00881402"/>
    <w:rsid w:val="0088145B"/>
    <w:rsid w:val="0088145D"/>
    <w:rsid w:val="008816BD"/>
    <w:rsid w:val="008816D9"/>
    <w:rsid w:val="0088174C"/>
    <w:rsid w:val="008817D0"/>
    <w:rsid w:val="00881816"/>
    <w:rsid w:val="00881820"/>
    <w:rsid w:val="008818C5"/>
    <w:rsid w:val="00881986"/>
    <w:rsid w:val="008819B7"/>
    <w:rsid w:val="00881A22"/>
    <w:rsid w:val="00881AD9"/>
    <w:rsid w:val="00881BB3"/>
    <w:rsid w:val="00881BC4"/>
    <w:rsid w:val="00881C7B"/>
    <w:rsid w:val="00881CF3"/>
    <w:rsid w:val="00881CFB"/>
    <w:rsid w:val="00881D05"/>
    <w:rsid w:val="00881E2A"/>
    <w:rsid w:val="00881EA0"/>
    <w:rsid w:val="00881EAC"/>
    <w:rsid w:val="00881F2F"/>
    <w:rsid w:val="00881F8D"/>
    <w:rsid w:val="00881FEF"/>
    <w:rsid w:val="00882002"/>
    <w:rsid w:val="0088211D"/>
    <w:rsid w:val="0088213B"/>
    <w:rsid w:val="008821D7"/>
    <w:rsid w:val="008821F1"/>
    <w:rsid w:val="00882222"/>
    <w:rsid w:val="00882226"/>
    <w:rsid w:val="008822BF"/>
    <w:rsid w:val="00882437"/>
    <w:rsid w:val="00882464"/>
    <w:rsid w:val="0088246B"/>
    <w:rsid w:val="00882589"/>
    <w:rsid w:val="008825A3"/>
    <w:rsid w:val="008825CA"/>
    <w:rsid w:val="008825E7"/>
    <w:rsid w:val="00882630"/>
    <w:rsid w:val="008827B8"/>
    <w:rsid w:val="008827EB"/>
    <w:rsid w:val="0088290C"/>
    <w:rsid w:val="0088298F"/>
    <w:rsid w:val="008829A1"/>
    <w:rsid w:val="00882A61"/>
    <w:rsid w:val="00882BFE"/>
    <w:rsid w:val="00882C40"/>
    <w:rsid w:val="00882D64"/>
    <w:rsid w:val="00882D95"/>
    <w:rsid w:val="00882F35"/>
    <w:rsid w:val="00882FCD"/>
    <w:rsid w:val="0088307E"/>
    <w:rsid w:val="0088309A"/>
    <w:rsid w:val="00883142"/>
    <w:rsid w:val="0088317B"/>
    <w:rsid w:val="00883218"/>
    <w:rsid w:val="008832F4"/>
    <w:rsid w:val="0088342D"/>
    <w:rsid w:val="0088344C"/>
    <w:rsid w:val="00883459"/>
    <w:rsid w:val="0088348E"/>
    <w:rsid w:val="008834C7"/>
    <w:rsid w:val="008834CB"/>
    <w:rsid w:val="008835F9"/>
    <w:rsid w:val="00883619"/>
    <w:rsid w:val="0088361D"/>
    <w:rsid w:val="008836D0"/>
    <w:rsid w:val="008837B1"/>
    <w:rsid w:val="008837DE"/>
    <w:rsid w:val="008837E2"/>
    <w:rsid w:val="0088386F"/>
    <w:rsid w:val="008838DB"/>
    <w:rsid w:val="00883907"/>
    <w:rsid w:val="00883923"/>
    <w:rsid w:val="00883A29"/>
    <w:rsid w:val="00883A3C"/>
    <w:rsid w:val="00883A67"/>
    <w:rsid w:val="00883A7F"/>
    <w:rsid w:val="00883B44"/>
    <w:rsid w:val="00883B78"/>
    <w:rsid w:val="00883BD4"/>
    <w:rsid w:val="00883BD9"/>
    <w:rsid w:val="00883BEE"/>
    <w:rsid w:val="00883CCC"/>
    <w:rsid w:val="00883D60"/>
    <w:rsid w:val="00883D62"/>
    <w:rsid w:val="00883DED"/>
    <w:rsid w:val="00883E02"/>
    <w:rsid w:val="00883E27"/>
    <w:rsid w:val="00883EB1"/>
    <w:rsid w:val="00883F72"/>
    <w:rsid w:val="00883FF3"/>
    <w:rsid w:val="0088400E"/>
    <w:rsid w:val="00884037"/>
    <w:rsid w:val="00884094"/>
    <w:rsid w:val="008841AA"/>
    <w:rsid w:val="00884203"/>
    <w:rsid w:val="0088421C"/>
    <w:rsid w:val="00884237"/>
    <w:rsid w:val="00884244"/>
    <w:rsid w:val="00884319"/>
    <w:rsid w:val="00884369"/>
    <w:rsid w:val="008843BB"/>
    <w:rsid w:val="0088449C"/>
    <w:rsid w:val="00884555"/>
    <w:rsid w:val="008845AA"/>
    <w:rsid w:val="0088466C"/>
    <w:rsid w:val="008846A6"/>
    <w:rsid w:val="008846BC"/>
    <w:rsid w:val="008846D8"/>
    <w:rsid w:val="00884726"/>
    <w:rsid w:val="008847CD"/>
    <w:rsid w:val="0088486E"/>
    <w:rsid w:val="0088488F"/>
    <w:rsid w:val="008848A9"/>
    <w:rsid w:val="008848D5"/>
    <w:rsid w:val="00884B9A"/>
    <w:rsid w:val="00884C39"/>
    <w:rsid w:val="00884D9E"/>
    <w:rsid w:val="00884DC7"/>
    <w:rsid w:val="00884DCE"/>
    <w:rsid w:val="00885007"/>
    <w:rsid w:val="00885068"/>
    <w:rsid w:val="00885084"/>
    <w:rsid w:val="008851CE"/>
    <w:rsid w:val="008851DC"/>
    <w:rsid w:val="0088520E"/>
    <w:rsid w:val="0088523A"/>
    <w:rsid w:val="008852E6"/>
    <w:rsid w:val="00885486"/>
    <w:rsid w:val="00885521"/>
    <w:rsid w:val="008855ED"/>
    <w:rsid w:val="0088566A"/>
    <w:rsid w:val="008856D9"/>
    <w:rsid w:val="00885829"/>
    <w:rsid w:val="00885832"/>
    <w:rsid w:val="008858F7"/>
    <w:rsid w:val="0088594F"/>
    <w:rsid w:val="00885A18"/>
    <w:rsid w:val="00885A84"/>
    <w:rsid w:val="00885AC0"/>
    <w:rsid w:val="00885AE1"/>
    <w:rsid w:val="00885C40"/>
    <w:rsid w:val="00885D45"/>
    <w:rsid w:val="00885D9B"/>
    <w:rsid w:val="00885DC2"/>
    <w:rsid w:val="00885E2A"/>
    <w:rsid w:val="00885F5B"/>
    <w:rsid w:val="00886039"/>
    <w:rsid w:val="00886177"/>
    <w:rsid w:val="008861DC"/>
    <w:rsid w:val="0088623B"/>
    <w:rsid w:val="00886247"/>
    <w:rsid w:val="00886273"/>
    <w:rsid w:val="00886298"/>
    <w:rsid w:val="008862B7"/>
    <w:rsid w:val="00886357"/>
    <w:rsid w:val="00886435"/>
    <w:rsid w:val="0088644C"/>
    <w:rsid w:val="00886510"/>
    <w:rsid w:val="00886564"/>
    <w:rsid w:val="008865C2"/>
    <w:rsid w:val="008865DD"/>
    <w:rsid w:val="008865E3"/>
    <w:rsid w:val="008865FC"/>
    <w:rsid w:val="00886690"/>
    <w:rsid w:val="0088669D"/>
    <w:rsid w:val="008866CD"/>
    <w:rsid w:val="008866D0"/>
    <w:rsid w:val="008867E0"/>
    <w:rsid w:val="0088681F"/>
    <w:rsid w:val="00886824"/>
    <w:rsid w:val="00886927"/>
    <w:rsid w:val="00886AEC"/>
    <w:rsid w:val="00886B2C"/>
    <w:rsid w:val="00886B8C"/>
    <w:rsid w:val="00886BC3"/>
    <w:rsid w:val="00886C60"/>
    <w:rsid w:val="00886D45"/>
    <w:rsid w:val="00886D65"/>
    <w:rsid w:val="00886E0C"/>
    <w:rsid w:val="00886EC9"/>
    <w:rsid w:val="00886ED4"/>
    <w:rsid w:val="00886EE6"/>
    <w:rsid w:val="00886F89"/>
    <w:rsid w:val="00886FF3"/>
    <w:rsid w:val="00887139"/>
    <w:rsid w:val="008872F8"/>
    <w:rsid w:val="00887301"/>
    <w:rsid w:val="0088733E"/>
    <w:rsid w:val="008873FD"/>
    <w:rsid w:val="00887407"/>
    <w:rsid w:val="00887463"/>
    <w:rsid w:val="00887491"/>
    <w:rsid w:val="008874DF"/>
    <w:rsid w:val="008875EA"/>
    <w:rsid w:val="0088769C"/>
    <w:rsid w:val="008876E0"/>
    <w:rsid w:val="00887774"/>
    <w:rsid w:val="00887872"/>
    <w:rsid w:val="008878AC"/>
    <w:rsid w:val="0088790A"/>
    <w:rsid w:val="00887948"/>
    <w:rsid w:val="00887A07"/>
    <w:rsid w:val="00887AA5"/>
    <w:rsid w:val="00887C5D"/>
    <w:rsid w:val="00887CB1"/>
    <w:rsid w:val="00887D72"/>
    <w:rsid w:val="00887DE5"/>
    <w:rsid w:val="00887F83"/>
    <w:rsid w:val="00890182"/>
    <w:rsid w:val="008901A2"/>
    <w:rsid w:val="008901C4"/>
    <w:rsid w:val="008901D0"/>
    <w:rsid w:val="00890244"/>
    <w:rsid w:val="008902AC"/>
    <w:rsid w:val="00890397"/>
    <w:rsid w:val="00890472"/>
    <w:rsid w:val="008904D5"/>
    <w:rsid w:val="008904DF"/>
    <w:rsid w:val="0089052E"/>
    <w:rsid w:val="008905E5"/>
    <w:rsid w:val="00890614"/>
    <w:rsid w:val="00890656"/>
    <w:rsid w:val="0089067E"/>
    <w:rsid w:val="008906C7"/>
    <w:rsid w:val="00890721"/>
    <w:rsid w:val="0089075E"/>
    <w:rsid w:val="008907BD"/>
    <w:rsid w:val="00890947"/>
    <w:rsid w:val="0089094A"/>
    <w:rsid w:val="008909D4"/>
    <w:rsid w:val="008909DC"/>
    <w:rsid w:val="00890B16"/>
    <w:rsid w:val="00890BBD"/>
    <w:rsid w:val="00890BC0"/>
    <w:rsid w:val="00890BC3"/>
    <w:rsid w:val="00890BC8"/>
    <w:rsid w:val="00890BD8"/>
    <w:rsid w:val="00890C5D"/>
    <w:rsid w:val="00890D46"/>
    <w:rsid w:val="00890D9C"/>
    <w:rsid w:val="00890DCA"/>
    <w:rsid w:val="00890DCC"/>
    <w:rsid w:val="00890E8B"/>
    <w:rsid w:val="00890F55"/>
    <w:rsid w:val="00891012"/>
    <w:rsid w:val="0089105F"/>
    <w:rsid w:val="0089106D"/>
    <w:rsid w:val="0089109E"/>
    <w:rsid w:val="008910D8"/>
    <w:rsid w:val="00891167"/>
    <w:rsid w:val="00891214"/>
    <w:rsid w:val="0089133D"/>
    <w:rsid w:val="00891424"/>
    <w:rsid w:val="00891459"/>
    <w:rsid w:val="00891490"/>
    <w:rsid w:val="00891606"/>
    <w:rsid w:val="0089167C"/>
    <w:rsid w:val="0089173A"/>
    <w:rsid w:val="008917A3"/>
    <w:rsid w:val="008917F0"/>
    <w:rsid w:val="00891A6A"/>
    <w:rsid w:val="00891B41"/>
    <w:rsid w:val="00891C3A"/>
    <w:rsid w:val="00891D40"/>
    <w:rsid w:val="00891D57"/>
    <w:rsid w:val="00891E86"/>
    <w:rsid w:val="00891E87"/>
    <w:rsid w:val="00891EBA"/>
    <w:rsid w:val="00891EF5"/>
    <w:rsid w:val="00891F1C"/>
    <w:rsid w:val="00891F6C"/>
    <w:rsid w:val="0089200D"/>
    <w:rsid w:val="00892041"/>
    <w:rsid w:val="00892059"/>
    <w:rsid w:val="008920E7"/>
    <w:rsid w:val="00892297"/>
    <w:rsid w:val="008923AA"/>
    <w:rsid w:val="00892436"/>
    <w:rsid w:val="0089243A"/>
    <w:rsid w:val="008925DC"/>
    <w:rsid w:val="00892680"/>
    <w:rsid w:val="0089271A"/>
    <w:rsid w:val="0089272E"/>
    <w:rsid w:val="0089297C"/>
    <w:rsid w:val="00892A48"/>
    <w:rsid w:val="00892A50"/>
    <w:rsid w:val="00892AA0"/>
    <w:rsid w:val="00892AC0"/>
    <w:rsid w:val="00892AFE"/>
    <w:rsid w:val="00892BA3"/>
    <w:rsid w:val="00892BD4"/>
    <w:rsid w:val="00892BD6"/>
    <w:rsid w:val="00892C5D"/>
    <w:rsid w:val="00892C65"/>
    <w:rsid w:val="00892CEF"/>
    <w:rsid w:val="00892D93"/>
    <w:rsid w:val="00892DF2"/>
    <w:rsid w:val="00892E7E"/>
    <w:rsid w:val="00892ED8"/>
    <w:rsid w:val="00892EEE"/>
    <w:rsid w:val="00892F24"/>
    <w:rsid w:val="00892FEA"/>
    <w:rsid w:val="00892FFA"/>
    <w:rsid w:val="00893088"/>
    <w:rsid w:val="00893134"/>
    <w:rsid w:val="00893156"/>
    <w:rsid w:val="0089316E"/>
    <w:rsid w:val="00893176"/>
    <w:rsid w:val="008931B2"/>
    <w:rsid w:val="008932A0"/>
    <w:rsid w:val="0089333A"/>
    <w:rsid w:val="00893347"/>
    <w:rsid w:val="008933D3"/>
    <w:rsid w:val="0089343E"/>
    <w:rsid w:val="0089344F"/>
    <w:rsid w:val="008934C8"/>
    <w:rsid w:val="0089351E"/>
    <w:rsid w:val="00893793"/>
    <w:rsid w:val="00893887"/>
    <w:rsid w:val="00893894"/>
    <w:rsid w:val="00893904"/>
    <w:rsid w:val="00893922"/>
    <w:rsid w:val="00893932"/>
    <w:rsid w:val="0089394D"/>
    <w:rsid w:val="00893966"/>
    <w:rsid w:val="00893976"/>
    <w:rsid w:val="008939DF"/>
    <w:rsid w:val="00893AE8"/>
    <w:rsid w:val="00893AF5"/>
    <w:rsid w:val="00893B93"/>
    <w:rsid w:val="00893BB2"/>
    <w:rsid w:val="00893BC4"/>
    <w:rsid w:val="00893C6B"/>
    <w:rsid w:val="00893C73"/>
    <w:rsid w:val="00893DB8"/>
    <w:rsid w:val="00893EF1"/>
    <w:rsid w:val="00893EF3"/>
    <w:rsid w:val="00893F8B"/>
    <w:rsid w:val="00893F9B"/>
    <w:rsid w:val="00893FEA"/>
    <w:rsid w:val="00894182"/>
    <w:rsid w:val="00894213"/>
    <w:rsid w:val="00894294"/>
    <w:rsid w:val="008942D2"/>
    <w:rsid w:val="00894308"/>
    <w:rsid w:val="00894343"/>
    <w:rsid w:val="0089437B"/>
    <w:rsid w:val="00894430"/>
    <w:rsid w:val="00894496"/>
    <w:rsid w:val="00894620"/>
    <w:rsid w:val="008947B8"/>
    <w:rsid w:val="008947D1"/>
    <w:rsid w:val="00894893"/>
    <w:rsid w:val="0089495C"/>
    <w:rsid w:val="008949FE"/>
    <w:rsid w:val="00894ACC"/>
    <w:rsid w:val="00894AEC"/>
    <w:rsid w:val="00894B39"/>
    <w:rsid w:val="00894BA7"/>
    <w:rsid w:val="00894DA5"/>
    <w:rsid w:val="00894DFD"/>
    <w:rsid w:val="00894E42"/>
    <w:rsid w:val="00894E9A"/>
    <w:rsid w:val="00894EB4"/>
    <w:rsid w:val="00894ED3"/>
    <w:rsid w:val="00895074"/>
    <w:rsid w:val="008950D2"/>
    <w:rsid w:val="008952AE"/>
    <w:rsid w:val="008952ED"/>
    <w:rsid w:val="008952FF"/>
    <w:rsid w:val="0089537E"/>
    <w:rsid w:val="008953A4"/>
    <w:rsid w:val="0089540A"/>
    <w:rsid w:val="00895435"/>
    <w:rsid w:val="00895511"/>
    <w:rsid w:val="00895552"/>
    <w:rsid w:val="0089557C"/>
    <w:rsid w:val="008955DB"/>
    <w:rsid w:val="00895661"/>
    <w:rsid w:val="00895665"/>
    <w:rsid w:val="0089567F"/>
    <w:rsid w:val="008956C0"/>
    <w:rsid w:val="008956CC"/>
    <w:rsid w:val="0089574F"/>
    <w:rsid w:val="0089578F"/>
    <w:rsid w:val="00895810"/>
    <w:rsid w:val="008959B1"/>
    <w:rsid w:val="00895A37"/>
    <w:rsid w:val="00895A46"/>
    <w:rsid w:val="00895A5E"/>
    <w:rsid w:val="00895B3D"/>
    <w:rsid w:val="00895B91"/>
    <w:rsid w:val="00895D0C"/>
    <w:rsid w:val="00895D87"/>
    <w:rsid w:val="00895E0E"/>
    <w:rsid w:val="00895E0F"/>
    <w:rsid w:val="00895E2B"/>
    <w:rsid w:val="00895E48"/>
    <w:rsid w:val="00895E58"/>
    <w:rsid w:val="00895EFE"/>
    <w:rsid w:val="00895F08"/>
    <w:rsid w:val="00895F8A"/>
    <w:rsid w:val="00895F94"/>
    <w:rsid w:val="00895FCE"/>
    <w:rsid w:val="00896032"/>
    <w:rsid w:val="008960DD"/>
    <w:rsid w:val="00896178"/>
    <w:rsid w:val="00896183"/>
    <w:rsid w:val="00896218"/>
    <w:rsid w:val="008964D1"/>
    <w:rsid w:val="008964E7"/>
    <w:rsid w:val="008966D7"/>
    <w:rsid w:val="008966DA"/>
    <w:rsid w:val="00896704"/>
    <w:rsid w:val="00896752"/>
    <w:rsid w:val="00896812"/>
    <w:rsid w:val="0089684F"/>
    <w:rsid w:val="00896A45"/>
    <w:rsid w:val="00896B46"/>
    <w:rsid w:val="00896BBA"/>
    <w:rsid w:val="00896BD9"/>
    <w:rsid w:val="00896BE9"/>
    <w:rsid w:val="00896C76"/>
    <w:rsid w:val="00896D6B"/>
    <w:rsid w:val="00896D6C"/>
    <w:rsid w:val="00896E7E"/>
    <w:rsid w:val="00896FB4"/>
    <w:rsid w:val="0089701F"/>
    <w:rsid w:val="008970E7"/>
    <w:rsid w:val="00897134"/>
    <w:rsid w:val="008971C6"/>
    <w:rsid w:val="0089723E"/>
    <w:rsid w:val="00897250"/>
    <w:rsid w:val="008972F5"/>
    <w:rsid w:val="008973B5"/>
    <w:rsid w:val="0089754A"/>
    <w:rsid w:val="0089762B"/>
    <w:rsid w:val="0089769F"/>
    <w:rsid w:val="00897700"/>
    <w:rsid w:val="008978CB"/>
    <w:rsid w:val="0089799F"/>
    <w:rsid w:val="00897D06"/>
    <w:rsid w:val="00897DB8"/>
    <w:rsid w:val="00897DBB"/>
    <w:rsid w:val="00897E10"/>
    <w:rsid w:val="00897E28"/>
    <w:rsid w:val="00897E31"/>
    <w:rsid w:val="00897E34"/>
    <w:rsid w:val="00897F71"/>
    <w:rsid w:val="00897FB6"/>
    <w:rsid w:val="00897FB8"/>
    <w:rsid w:val="00897FF8"/>
    <w:rsid w:val="008A000E"/>
    <w:rsid w:val="008A0042"/>
    <w:rsid w:val="008A009C"/>
    <w:rsid w:val="008A00E7"/>
    <w:rsid w:val="008A0246"/>
    <w:rsid w:val="008A02C8"/>
    <w:rsid w:val="008A02F8"/>
    <w:rsid w:val="008A02F9"/>
    <w:rsid w:val="008A0344"/>
    <w:rsid w:val="008A034E"/>
    <w:rsid w:val="008A0455"/>
    <w:rsid w:val="008A04D5"/>
    <w:rsid w:val="008A04E3"/>
    <w:rsid w:val="008A077A"/>
    <w:rsid w:val="008A083C"/>
    <w:rsid w:val="008A0A50"/>
    <w:rsid w:val="008A0C77"/>
    <w:rsid w:val="008A0E08"/>
    <w:rsid w:val="008A0EA4"/>
    <w:rsid w:val="008A0F2D"/>
    <w:rsid w:val="008A0F8A"/>
    <w:rsid w:val="008A0FCE"/>
    <w:rsid w:val="008A100D"/>
    <w:rsid w:val="008A105B"/>
    <w:rsid w:val="008A1061"/>
    <w:rsid w:val="008A1271"/>
    <w:rsid w:val="008A1381"/>
    <w:rsid w:val="008A1412"/>
    <w:rsid w:val="008A14D2"/>
    <w:rsid w:val="008A1532"/>
    <w:rsid w:val="008A161E"/>
    <w:rsid w:val="008A166A"/>
    <w:rsid w:val="008A16AB"/>
    <w:rsid w:val="008A1703"/>
    <w:rsid w:val="008A171B"/>
    <w:rsid w:val="008A1795"/>
    <w:rsid w:val="008A1813"/>
    <w:rsid w:val="008A18B9"/>
    <w:rsid w:val="008A18E6"/>
    <w:rsid w:val="008A1A7F"/>
    <w:rsid w:val="008A1AE0"/>
    <w:rsid w:val="008A1AE2"/>
    <w:rsid w:val="008A1CAF"/>
    <w:rsid w:val="008A1D00"/>
    <w:rsid w:val="008A1D2B"/>
    <w:rsid w:val="008A1DAF"/>
    <w:rsid w:val="008A1E5D"/>
    <w:rsid w:val="008A1E84"/>
    <w:rsid w:val="008A1E94"/>
    <w:rsid w:val="008A1EED"/>
    <w:rsid w:val="008A1F4A"/>
    <w:rsid w:val="008A21D3"/>
    <w:rsid w:val="008A21D8"/>
    <w:rsid w:val="008A2272"/>
    <w:rsid w:val="008A2321"/>
    <w:rsid w:val="008A2325"/>
    <w:rsid w:val="008A23B3"/>
    <w:rsid w:val="008A243E"/>
    <w:rsid w:val="008A245D"/>
    <w:rsid w:val="008A246E"/>
    <w:rsid w:val="008A24EB"/>
    <w:rsid w:val="008A26AF"/>
    <w:rsid w:val="008A270D"/>
    <w:rsid w:val="008A2767"/>
    <w:rsid w:val="008A27CA"/>
    <w:rsid w:val="008A27F0"/>
    <w:rsid w:val="008A283D"/>
    <w:rsid w:val="008A2858"/>
    <w:rsid w:val="008A287E"/>
    <w:rsid w:val="008A2882"/>
    <w:rsid w:val="008A2888"/>
    <w:rsid w:val="008A2995"/>
    <w:rsid w:val="008A29D0"/>
    <w:rsid w:val="008A2A7A"/>
    <w:rsid w:val="008A2AB9"/>
    <w:rsid w:val="008A2B5C"/>
    <w:rsid w:val="008A2BE4"/>
    <w:rsid w:val="008A2C5B"/>
    <w:rsid w:val="008A2ED6"/>
    <w:rsid w:val="008A2F4A"/>
    <w:rsid w:val="008A2FC0"/>
    <w:rsid w:val="008A306A"/>
    <w:rsid w:val="008A309D"/>
    <w:rsid w:val="008A30D6"/>
    <w:rsid w:val="008A3158"/>
    <w:rsid w:val="008A315A"/>
    <w:rsid w:val="008A3323"/>
    <w:rsid w:val="008A3440"/>
    <w:rsid w:val="008A345F"/>
    <w:rsid w:val="008A3484"/>
    <w:rsid w:val="008A3619"/>
    <w:rsid w:val="008A3701"/>
    <w:rsid w:val="008A370F"/>
    <w:rsid w:val="008A37C6"/>
    <w:rsid w:val="008A37EC"/>
    <w:rsid w:val="008A3873"/>
    <w:rsid w:val="008A3878"/>
    <w:rsid w:val="008A388D"/>
    <w:rsid w:val="008A3968"/>
    <w:rsid w:val="008A396E"/>
    <w:rsid w:val="008A39B3"/>
    <w:rsid w:val="008A39E4"/>
    <w:rsid w:val="008A3A10"/>
    <w:rsid w:val="008A3A5E"/>
    <w:rsid w:val="008A3BC8"/>
    <w:rsid w:val="008A3BD4"/>
    <w:rsid w:val="008A3C24"/>
    <w:rsid w:val="008A3CC2"/>
    <w:rsid w:val="008A3CC4"/>
    <w:rsid w:val="008A3CDA"/>
    <w:rsid w:val="008A3DF3"/>
    <w:rsid w:val="008A3E3F"/>
    <w:rsid w:val="008A4022"/>
    <w:rsid w:val="008A4150"/>
    <w:rsid w:val="008A41E5"/>
    <w:rsid w:val="008A42D8"/>
    <w:rsid w:val="008A4449"/>
    <w:rsid w:val="008A4513"/>
    <w:rsid w:val="008A45D2"/>
    <w:rsid w:val="008A46B7"/>
    <w:rsid w:val="008A4885"/>
    <w:rsid w:val="008A4896"/>
    <w:rsid w:val="008A489B"/>
    <w:rsid w:val="008A48A3"/>
    <w:rsid w:val="008A4A2E"/>
    <w:rsid w:val="008A4B72"/>
    <w:rsid w:val="008A4C23"/>
    <w:rsid w:val="008A4DAC"/>
    <w:rsid w:val="008A4EAE"/>
    <w:rsid w:val="008A4F38"/>
    <w:rsid w:val="008A5026"/>
    <w:rsid w:val="008A515F"/>
    <w:rsid w:val="008A5190"/>
    <w:rsid w:val="008A523F"/>
    <w:rsid w:val="008A52BA"/>
    <w:rsid w:val="008A536B"/>
    <w:rsid w:val="008A5372"/>
    <w:rsid w:val="008A53E2"/>
    <w:rsid w:val="008A542D"/>
    <w:rsid w:val="008A54BE"/>
    <w:rsid w:val="008A5539"/>
    <w:rsid w:val="008A563C"/>
    <w:rsid w:val="008A56CE"/>
    <w:rsid w:val="008A5797"/>
    <w:rsid w:val="008A5823"/>
    <w:rsid w:val="008A58F5"/>
    <w:rsid w:val="008A59C9"/>
    <w:rsid w:val="008A59D8"/>
    <w:rsid w:val="008A5A26"/>
    <w:rsid w:val="008A5BD0"/>
    <w:rsid w:val="008A5CDD"/>
    <w:rsid w:val="008A5D14"/>
    <w:rsid w:val="008A5D2B"/>
    <w:rsid w:val="008A5D3F"/>
    <w:rsid w:val="008A5D87"/>
    <w:rsid w:val="008A5DE8"/>
    <w:rsid w:val="008A5DF0"/>
    <w:rsid w:val="008A5E15"/>
    <w:rsid w:val="008A5E21"/>
    <w:rsid w:val="008A5E32"/>
    <w:rsid w:val="008A5F58"/>
    <w:rsid w:val="008A6012"/>
    <w:rsid w:val="008A6019"/>
    <w:rsid w:val="008A607F"/>
    <w:rsid w:val="008A6091"/>
    <w:rsid w:val="008A6170"/>
    <w:rsid w:val="008A617D"/>
    <w:rsid w:val="008A617E"/>
    <w:rsid w:val="008A6188"/>
    <w:rsid w:val="008A61FE"/>
    <w:rsid w:val="008A645B"/>
    <w:rsid w:val="008A64F7"/>
    <w:rsid w:val="008A655C"/>
    <w:rsid w:val="008A6620"/>
    <w:rsid w:val="008A6629"/>
    <w:rsid w:val="008A6670"/>
    <w:rsid w:val="008A6727"/>
    <w:rsid w:val="008A682A"/>
    <w:rsid w:val="008A685C"/>
    <w:rsid w:val="008A68E0"/>
    <w:rsid w:val="008A6971"/>
    <w:rsid w:val="008A69CC"/>
    <w:rsid w:val="008A6A62"/>
    <w:rsid w:val="008A6AA7"/>
    <w:rsid w:val="008A6AA8"/>
    <w:rsid w:val="008A6ABC"/>
    <w:rsid w:val="008A6B8D"/>
    <w:rsid w:val="008A6BC8"/>
    <w:rsid w:val="008A6C68"/>
    <w:rsid w:val="008A6CAD"/>
    <w:rsid w:val="008A6D3A"/>
    <w:rsid w:val="008A6E47"/>
    <w:rsid w:val="008A6E62"/>
    <w:rsid w:val="008A6EA4"/>
    <w:rsid w:val="008A6EAD"/>
    <w:rsid w:val="008A6EE1"/>
    <w:rsid w:val="008A6FD0"/>
    <w:rsid w:val="008A7035"/>
    <w:rsid w:val="008A7072"/>
    <w:rsid w:val="008A7097"/>
    <w:rsid w:val="008A7100"/>
    <w:rsid w:val="008A713C"/>
    <w:rsid w:val="008A728E"/>
    <w:rsid w:val="008A72F2"/>
    <w:rsid w:val="008A738E"/>
    <w:rsid w:val="008A73C2"/>
    <w:rsid w:val="008A7412"/>
    <w:rsid w:val="008A7427"/>
    <w:rsid w:val="008A742A"/>
    <w:rsid w:val="008A7517"/>
    <w:rsid w:val="008A751B"/>
    <w:rsid w:val="008A751E"/>
    <w:rsid w:val="008A75E5"/>
    <w:rsid w:val="008A7656"/>
    <w:rsid w:val="008A766F"/>
    <w:rsid w:val="008A76DD"/>
    <w:rsid w:val="008A7729"/>
    <w:rsid w:val="008A789F"/>
    <w:rsid w:val="008A79A9"/>
    <w:rsid w:val="008A79B4"/>
    <w:rsid w:val="008A7A58"/>
    <w:rsid w:val="008A7B20"/>
    <w:rsid w:val="008A7B93"/>
    <w:rsid w:val="008A7C09"/>
    <w:rsid w:val="008A7C6E"/>
    <w:rsid w:val="008A7CC7"/>
    <w:rsid w:val="008A7CF8"/>
    <w:rsid w:val="008A7EE2"/>
    <w:rsid w:val="008B0081"/>
    <w:rsid w:val="008B00AE"/>
    <w:rsid w:val="008B00CE"/>
    <w:rsid w:val="008B010C"/>
    <w:rsid w:val="008B017D"/>
    <w:rsid w:val="008B01F3"/>
    <w:rsid w:val="008B0282"/>
    <w:rsid w:val="008B02DE"/>
    <w:rsid w:val="008B03B2"/>
    <w:rsid w:val="008B03C0"/>
    <w:rsid w:val="008B046B"/>
    <w:rsid w:val="008B04AF"/>
    <w:rsid w:val="008B04CC"/>
    <w:rsid w:val="008B0602"/>
    <w:rsid w:val="008B06A7"/>
    <w:rsid w:val="008B070D"/>
    <w:rsid w:val="008B075E"/>
    <w:rsid w:val="008B0792"/>
    <w:rsid w:val="008B0808"/>
    <w:rsid w:val="008B0816"/>
    <w:rsid w:val="008B08D4"/>
    <w:rsid w:val="008B094C"/>
    <w:rsid w:val="008B09E7"/>
    <w:rsid w:val="008B09E9"/>
    <w:rsid w:val="008B0A58"/>
    <w:rsid w:val="008B0AFD"/>
    <w:rsid w:val="008B0BCC"/>
    <w:rsid w:val="008B0C04"/>
    <w:rsid w:val="008B0CEB"/>
    <w:rsid w:val="008B0D5A"/>
    <w:rsid w:val="008B0D7E"/>
    <w:rsid w:val="008B0DC4"/>
    <w:rsid w:val="008B0E29"/>
    <w:rsid w:val="008B0F02"/>
    <w:rsid w:val="008B0F59"/>
    <w:rsid w:val="008B10CD"/>
    <w:rsid w:val="008B111C"/>
    <w:rsid w:val="008B1239"/>
    <w:rsid w:val="008B1278"/>
    <w:rsid w:val="008B1356"/>
    <w:rsid w:val="008B1364"/>
    <w:rsid w:val="008B1449"/>
    <w:rsid w:val="008B152E"/>
    <w:rsid w:val="008B1544"/>
    <w:rsid w:val="008B16FB"/>
    <w:rsid w:val="008B1772"/>
    <w:rsid w:val="008B18DE"/>
    <w:rsid w:val="008B1929"/>
    <w:rsid w:val="008B1937"/>
    <w:rsid w:val="008B19C4"/>
    <w:rsid w:val="008B19F4"/>
    <w:rsid w:val="008B1AB5"/>
    <w:rsid w:val="008B1B11"/>
    <w:rsid w:val="008B1B3F"/>
    <w:rsid w:val="008B1B9B"/>
    <w:rsid w:val="008B1C56"/>
    <w:rsid w:val="008B1C68"/>
    <w:rsid w:val="008B1FA4"/>
    <w:rsid w:val="008B1FA6"/>
    <w:rsid w:val="008B1FB3"/>
    <w:rsid w:val="008B1FB8"/>
    <w:rsid w:val="008B2019"/>
    <w:rsid w:val="008B2037"/>
    <w:rsid w:val="008B211C"/>
    <w:rsid w:val="008B2174"/>
    <w:rsid w:val="008B2370"/>
    <w:rsid w:val="008B23F6"/>
    <w:rsid w:val="008B2429"/>
    <w:rsid w:val="008B25B5"/>
    <w:rsid w:val="008B25B9"/>
    <w:rsid w:val="008B25E1"/>
    <w:rsid w:val="008B26DD"/>
    <w:rsid w:val="008B275A"/>
    <w:rsid w:val="008B278E"/>
    <w:rsid w:val="008B2794"/>
    <w:rsid w:val="008B27E0"/>
    <w:rsid w:val="008B280A"/>
    <w:rsid w:val="008B2936"/>
    <w:rsid w:val="008B2949"/>
    <w:rsid w:val="008B2952"/>
    <w:rsid w:val="008B29E8"/>
    <w:rsid w:val="008B2AB2"/>
    <w:rsid w:val="008B2AC4"/>
    <w:rsid w:val="008B2AF4"/>
    <w:rsid w:val="008B2BE3"/>
    <w:rsid w:val="008B2C1F"/>
    <w:rsid w:val="008B2D25"/>
    <w:rsid w:val="008B2D56"/>
    <w:rsid w:val="008B2F1D"/>
    <w:rsid w:val="008B2F21"/>
    <w:rsid w:val="008B2F32"/>
    <w:rsid w:val="008B2F4E"/>
    <w:rsid w:val="008B30E8"/>
    <w:rsid w:val="008B30EF"/>
    <w:rsid w:val="008B3171"/>
    <w:rsid w:val="008B319F"/>
    <w:rsid w:val="008B31E2"/>
    <w:rsid w:val="008B31E7"/>
    <w:rsid w:val="008B320A"/>
    <w:rsid w:val="008B3268"/>
    <w:rsid w:val="008B331E"/>
    <w:rsid w:val="008B33DB"/>
    <w:rsid w:val="008B3495"/>
    <w:rsid w:val="008B3584"/>
    <w:rsid w:val="008B369B"/>
    <w:rsid w:val="008B36AE"/>
    <w:rsid w:val="008B36D8"/>
    <w:rsid w:val="008B3787"/>
    <w:rsid w:val="008B3788"/>
    <w:rsid w:val="008B3806"/>
    <w:rsid w:val="008B381A"/>
    <w:rsid w:val="008B386C"/>
    <w:rsid w:val="008B38FA"/>
    <w:rsid w:val="008B39BA"/>
    <w:rsid w:val="008B39C9"/>
    <w:rsid w:val="008B39D8"/>
    <w:rsid w:val="008B39FD"/>
    <w:rsid w:val="008B3AC2"/>
    <w:rsid w:val="008B3B8E"/>
    <w:rsid w:val="008B3BEC"/>
    <w:rsid w:val="008B3C57"/>
    <w:rsid w:val="008B3C9A"/>
    <w:rsid w:val="008B3E1C"/>
    <w:rsid w:val="008B3F41"/>
    <w:rsid w:val="008B402B"/>
    <w:rsid w:val="008B40F5"/>
    <w:rsid w:val="008B413B"/>
    <w:rsid w:val="008B42FF"/>
    <w:rsid w:val="008B43D9"/>
    <w:rsid w:val="008B441C"/>
    <w:rsid w:val="008B44DE"/>
    <w:rsid w:val="008B4501"/>
    <w:rsid w:val="008B4511"/>
    <w:rsid w:val="008B45FA"/>
    <w:rsid w:val="008B46C5"/>
    <w:rsid w:val="008B474D"/>
    <w:rsid w:val="008B48A4"/>
    <w:rsid w:val="008B4918"/>
    <w:rsid w:val="008B49B8"/>
    <w:rsid w:val="008B49E0"/>
    <w:rsid w:val="008B4BAF"/>
    <w:rsid w:val="008B4BC3"/>
    <w:rsid w:val="008B4BE7"/>
    <w:rsid w:val="008B4CAE"/>
    <w:rsid w:val="008B4CBB"/>
    <w:rsid w:val="008B4D0A"/>
    <w:rsid w:val="008B4D80"/>
    <w:rsid w:val="008B4D91"/>
    <w:rsid w:val="008B4DC5"/>
    <w:rsid w:val="008B4E01"/>
    <w:rsid w:val="008B4E97"/>
    <w:rsid w:val="008B4FA2"/>
    <w:rsid w:val="008B4FD9"/>
    <w:rsid w:val="008B513B"/>
    <w:rsid w:val="008B5365"/>
    <w:rsid w:val="008B538A"/>
    <w:rsid w:val="008B5511"/>
    <w:rsid w:val="008B56A3"/>
    <w:rsid w:val="008B56BE"/>
    <w:rsid w:val="008B5906"/>
    <w:rsid w:val="008B5943"/>
    <w:rsid w:val="008B5944"/>
    <w:rsid w:val="008B5964"/>
    <w:rsid w:val="008B59B6"/>
    <w:rsid w:val="008B5A2D"/>
    <w:rsid w:val="008B5A30"/>
    <w:rsid w:val="008B5A65"/>
    <w:rsid w:val="008B5A91"/>
    <w:rsid w:val="008B5AD5"/>
    <w:rsid w:val="008B5C63"/>
    <w:rsid w:val="008B5CA5"/>
    <w:rsid w:val="008B5DDC"/>
    <w:rsid w:val="008B5E4C"/>
    <w:rsid w:val="008B5ED5"/>
    <w:rsid w:val="008B5F47"/>
    <w:rsid w:val="008B5F4A"/>
    <w:rsid w:val="008B5F4B"/>
    <w:rsid w:val="008B6020"/>
    <w:rsid w:val="008B60A4"/>
    <w:rsid w:val="008B60EA"/>
    <w:rsid w:val="008B6165"/>
    <w:rsid w:val="008B6192"/>
    <w:rsid w:val="008B6229"/>
    <w:rsid w:val="008B625F"/>
    <w:rsid w:val="008B62AB"/>
    <w:rsid w:val="008B6343"/>
    <w:rsid w:val="008B6385"/>
    <w:rsid w:val="008B64D6"/>
    <w:rsid w:val="008B65BE"/>
    <w:rsid w:val="008B6674"/>
    <w:rsid w:val="008B6696"/>
    <w:rsid w:val="008B6739"/>
    <w:rsid w:val="008B673B"/>
    <w:rsid w:val="008B6759"/>
    <w:rsid w:val="008B6870"/>
    <w:rsid w:val="008B68A4"/>
    <w:rsid w:val="008B68B2"/>
    <w:rsid w:val="008B6916"/>
    <w:rsid w:val="008B6A31"/>
    <w:rsid w:val="008B6AF7"/>
    <w:rsid w:val="008B6B54"/>
    <w:rsid w:val="008B6D3A"/>
    <w:rsid w:val="008B6D7B"/>
    <w:rsid w:val="008B6E77"/>
    <w:rsid w:val="008B6E78"/>
    <w:rsid w:val="008B6E89"/>
    <w:rsid w:val="008B6EF8"/>
    <w:rsid w:val="008B6EFF"/>
    <w:rsid w:val="008B7059"/>
    <w:rsid w:val="008B7060"/>
    <w:rsid w:val="008B7111"/>
    <w:rsid w:val="008B7150"/>
    <w:rsid w:val="008B715E"/>
    <w:rsid w:val="008B7194"/>
    <w:rsid w:val="008B71AB"/>
    <w:rsid w:val="008B7217"/>
    <w:rsid w:val="008B724B"/>
    <w:rsid w:val="008B7281"/>
    <w:rsid w:val="008B72B0"/>
    <w:rsid w:val="008B7304"/>
    <w:rsid w:val="008B735D"/>
    <w:rsid w:val="008B73A3"/>
    <w:rsid w:val="008B74D5"/>
    <w:rsid w:val="008B7537"/>
    <w:rsid w:val="008B758C"/>
    <w:rsid w:val="008B761E"/>
    <w:rsid w:val="008B7642"/>
    <w:rsid w:val="008B7669"/>
    <w:rsid w:val="008B77E9"/>
    <w:rsid w:val="008B783F"/>
    <w:rsid w:val="008B792E"/>
    <w:rsid w:val="008B7933"/>
    <w:rsid w:val="008B797F"/>
    <w:rsid w:val="008B79B2"/>
    <w:rsid w:val="008B79F0"/>
    <w:rsid w:val="008B7A28"/>
    <w:rsid w:val="008B7BB9"/>
    <w:rsid w:val="008B7E67"/>
    <w:rsid w:val="008C0041"/>
    <w:rsid w:val="008C0057"/>
    <w:rsid w:val="008C006F"/>
    <w:rsid w:val="008C0245"/>
    <w:rsid w:val="008C02D9"/>
    <w:rsid w:val="008C02FA"/>
    <w:rsid w:val="008C0319"/>
    <w:rsid w:val="008C0345"/>
    <w:rsid w:val="008C034B"/>
    <w:rsid w:val="008C0377"/>
    <w:rsid w:val="008C03FD"/>
    <w:rsid w:val="008C0485"/>
    <w:rsid w:val="008C04E6"/>
    <w:rsid w:val="008C04F0"/>
    <w:rsid w:val="008C067F"/>
    <w:rsid w:val="008C077C"/>
    <w:rsid w:val="008C078D"/>
    <w:rsid w:val="008C07B3"/>
    <w:rsid w:val="008C07EC"/>
    <w:rsid w:val="008C07FE"/>
    <w:rsid w:val="008C0832"/>
    <w:rsid w:val="008C0A46"/>
    <w:rsid w:val="008C0A80"/>
    <w:rsid w:val="008C0B7C"/>
    <w:rsid w:val="008C0BA2"/>
    <w:rsid w:val="008C0BB6"/>
    <w:rsid w:val="008C0BD5"/>
    <w:rsid w:val="008C0C95"/>
    <w:rsid w:val="008C10BB"/>
    <w:rsid w:val="008C1198"/>
    <w:rsid w:val="008C122A"/>
    <w:rsid w:val="008C1230"/>
    <w:rsid w:val="008C12A1"/>
    <w:rsid w:val="008C1357"/>
    <w:rsid w:val="008C151D"/>
    <w:rsid w:val="008C1639"/>
    <w:rsid w:val="008C16B9"/>
    <w:rsid w:val="008C1727"/>
    <w:rsid w:val="008C18F5"/>
    <w:rsid w:val="008C1947"/>
    <w:rsid w:val="008C1966"/>
    <w:rsid w:val="008C1B32"/>
    <w:rsid w:val="008C1E29"/>
    <w:rsid w:val="008C1E9B"/>
    <w:rsid w:val="008C1EAE"/>
    <w:rsid w:val="008C2022"/>
    <w:rsid w:val="008C2033"/>
    <w:rsid w:val="008C2105"/>
    <w:rsid w:val="008C2193"/>
    <w:rsid w:val="008C21A6"/>
    <w:rsid w:val="008C2363"/>
    <w:rsid w:val="008C2515"/>
    <w:rsid w:val="008C2538"/>
    <w:rsid w:val="008C260F"/>
    <w:rsid w:val="008C2613"/>
    <w:rsid w:val="008C2656"/>
    <w:rsid w:val="008C266C"/>
    <w:rsid w:val="008C2826"/>
    <w:rsid w:val="008C29D6"/>
    <w:rsid w:val="008C2A7E"/>
    <w:rsid w:val="008C2B93"/>
    <w:rsid w:val="008C2CAD"/>
    <w:rsid w:val="008C2CB4"/>
    <w:rsid w:val="008C2CBE"/>
    <w:rsid w:val="008C2CFA"/>
    <w:rsid w:val="008C2D58"/>
    <w:rsid w:val="008C2DF3"/>
    <w:rsid w:val="008C2E26"/>
    <w:rsid w:val="008C2E4E"/>
    <w:rsid w:val="008C2EE7"/>
    <w:rsid w:val="008C2EF3"/>
    <w:rsid w:val="008C2F37"/>
    <w:rsid w:val="008C2F65"/>
    <w:rsid w:val="008C3075"/>
    <w:rsid w:val="008C30F8"/>
    <w:rsid w:val="008C31AD"/>
    <w:rsid w:val="008C31B9"/>
    <w:rsid w:val="008C32EC"/>
    <w:rsid w:val="008C330F"/>
    <w:rsid w:val="008C3358"/>
    <w:rsid w:val="008C34B2"/>
    <w:rsid w:val="008C34CF"/>
    <w:rsid w:val="008C3550"/>
    <w:rsid w:val="008C3568"/>
    <w:rsid w:val="008C3655"/>
    <w:rsid w:val="008C3745"/>
    <w:rsid w:val="008C38AF"/>
    <w:rsid w:val="008C38B9"/>
    <w:rsid w:val="008C3992"/>
    <w:rsid w:val="008C3A1C"/>
    <w:rsid w:val="008C3A3C"/>
    <w:rsid w:val="008C3C23"/>
    <w:rsid w:val="008C3CA4"/>
    <w:rsid w:val="008C3D6D"/>
    <w:rsid w:val="008C3DC2"/>
    <w:rsid w:val="008C3DE6"/>
    <w:rsid w:val="008C3DEA"/>
    <w:rsid w:val="008C3E7E"/>
    <w:rsid w:val="008C3FBA"/>
    <w:rsid w:val="008C405F"/>
    <w:rsid w:val="008C40B9"/>
    <w:rsid w:val="008C40C5"/>
    <w:rsid w:val="008C422B"/>
    <w:rsid w:val="008C43EC"/>
    <w:rsid w:val="008C4498"/>
    <w:rsid w:val="008C44B3"/>
    <w:rsid w:val="008C483E"/>
    <w:rsid w:val="008C4860"/>
    <w:rsid w:val="008C48A1"/>
    <w:rsid w:val="008C48BF"/>
    <w:rsid w:val="008C48C3"/>
    <w:rsid w:val="008C49A2"/>
    <w:rsid w:val="008C49E5"/>
    <w:rsid w:val="008C4A86"/>
    <w:rsid w:val="008C4BF7"/>
    <w:rsid w:val="008C4C16"/>
    <w:rsid w:val="008C4C49"/>
    <w:rsid w:val="008C4D1C"/>
    <w:rsid w:val="008C4DD2"/>
    <w:rsid w:val="008C4E63"/>
    <w:rsid w:val="008C4FF8"/>
    <w:rsid w:val="008C5006"/>
    <w:rsid w:val="008C5067"/>
    <w:rsid w:val="008C50F1"/>
    <w:rsid w:val="008C511F"/>
    <w:rsid w:val="008C5279"/>
    <w:rsid w:val="008C529E"/>
    <w:rsid w:val="008C5312"/>
    <w:rsid w:val="008C531F"/>
    <w:rsid w:val="008C5333"/>
    <w:rsid w:val="008C53BA"/>
    <w:rsid w:val="008C53F4"/>
    <w:rsid w:val="008C5433"/>
    <w:rsid w:val="008C551E"/>
    <w:rsid w:val="008C556E"/>
    <w:rsid w:val="008C56FA"/>
    <w:rsid w:val="008C5739"/>
    <w:rsid w:val="008C5744"/>
    <w:rsid w:val="008C57B4"/>
    <w:rsid w:val="008C5813"/>
    <w:rsid w:val="008C5814"/>
    <w:rsid w:val="008C5817"/>
    <w:rsid w:val="008C5832"/>
    <w:rsid w:val="008C585E"/>
    <w:rsid w:val="008C590A"/>
    <w:rsid w:val="008C5921"/>
    <w:rsid w:val="008C59B2"/>
    <w:rsid w:val="008C59B7"/>
    <w:rsid w:val="008C5A64"/>
    <w:rsid w:val="008C5B1A"/>
    <w:rsid w:val="008C5B3F"/>
    <w:rsid w:val="008C5C25"/>
    <w:rsid w:val="008C5C39"/>
    <w:rsid w:val="008C5C7B"/>
    <w:rsid w:val="008C5EAC"/>
    <w:rsid w:val="008C5F50"/>
    <w:rsid w:val="008C5FCB"/>
    <w:rsid w:val="008C5FE5"/>
    <w:rsid w:val="008C6022"/>
    <w:rsid w:val="008C610E"/>
    <w:rsid w:val="008C6197"/>
    <w:rsid w:val="008C622D"/>
    <w:rsid w:val="008C62B4"/>
    <w:rsid w:val="008C6366"/>
    <w:rsid w:val="008C63E0"/>
    <w:rsid w:val="008C66AD"/>
    <w:rsid w:val="008C66E9"/>
    <w:rsid w:val="008C67CE"/>
    <w:rsid w:val="008C67D9"/>
    <w:rsid w:val="008C68C2"/>
    <w:rsid w:val="008C699A"/>
    <w:rsid w:val="008C6A69"/>
    <w:rsid w:val="008C6AB4"/>
    <w:rsid w:val="008C6AE6"/>
    <w:rsid w:val="008C6B15"/>
    <w:rsid w:val="008C6B39"/>
    <w:rsid w:val="008C6B6A"/>
    <w:rsid w:val="008C6BE1"/>
    <w:rsid w:val="008C6C23"/>
    <w:rsid w:val="008C6CE3"/>
    <w:rsid w:val="008C6D3E"/>
    <w:rsid w:val="008C6DD0"/>
    <w:rsid w:val="008C6E4D"/>
    <w:rsid w:val="008C6E71"/>
    <w:rsid w:val="008C6E9C"/>
    <w:rsid w:val="008C6F22"/>
    <w:rsid w:val="008C701A"/>
    <w:rsid w:val="008C7059"/>
    <w:rsid w:val="008C7067"/>
    <w:rsid w:val="008C70B1"/>
    <w:rsid w:val="008C7177"/>
    <w:rsid w:val="008C71C7"/>
    <w:rsid w:val="008C73B6"/>
    <w:rsid w:val="008C73C7"/>
    <w:rsid w:val="008C743A"/>
    <w:rsid w:val="008C74C2"/>
    <w:rsid w:val="008C750A"/>
    <w:rsid w:val="008C7538"/>
    <w:rsid w:val="008C7579"/>
    <w:rsid w:val="008C7615"/>
    <w:rsid w:val="008C762B"/>
    <w:rsid w:val="008C7768"/>
    <w:rsid w:val="008C77FF"/>
    <w:rsid w:val="008C798B"/>
    <w:rsid w:val="008C7AFE"/>
    <w:rsid w:val="008C7B13"/>
    <w:rsid w:val="008C7B9B"/>
    <w:rsid w:val="008C7BF6"/>
    <w:rsid w:val="008C7C70"/>
    <w:rsid w:val="008C7C78"/>
    <w:rsid w:val="008C7CAA"/>
    <w:rsid w:val="008C7E0B"/>
    <w:rsid w:val="008C7F1F"/>
    <w:rsid w:val="008D0114"/>
    <w:rsid w:val="008D011B"/>
    <w:rsid w:val="008D0196"/>
    <w:rsid w:val="008D01F3"/>
    <w:rsid w:val="008D027B"/>
    <w:rsid w:val="008D02A1"/>
    <w:rsid w:val="008D0329"/>
    <w:rsid w:val="008D034F"/>
    <w:rsid w:val="008D0418"/>
    <w:rsid w:val="008D0452"/>
    <w:rsid w:val="008D0519"/>
    <w:rsid w:val="008D062D"/>
    <w:rsid w:val="008D0647"/>
    <w:rsid w:val="008D066E"/>
    <w:rsid w:val="008D06F5"/>
    <w:rsid w:val="008D070E"/>
    <w:rsid w:val="008D0864"/>
    <w:rsid w:val="008D089C"/>
    <w:rsid w:val="008D08A5"/>
    <w:rsid w:val="008D08EB"/>
    <w:rsid w:val="008D0914"/>
    <w:rsid w:val="008D095F"/>
    <w:rsid w:val="008D096A"/>
    <w:rsid w:val="008D0A21"/>
    <w:rsid w:val="008D0ACE"/>
    <w:rsid w:val="008D0B4B"/>
    <w:rsid w:val="008D0BDC"/>
    <w:rsid w:val="008D0BDD"/>
    <w:rsid w:val="008D0C19"/>
    <w:rsid w:val="008D0D29"/>
    <w:rsid w:val="008D0DD1"/>
    <w:rsid w:val="008D0EA7"/>
    <w:rsid w:val="008D0EFA"/>
    <w:rsid w:val="008D0FD7"/>
    <w:rsid w:val="008D1098"/>
    <w:rsid w:val="008D1135"/>
    <w:rsid w:val="008D116E"/>
    <w:rsid w:val="008D11BB"/>
    <w:rsid w:val="008D11CA"/>
    <w:rsid w:val="008D1207"/>
    <w:rsid w:val="008D1221"/>
    <w:rsid w:val="008D13B1"/>
    <w:rsid w:val="008D13ED"/>
    <w:rsid w:val="008D149E"/>
    <w:rsid w:val="008D14EE"/>
    <w:rsid w:val="008D15EF"/>
    <w:rsid w:val="008D1675"/>
    <w:rsid w:val="008D16C4"/>
    <w:rsid w:val="008D1735"/>
    <w:rsid w:val="008D18A5"/>
    <w:rsid w:val="008D1911"/>
    <w:rsid w:val="008D1933"/>
    <w:rsid w:val="008D1955"/>
    <w:rsid w:val="008D199B"/>
    <w:rsid w:val="008D1A6F"/>
    <w:rsid w:val="008D1B8E"/>
    <w:rsid w:val="008D1BCE"/>
    <w:rsid w:val="008D1FE7"/>
    <w:rsid w:val="008D1FF6"/>
    <w:rsid w:val="008D219A"/>
    <w:rsid w:val="008D21D8"/>
    <w:rsid w:val="008D2236"/>
    <w:rsid w:val="008D231D"/>
    <w:rsid w:val="008D23E5"/>
    <w:rsid w:val="008D2410"/>
    <w:rsid w:val="008D252C"/>
    <w:rsid w:val="008D2535"/>
    <w:rsid w:val="008D2614"/>
    <w:rsid w:val="008D263E"/>
    <w:rsid w:val="008D2712"/>
    <w:rsid w:val="008D28E3"/>
    <w:rsid w:val="008D2943"/>
    <w:rsid w:val="008D297D"/>
    <w:rsid w:val="008D2A4E"/>
    <w:rsid w:val="008D2AA8"/>
    <w:rsid w:val="008D2B69"/>
    <w:rsid w:val="008D2D50"/>
    <w:rsid w:val="008D2DAC"/>
    <w:rsid w:val="008D2E22"/>
    <w:rsid w:val="008D2EE1"/>
    <w:rsid w:val="008D2EFD"/>
    <w:rsid w:val="008D2F4B"/>
    <w:rsid w:val="008D2FF1"/>
    <w:rsid w:val="008D30CC"/>
    <w:rsid w:val="008D3105"/>
    <w:rsid w:val="008D3268"/>
    <w:rsid w:val="008D331F"/>
    <w:rsid w:val="008D3373"/>
    <w:rsid w:val="008D3553"/>
    <w:rsid w:val="008D362C"/>
    <w:rsid w:val="008D36A1"/>
    <w:rsid w:val="008D37D1"/>
    <w:rsid w:val="008D380C"/>
    <w:rsid w:val="008D38DD"/>
    <w:rsid w:val="008D3934"/>
    <w:rsid w:val="008D396E"/>
    <w:rsid w:val="008D39D8"/>
    <w:rsid w:val="008D3A71"/>
    <w:rsid w:val="008D3AED"/>
    <w:rsid w:val="008D3B15"/>
    <w:rsid w:val="008D3B4F"/>
    <w:rsid w:val="008D3D10"/>
    <w:rsid w:val="008D3E43"/>
    <w:rsid w:val="008D3E5C"/>
    <w:rsid w:val="008D3F34"/>
    <w:rsid w:val="008D3F3C"/>
    <w:rsid w:val="008D3F72"/>
    <w:rsid w:val="008D3F9D"/>
    <w:rsid w:val="008D3FCA"/>
    <w:rsid w:val="008D3FD3"/>
    <w:rsid w:val="008D401C"/>
    <w:rsid w:val="008D401E"/>
    <w:rsid w:val="008D402E"/>
    <w:rsid w:val="008D405E"/>
    <w:rsid w:val="008D4099"/>
    <w:rsid w:val="008D41B3"/>
    <w:rsid w:val="008D422E"/>
    <w:rsid w:val="008D4241"/>
    <w:rsid w:val="008D425A"/>
    <w:rsid w:val="008D42DD"/>
    <w:rsid w:val="008D4312"/>
    <w:rsid w:val="008D435F"/>
    <w:rsid w:val="008D44DA"/>
    <w:rsid w:val="008D4533"/>
    <w:rsid w:val="008D46D5"/>
    <w:rsid w:val="008D470E"/>
    <w:rsid w:val="008D4724"/>
    <w:rsid w:val="008D47E5"/>
    <w:rsid w:val="008D4840"/>
    <w:rsid w:val="008D48C0"/>
    <w:rsid w:val="008D48CC"/>
    <w:rsid w:val="008D4A39"/>
    <w:rsid w:val="008D4AB8"/>
    <w:rsid w:val="008D4B64"/>
    <w:rsid w:val="008D4B82"/>
    <w:rsid w:val="008D4C3E"/>
    <w:rsid w:val="008D4C64"/>
    <w:rsid w:val="008D4C84"/>
    <w:rsid w:val="008D4C8F"/>
    <w:rsid w:val="008D4D87"/>
    <w:rsid w:val="008D4D8D"/>
    <w:rsid w:val="008D4DA3"/>
    <w:rsid w:val="008D543E"/>
    <w:rsid w:val="008D5453"/>
    <w:rsid w:val="008D54F9"/>
    <w:rsid w:val="008D5514"/>
    <w:rsid w:val="008D556F"/>
    <w:rsid w:val="008D558D"/>
    <w:rsid w:val="008D55A8"/>
    <w:rsid w:val="008D5672"/>
    <w:rsid w:val="008D5679"/>
    <w:rsid w:val="008D56D3"/>
    <w:rsid w:val="008D573D"/>
    <w:rsid w:val="008D5760"/>
    <w:rsid w:val="008D57BE"/>
    <w:rsid w:val="008D57D1"/>
    <w:rsid w:val="008D57FB"/>
    <w:rsid w:val="008D5856"/>
    <w:rsid w:val="008D5889"/>
    <w:rsid w:val="008D5920"/>
    <w:rsid w:val="008D5B8B"/>
    <w:rsid w:val="008D5BD1"/>
    <w:rsid w:val="008D5C60"/>
    <w:rsid w:val="008D5C72"/>
    <w:rsid w:val="008D5C99"/>
    <w:rsid w:val="008D5E1E"/>
    <w:rsid w:val="008D5FF5"/>
    <w:rsid w:val="008D600E"/>
    <w:rsid w:val="008D60B1"/>
    <w:rsid w:val="008D60CA"/>
    <w:rsid w:val="008D6166"/>
    <w:rsid w:val="008D626E"/>
    <w:rsid w:val="008D6297"/>
    <w:rsid w:val="008D637F"/>
    <w:rsid w:val="008D63C3"/>
    <w:rsid w:val="008D6454"/>
    <w:rsid w:val="008D650C"/>
    <w:rsid w:val="008D65AB"/>
    <w:rsid w:val="008D65DB"/>
    <w:rsid w:val="008D6624"/>
    <w:rsid w:val="008D66FB"/>
    <w:rsid w:val="008D677F"/>
    <w:rsid w:val="008D67C6"/>
    <w:rsid w:val="008D685A"/>
    <w:rsid w:val="008D6861"/>
    <w:rsid w:val="008D69A9"/>
    <w:rsid w:val="008D6A5E"/>
    <w:rsid w:val="008D6A9F"/>
    <w:rsid w:val="008D6AE4"/>
    <w:rsid w:val="008D6BA1"/>
    <w:rsid w:val="008D6BC1"/>
    <w:rsid w:val="008D6BF7"/>
    <w:rsid w:val="008D6C30"/>
    <w:rsid w:val="008D6D01"/>
    <w:rsid w:val="008D6D15"/>
    <w:rsid w:val="008D6DB8"/>
    <w:rsid w:val="008D6DDB"/>
    <w:rsid w:val="008D6F9D"/>
    <w:rsid w:val="008D6FE4"/>
    <w:rsid w:val="008D6FE5"/>
    <w:rsid w:val="008D7071"/>
    <w:rsid w:val="008D70E8"/>
    <w:rsid w:val="008D70EF"/>
    <w:rsid w:val="008D7162"/>
    <w:rsid w:val="008D719C"/>
    <w:rsid w:val="008D72C9"/>
    <w:rsid w:val="008D73E6"/>
    <w:rsid w:val="008D73ED"/>
    <w:rsid w:val="008D74A3"/>
    <w:rsid w:val="008D7574"/>
    <w:rsid w:val="008D7581"/>
    <w:rsid w:val="008D7659"/>
    <w:rsid w:val="008D7803"/>
    <w:rsid w:val="008D7846"/>
    <w:rsid w:val="008D7869"/>
    <w:rsid w:val="008D78EE"/>
    <w:rsid w:val="008D791E"/>
    <w:rsid w:val="008D7AE8"/>
    <w:rsid w:val="008D7B55"/>
    <w:rsid w:val="008D7C12"/>
    <w:rsid w:val="008D7C4B"/>
    <w:rsid w:val="008D7CC3"/>
    <w:rsid w:val="008D7D4F"/>
    <w:rsid w:val="008D7D7A"/>
    <w:rsid w:val="008D7D83"/>
    <w:rsid w:val="008D7DB8"/>
    <w:rsid w:val="008D7E38"/>
    <w:rsid w:val="008D7E40"/>
    <w:rsid w:val="008D7E7B"/>
    <w:rsid w:val="008D7EC5"/>
    <w:rsid w:val="008D7F17"/>
    <w:rsid w:val="008D7FA1"/>
    <w:rsid w:val="008E01A4"/>
    <w:rsid w:val="008E01ED"/>
    <w:rsid w:val="008E0230"/>
    <w:rsid w:val="008E0262"/>
    <w:rsid w:val="008E0266"/>
    <w:rsid w:val="008E032B"/>
    <w:rsid w:val="008E033E"/>
    <w:rsid w:val="008E0479"/>
    <w:rsid w:val="008E05AD"/>
    <w:rsid w:val="008E07CD"/>
    <w:rsid w:val="008E07E1"/>
    <w:rsid w:val="008E089D"/>
    <w:rsid w:val="008E08A2"/>
    <w:rsid w:val="008E08CD"/>
    <w:rsid w:val="008E0947"/>
    <w:rsid w:val="008E09D0"/>
    <w:rsid w:val="008E0A28"/>
    <w:rsid w:val="008E0ABB"/>
    <w:rsid w:val="008E0BB2"/>
    <w:rsid w:val="008E0C09"/>
    <w:rsid w:val="008E0D77"/>
    <w:rsid w:val="008E0F5F"/>
    <w:rsid w:val="008E100F"/>
    <w:rsid w:val="008E1056"/>
    <w:rsid w:val="008E10AD"/>
    <w:rsid w:val="008E10E3"/>
    <w:rsid w:val="008E1156"/>
    <w:rsid w:val="008E1189"/>
    <w:rsid w:val="008E122B"/>
    <w:rsid w:val="008E124B"/>
    <w:rsid w:val="008E126F"/>
    <w:rsid w:val="008E12C7"/>
    <w:rsid w:val="008E134D"/>
    <w:rsid w:val="008E143A"/>
    <w:rsid w:val="008E1794"/>
    <w:rsid w:val="008E188A"/>
    <w:rsid w:val="008E1975"/>
    <w:rsid w:val="008E1AA4"/>
    <w:rsid w:val="008E1BA2"/>
    <w:rsid w:val="008E1C58"/>
    <w:rsid w:val="008E1D72"/>
    <w:rsid w:val="008E1D98"/>
    <w:rsid w:val="008E1DC2"/>
    <w:rsid w:val="008E1DF7"/>
    <w:rsid w:val="008E2010"/>
    <w:rsid w:val="008E2029"/>
    <w:rsid w:val="008E2161"/>
    <w:rsid w:val="008E22C3"/>
    <w:rsid w:val="008E22FC"/>
    <w:rsid w:val="008E23EB"/>
    <w:rsid w:val="008E2485"/>
    <w:rsid w:val="008E254C"/>
    <w:rsid w:val="008E2550"/>
    <w:rsid w:val="008E25CD"/>
    <w:rsid w:val="008E2635"/>
    <w:rsid w:val="008E2694"/>
    <w:rsid w:val="008E27DA"/>
    <w:rsid w:val="008E282E"/>
    <w:rsid w:val="008E2A61"/>
    <w:rsid w:val="008E2B08"/>
    <w:rsid w:val="008E2B29"/>
    <w:rsid w:val="008E2B53"/>
    <w:rsid w:val="008E2BAB"/>
    <w:rsid w:val="008E2C03"/>
    <w:rsid w:val="008E2C10"/>
    <w:rsid w:val="008E2C90"/>
    <w:rsid w:val="008E2E35"/>
    <w:rsid w:val="008E2E88"/>
    <w:rsid w:val="008E2EA3"/>
    <w:rsid w:val="008E2EDB"/>
    <w:rsid w:val="008E2F7F"/>
    <w:rsid w:val="008E2FE1"/>
    <w:rsid w:val="008E2FF7"/>
    <w:rsid w:val="008E3164"/>
    <w:rsid w:val="008E3176"/>
    <w:rsid w:val="008E31C0"/>
    <w:rsid w:val="008E31EB"/>
    <w:rsid w:val="008E322E"/>
    <w:rsid w:val="008E3244"/>
    <w:rsid w:val="008E3296"/>
    <w:rsid w:val="008E32E6"/>
    <w:rsid w:val="008E3386"/>
    <w:rsid w:val="008E33F8"/>
    <w:rsid w:val="008E346D"/>
    <w:rsid w:val="008E3483"/>
    <w:rsid w:val="008E3498"/>
    <w:rsid w:val="008E36C3"/>
    <w:rsid w:val="008E3720"/>
    <w:rsid w:val="008E372C"/>
    <w:rsid w:val="008E37AC"/>
    <w:rsid w:val="008E3813"/>
    <w:rsid w:val="008E3829"/>
    <w:rsid w:val="008E3853"/>
    <w:rsid w:val="008E3899"/>
    <w:rsid w:val="008E38C6"/>
    <w:rsid w:val="008E38D3"/>
    <w:rsid w:val="008E3C46"/>
    <w:rsid w:val="008E3CF9"/>
    <w:rsid w:val="008E3D39"/>
    <w:rsid w:val="008E3DB1"/>
    <w:rsid w:val="008E3E29"/>
    <w:rsid w:val="008E3F70"/>
    <w:rsid w:val="008E3F7C"/>
    <w:rsid w:val="008E3FD9"/>
    <w:rsid w:val="008E415E"/>
    <w:rsid w:val="008E4180"/>
    <w:rsid w:val="008E4244"/>
    <w:rsid w:val="008E4329"/>
    <w:rsid w:val="008E44C4"/>
    <w:rsid w:val="008E455C"/>
    <w:rsid w:val="008E45CB"/>
    <w:rsid w:val="008E4620"/>
    <w:rsid w:val="008E468C"/>
    <w:rsid w:val="008E4924"/>
    <w:rsid w:val="008E4960"/>
    <w:rsid w:val="008E49C5"/>
    <w:rsid w:val="008E49CA"/>
    <w:rsid w:val="008E49FD"/>
    <w:rsid w:val="008E4A22"/>
    <w:rsid w:val="008E4A54"/>
    <w:rsid w:val="008E4AE3"/>
    <w:rsid w:val="008E4BA6"/>
    <w:rsid w:val="008E4BB7"/>
    <w:rsid w:val="008E4C2B"/>
    <w:rsid w:val="008E4C73"/>
    <w:rsid w:val="008E4DBE"/>
    <w:rsid w:val="008E4FF9"/>
    <w:rsid w:val="008E501C"/>
    <w:rsid w:val="008E5039"/>
    <w:rsid w:val="008E5171"/>
    <w:rsid w:val="008E51C1"/>
    <w:rsid w:val="008E5209"/>
    <w:rsid w:val="008E5305"/>
    <w:rsid w:val="008E5428"/>
    <w:rsid w:val="008E555E"/>
    <w:rsid w:val="008E5582"/>
    <w:rsid w:val="008E5848"/>
    <w:rsid w:val="008E5849"/>
    <w:rsid w:val="008E58A6"/>
    <w:rsid w:val="008E5A5F"/>
    <w:rsid w:val="008E5ACC"/>
    <w:rsid w:val="008E5B6F"/>
    <w:rsid w:val="008E5B73"/>
    <w:rsid w:val="008E5C42"/>
    <w:rsid w:val="008E5D34"/>
    <w:rsid w:val="008E5DC9"/>
    <w:rsid w:val="008E5DCA"/>
    <w:rsid w:val="008E5DF5"/>
    <w:rsid w:val="008E5E0A"/>
    <w:rsid w:val="008E5E62"/>
    <w:rsid w:val="008E5F21"/>
    <w:rsid w:val="008E5F38"/>
    <w:rsid w:val="008E5FAD"/>
    <w:rsid w:val="008E5FEF"/>
    <w:rsid w:val="008E6058"/>
    <w:rsid w:val="008E610C"/>
    <w:rsid w:val="008E61A3"/>
    <w:rsid w:val="008E642B"/>
    <w:rsid w:val="008E6457"/>
    <w:rsid w:val="008E6469"/>
    <w:rsid w:val="008E646C"/>
    <w:rsid w:val="008E64B1"/>
    <w:rsid w:val="008E6503"/>
    <w:rsid w:val="008E658C"/>
    <w:rsid w:val="008E658D"/>
    <w:rsid w:val="008E65B2"/>
    <w:rsid w:val="008E6691"/>
    <w:rsid w:val="008E66E9"/>
    <w:rsid w:val="008E671C"/>
    <w:rsid w:val="008E672F"/>
    <w:rsid w:val="008E686A"/>
    <w:rsid w:val="008E68D4"/>
    <w:rsid w:val="008E68F5"/>
    <w:rsid w:val="008E6A06"/>
    <w:rsid w:val="008E6A4F"/>
    <w:rsid w:val="008E6A81"/>
    <w:rsid w:val="008E6B05"/>
    <w:rsid w:val="008E6B21"/>
    <w:rsid w:val="008E6C59"/>
    <w:rsid w:val="008E6CA0"/>
    <w:rsid w:val="008E6CE7"/>
    <w:rsid w:val="008E6ED1"/>
    <w:rsid w:val="008E6FAF"/>
    <w:rsid w:val="008E7027"/>
    <w:rsid w:val="008E70D8"/>
    <w:rsid w:val="008E70FF"/>
    <w:rsid w:val="008E711B"/>
    <w:rsid w:val="008E715B"/>
    <w:rsid w:val="008E719A"/>
    <w:rsid w:val="008E7234"/>
    <w:rsid w:val="008E72B9"/>
    <w:rsid w:val="008E72C5"/>
    <w:rsid w:val="008E738D"/>
    <w:rsid w:val="008E74B0"/>
    <w:rsid w:val="008E753A"/>
    <w:rsid w:val="008E7585"/>
    <w:rsid w:val="008E760A"/>
    <w:rsid w:val="008E764A"/>
    <w:rsid w:val="008E76B7"/>
    <w:rsid w:val="008E775F"/>
    <w:rsid w:val="008E77AA"/>
    <w:rsid w:val="008E77DB"/>
    <w:rsid w:val="008E795C"/>
    <w:rsid w:val="008E79CB"/>
    <w:rsid w:val="008E7AC9"/>
    <w:rsid w:val="008E7AEA"/>
    <w:rsid w:val="008E7C51"/>
    <w:rsid w:val="008E7C58"/>
    <w:rsid w:val="008E7C7A"/>
    <w:rsid w:val="008E7CDB"/>
    <w:rsid w:val="008E7CE8"/>
    <w:rsid w:val="008E7CF3"/>
    <w:rsid w:val="008E7E52"/>
    <w:rsid w:val="008E7E77"/>
    <w:rsid w:val="008E7EB2"/>
    <w:rsid w:val="008E7EC8"/>
    <w:rsid w:val="008E7F54"/>
    <w:rsid w:val="008F003E"/>
    <w:rsid w:val="008F008D"/>
    <w:rsid w:val="008F00C9"/>
    <w:rsid w:val="008F0206"/>
    <w:rsid w:val="008F020D"/>
    <w:rsid w:val="008F0221"/>
    <w:rsid w:val="008F02A0"/>
    <w:rsid w:val="008F059F"/>
    <w:rsid w:val="008F0687"/>
    <w:rsid w:val="008F06A6"/>
    <w:rsid w:val="008F0738"/>
    <w:rsid w:val="008F07B8"/>
    <w:rsid w:val="008F09EA"/>
    <w:rsid w:val="008F0A05"/>
    <w:rsid w:val="008F0AB4"/>
    <w:rsid w:val="008F0B9A"/>
    <w:rsid w:val="008F0BB1"/>
    <w:rsid w:val="008F0BDC"/>
    <w:rsid w:val="008F0BF2"/>
    <w:rsid w:val="008F0C11"/>
    <w:rsid w:val="008F0C78"/>
    <w:rsid w:val="008F0D2B"/>
    <w:rsid w:val="008F0DD3"/>
    <w:rsid w:val="008F0DE7"/>
    <w:rsid w:val="008F0DF0"/>
    <w:rsid w:val="008F0DF3"/>
    <w:rsid w:val="008F0DF5"/>
    <w:rsid w:val="008F0E4E"/>
    <w:rsid w:val="008F0E69"/>
    <w:rsid w:val="008F0E87"/>
    <w:rsid w:val="008F0EE6"/>
    <w:rsid w:val="008F0F33"/>
    <w:rsid w:val="008F0F89"/>
    <w:rsid w:val="008F0FC8"/>
    <w:rsid w:val="008F10AC"/>
    <w:rsid w:val="008F10B6"/>
    <w:rsid w:val="008F10D6"/>
    <w:rsid w:val="008F10E1"/>
    <w:rsid w:val="008F1121"/>
    <w:rsid w:val="008F1172"/>
    <w:rsid w:val="008F1291"/>
    <w:rsid w:val="008F1358"/>
    <w:rsid w:val="008F139E"/>
    <w:rsid w:val="008F14AD"/>
    <w:rsid w:val="008F1517"/>
    <w:rsid w:val="008F1569"/>
    <w:rsid w:val="008F1586"/>
    <w:rsid w:val="008F15FF"/>
    <w:rsid w:val="008F1726"/>
    <w:rsid w:val="008F1788"/>
    <w:rsid w:val="008F17C7"/>
    <w:rsid w:val="008F17DB"/>
    <w:rsid w:val="008F18D7"/>
    <w:rsid w:val="008F19AC"/>
    <w:rsid w:val="008F1A0F"/>
    <w:rsid w:val="008F1A2D"/>
    <w:rsid w:val="008F1AED"/>
    <w:rsid w:val="008F1BB1"/>
    <w:rsid w:val="008F1C4A"/>
    <w:rsid w:val="008F1CAC"/>
    <w:rsid w:val="008F1D8A"/>
    <w:rsid w:val="008F1DAC"/>
    <w:rsid w:val="008F1E37"/>
    <w:rsid w:val="008F1EFD"/>
    <w:rsid w:val="008F2011"/>
    <w:rsid w:val="008F206D"/>
    <w:rsid w:val="008F2092"/>
    <w:rsid w:val="008F20B2"/>
    <w:rsid w:val="008F20F9"/>
    <w:rsid w:val="008F210C"/>
    <w:rsid w:val="008F217F"/>
    <w:rsid w:val="008F21AC"/>
    <w:rsid w:val="008F21C5"/>
    <w:rsid w:val="008F228B"/>
    <w:rsid w:val="008F22AF"/>
    <w:rsid w:val="008F22C6"/>
    <w:rsid w:val="008F2364"/>
    <w:rsid w:val="008F2606"/>
    <w:rsid w:val="008F2626"/>
    <w:rsid w:val="008F262D"/>
    <w:rsid w:val="008F2674"/>
    <w:rsid w:val="008F26FD"/>
    <w:rsid w:val="008F2711"/>
    <w:rsid w:val="008F2753"/>
    <w:rsid w:val="008F2809"/>
    <w:rsid w:val="008F290E"/>
    <w:rsid w:val="008F2B09"/>
    <w:rsid w:val="008F2B2D"/>
    <w:rsid w:val="008F2BA1"/>
    <w:rsid w:val="008F2BD7"/>
    <w:rsid w:val="008F2C37"/>
    <w:rsid w:val="008F2C3E"/>
    <w:rsid w:val="008F2D22"/>
    <w:rsid w:val="008F2D37"/>
    <w:rsid w:val="008F2E10"/>
    <w:rsid w:val="008F2F8F"/>
    <w:rsid w:val="008F2FF1"/>
    <w:rsid w:val="008F2FF4"/>
    <w:rsid w:val="008F30D7"/>
    <w:rsid w:val="008F3131"/>
    <w:rsid w:val="008F3199"/>
    <w:rsid w:val="008F31A1"/>
    <w:rsid w:val="008F31E3"/>
    <w:rsid w:val="008F324E"/>
    <w:rsid w:val="008F32F8"/>
    <w:rsid w:val="008F3304"/>
    <w:rsid w:val="008F3342"/>
    <w:rsid w:val="008F3423"/>
    <w:rsid w:val="008F3460"/>
    <w:rsid w:val="008F3600"/>
    <w:rsid w:val="008F3680"/>
    <w:rsid w:val="008F373A"/>
    <w:rsid w:val="008F377F"/>
    <w:rsid w:val="008F384F"/>
    <w:rsid w:val="008F3919"/>
    <w:rsid w:val="008F39CE"/>
    <w:rsid w:val="008F3A71"/>
    <w:rsid w:val="008F3B00"/>
    <w:rsid w:val="008F3B1B"/>
    <w:rsid w:val="008F3BBA"/>
    <w:rsid w:val="008F3C24"/>
    <w:rsid w:val="008F3CE4"/>
    <w:rsid w:val="008F3D44"/>
    <w:rsid w:val="008F3D9B"/>
    <w:rsid w:val="008F3F21"/>
    <w:rsid w:val="008F3F50"/>
    <w:rsid w:val="008F402E"/>
    <w:rsid w:val="008F406A"/>
    <w:rsid w:val="008F4076"/>
    <w:rsid w:val="008F40D0"/>
    <w:rsid w:val="008F4127"/>
    <w:rsid w:val="008F422D"/>
    <w:rsid w:val="008F4263"/>
    <w:rsid w:val="008F4311"/>
    <w:rsid w:val="008F4345"/>
    <w:rsid w:val="008F440F"/>
    <w:rsid w:val="008F44A7"/>
    <w:rsid w:val="008F45E6"/>
    <w:rsid w:val="008F466F"/>
    <w:rsid w:val="008F4842"/>
    <w:rsid w:val="008F4969"/>
    <w:rsid w:val="008F49BD"/>
    <w:rsid w:val="008F4AF7"/>
    <w:rsid w:val="008F4B2F"/>
    <w:rsid w:val="008F4B64"/>
    <w:rsid w:val="008F4BE1"/>
    <w:rsid w:val="008F4C45"/>
    <w:rsid w:val="008F4CB6"/>
    <w:rsid w:val="008F4CEB"/>
    <w:rsid w:val="008F4CEF"/>
    <w:rsid w:val="008F4CF9"/>
    <w:rsid w:val="008F4D73"/>
    <w:rsid w:val="008F4DCA"/>
    <w:rsid w:val="008F4E9F"/>
    <w:rsid w:val="008F4FD2"/>
    <w:rsid w:val="008F5033"/>
    <w:rsid w:val="008F5043"/>
    <w:rsid w:val="008F50E2"/>
    <w:rsid w:val="008F5192"/>
    <w:rsid w:val="008F529B"/>
    <w:rsid w:val="008F533D"/>
    <w:rsid w:val="008F537D"/>
    <w:rsid w:val="008F549A"/>
    <w:rsid w:val="008F5500"/>
    <w:rsid w:val="008F5525"/>
    <w:rsid w:val="008F5539"/>
    <w:rsid w:val="008F561F"/>
    <w:rsid w:val="008F5667"/>
    <w:rsid w:val="008F5676"/>
    <w:rsid w:val="008F56A3"/>
    <w:rsid w:val="008F57A3"/>
    <w:rsid w:val="008F57EB"/>
    <w:rsid w:val="008F5842"/>
    <w:rsid w:val="008F5868"/>
    <w:rsid w:val="008F5883"/>
    <w:rsid w:val="008F5927"/>
    <w:rsid w:val="008F5945"/>
    <w:rsid w:val="008F5981"/>
    <w:rsid w:val="008F59F4"/>
    <w:rsid w:val="008F5AA6"/>
    <w:rsid w:val="008F5ABB"/>
    <w:rsid w:val="008F5B13"/>
    <w:rsid w:val="008F5B23"/>
    <w:rsid w:val="008F5B3D"/>
    <w:rsid w:val="008F5B65"/>
    <w:rsid w:val="008F5BDD"/>
    <w:rsid w:val="008F5C39"/>
    <w:rsid w:val="008F5C4C"/>
    <w:rsid w:val="008F5CE4"/>
    <w:rsid w:val="008F5E46"/>
    <w:rsid w:val="008F5ECA"/>
    <w:rsid w:val="008F5ED1"/>
    <w:rsid w:val="008F5ED5"/>
    <w:rsid w:val="008F604D"/>
    <w:rsid w:val="008F607E"/>
    <w:rsid w:val="008F61D0"/>
    <w:rsid w:val="008F6295"/>
    <w:rsid w:val="008F62C6"/>
    <w:rsid w:val="008F62DB"/>
    <w:rsid w:val="008F6333"/>
    <w:rsid w:val="008F6354"/>
    <w:rsid w:val="008F6373"/>
    <w:rsid w:val="008F63D6"/>
    <w:rsid w:val="008F6413"/>
    <w:rsid w:val="008F6456"/>
    <w:rsid w:val="008F64FB"/>
    <w:rsid w:val="008F652C"/>
    <w:rsid w:val="008F652F"/>
    <w:rsid w:val="008F6695"/>
    <w:rsid w:val="008F6863"/>
    <w:rsid w:val="008F68EE"/>
    <w:rsid w:val="008F6902"/>
    <w:rsid w:val="008F690F"/>
    <w:rsid w:val="008F697A"/>
    <w:rsid w:val="008F699B"/>
    <w:rsid w:val="008F69B1"/>
    <w:rsid w:val="008F6A25"/>
    <w:rsid w:val="008F6AA3"/>
    <w:rsid w:val="008F6B38"/>
    <w:rsid w:val="008F6C3D"/>
    <w:rsid w:val="008F6C75"/>
    <w:rsid w:val="008F6CE9"/>
    <w:rsid w:val="008F6DA2"/>
    <w:rsid w:val="008F6E2A"/>
    <w:rsid w:val="008F6E56"/>
    <w:rsid w:val="008F7003"/>
    <w:rsid w:val="008F7059"/>
    <w:rsid w:val="008F71A0"/>
    <w:rsid w:val="008F71D3"/>
    <w:rsid w:val="008F720C"/>
    <w:rsid w:val="008F7253"/>
    <w:rsid w:val="008F7273"/>
    <w:rsid w:val="008F727E"/>
    <w:rsid w:val="008F72C8"/>
    <w:rsid w:val="008F72F3"/>
    <w:rsid w:val="008F7306"/>
    <w:rsid w:val="008F731E"/>
    <w:rsid w:val="008F733E"/>
    <w:rsid w:val="008F73C7"/>
    <w:rsid w:val="008F73ED"/>
    <w:rsid w:val="008F7463"/>
    <w:rsid w:val="008F74B3"/>
    <w:rsid w:val="008F751F"/>
    <w:rsid w:val="008F75F0"/>
    <w:rsid w:val="008F76D2"/>
    <w:rsid w:val="008F76EE"/>
    <w:rsid w:val="008F774F"/>
    <w:rsid w:val="008F78A2"/>
    <w:rsid w:val="008F78DA"/>
    <w:rsid w:val="008F78E3"/>
    <w:rsid w:val="008F7AB7"/>
    <w:rsid w:val="008F7BE6"/>
    <w:rsid w:val="008F7CC4"/>
    <w:rsid w:val="008F7EC6"/>
    <w:rsid w:val="008F7F39"/>
    <w:rsid w:val="008F7FAF"/>
    <w:rsid w:val="008F7FFC"/>
    <w:rsid w:val="009000A6"/>
    <w:rsid w:val="009000B9"/>
    <w:rsid w:val="00900265"/>
    <w:rsid w:val="0090027F"/>
    <w:rsid w:val="009002DD"/>
    <w:rsid w:val="009002F5"/>
    <w:rsid w:val="009002FE"/>
    <w:rsid w:val="00900310"/>
    <w:rsid w:val="00900350"/>
    <w:rsid w:val="0090037C"/>
    <w:rsid w:val="009003AB"/>
    <w:rsid w:val="009003AC"/>
    <w:rsid w:val="00900457"/>
    <w:rsid w:val="0090048E"/>
    <w:rsid w:val="00900492"/>
    <w:rsid w:val="009004A0"/>
    <w:rsid w:val="00900508"/>
    <w:rsid w:val="009006A2"/>
    <w:rsid w:val="009006ED"/>
    <w:rsid w:val="00900798"/>
    <w:rsid w:val="009007E7"/>
    <w:rsid w:val="00900819"/>
    <w:rsid w:val="009008DE"/>
    <w:rsid w:val="0090090F"/>
    <w:rsid w:val="00900914"/>
    <w:rsid w:val="0090091E"/>
    <w:rsid w:val="00900994"/>
    <w:rsid w:val="009009FD"/>
    <w:rsid w:val="00900A89"/>
    <w:rsid w:val="00900A93"/>
    <w:rsid w:val="00900AAF"/>
    <w:rsid w:val="00900B82"/>
    <w:rsid w:val="00900B86"/>
    <w:rsid w:val="00900B92"/>
    <w:rsid w:val="00900C1A"/>
    <w:rsid w:val="00900D48"/>
    <w:rsid w:val="00900DFE"/>
    <w:rsid w:val="00900E16"/>
    <w:rsid w:val="00900F21"/>
    <w:rsid w:val="00901018"/>
    <w:rsid w:val="0090101E"/>
    <w:rsid w:val="00901047"/>
    <w:rsid w:val="009010E1"/>
    <w:rsid w:val="009010FB"/>
    <w:rsid w:val="009011BF"/>
    <w:rsid w:val="00901293"/>
    <w:rsid w:val="009012B9"/>
    <w:rsid w:val="00901348"/>
    <w:rsid w:val="00901384"/>
    <w:rsid w:val="0090141D"/>
    <w:rsid w:val="009015D0"/>
    <w:rsid w:val="00901685"/>
    <w:rsid w:val="00901696"/>
    <w:rsid w:val="00901860"/>
    <w:rsid w:val="009018D7"/>
    <w:rsid w:val="009018D9"/>
    <w:rsid w:val="009018FC"/>
    <w:rsid w:val="00901A0E"/>
    <w:rsid w:val="00901A48"/>
    <w:rsid w:val="00901A91"/>
    <w:rsid w:val="00901AA7"/>
    <w:rsid w:val="00901AC2"/>
    <w:rsid w:val="00901B60"/>
    <w:rsid w:val="00901C94"/>
    <w:rsid w:val="00901C9F"/>
    <w:rsid w:val="00901E9E"/>
    <w:rsid w:val="00901EF7"/>
    <w:rsid w:val="00902026"/>
    <w:rsid w:val="00902051"/>
    <w:rsid w:val="00902082"/>
    <w:rsid w:val="0090210C"/>
    <w:rsid w:val="0090213C"/>
    <w:rsid w:val="00902157"/>
    <w:rsid w:val="00902200"/>
    <w:rsid w:val="00902239"/>
    <w:rsid w:val="00902304"/>
    <w:rsid w:val="009023E7"/>
    <w:rsid w:val="00902434"/>
    <w:rsid w:val="0090256A"/>
    <w:rsid w:val="00902572"/>
    <w:rsid w:val="009025D8"/>
    <w:rsid w:val="009026CD"/>
    <w:rsid w:val="00902829"/>
    <w:rsid w:val="0090285F"/>
    <w:rsid w:val="009028E3"/>
    <w:rsid w:val="0090295C"/>
    <w:rsid w:val="0090299B"/>
    <w:rsid w:val="00902A65"/>
    <w:rsid w:val="00902B61"/>
    <w:rsid w:val="00902B67"/>
    <w:rsid w:val="00902BA5"/>
    <w:rsid w:val="00902BC5"/>
    <w:rsid w:val="00902C6F"/>
    <w:rsid w:val="00902CD8"/>
    <w:rsid w:val="00902DB1"/>
    <w:rsid w:val="00902EA4"/>
    <w:rsid w:val="00902F08"/>
    <w:rsid w:val="00902FE2"/>
    <w:rsid w:val="00903021"/>
    <w:rsid w:val="0090305A"/>
    <w:rsid w:val="00903099"/>
    <w:rsid w:val="009030D8"/>
    <w:rsid w:val="0090316E"/>
    <w:rsid w:val="0090332F"/>
    <w:rsid w:val="00903346"/>
    <w:rsid w:val="009033A1"/>
    <w:rsid w:val="009033C5"/>
    <w:rsid w:val="009033D5"/>
    <w:rsid w:val="009033E3"/>
    <w:rsid w:val="00903454"/>
    <w:rsid w:val="00903541"/>
    <w:rsid w:val="00903590"/>
    <w:rsid w:val="009035E9"/>
    <w:rsid w:val="0090362D"/>
    <w:rsid w:val="009036B9"/>
    <w:rsid w:val="009036D9"/>
    <w:rsid w:val="00903737"/>
    <w:rsid w:val="0090385F"/>
    <w:rsid w:val="00903880"/>
    <w:rsid w:val="009038A2"/>
    <w:rsid w:val="009038C6"/>
    <w:rsid w:val="009039CF"/>
    <w:rsid w:val="00903AC1"/>
    <w:rsid w:val="00903AE5"/>
    <w:rsid w:val="00903AE9"/>
    <w:rsid w:val="00903BFA"/>
    <w:rsid w:val="00903C0F"/>
    <w:rsid w:val="00903D7C"/>
    <w:rsid w:val="00903EC3"/>
    <w:rsid w:val="00903EF5"/>
    <w:rsid w:val="00903F76"/>
    <w:rsid w:val="00903FA1"/>
    <w:rsid w:val="009040FA"/>
    <w:rsid w:val="0090410D"/>
    <w:rsid w:val="00904114"/>
    <w:rsid w:val="00904199"/>
    <w:rsid w:val="009041F2"/>
    <w:rsid w:val="0090421F"/>
    <w:rsid w:val="00904248"/>
    <w:rsid w:val="0090432F"/>
    <w:rsid w:val="00904339"/>
    <w:rsid w:val="0090433F"/>
    <w:rsid w:val="00904422"/>
    <w:rsid w:val="0090443E"/>
    <w:rsid w:val="009045E5"/>
    <w:rsid w:val="00904738"/>
    <w:rsid w:val="009047BE"/>
    <w:rsid w:val="00904805"/>
    <w:rsid w:val="00904834"/>
    <w:rsid w:val="00904921"/>
    <w:rsid w:val="009049C9"/>
    <w:rsid w:val="00904A06"/>
    <w:rsid w:val="00904AA5"/>
    <w:rsid w:val="00904AB4"/>
    <w:rsid w:val="00904B15"/>
    <w:rsid w:val="00904B4D"/>
    <w:rsid w:val="00904C0A"/>
    <w:rsid w:val="00904C2C"/>
    <w:rsid w:val="00904C8D"/>
    <w:rsid w:val="00904CBE"/>
    <w:rsid w:val="00904CC6"/>
    <w:rsid w:val="00904D6A"/>
    <w:rsid w:val="00904E84"/>
    <w:rsid w:val="00904F51"/>
    <w:rsid w:val="00904F70"/>
    <w:rsid w:val="00905037"/>
    <w:rsid w:val="009050DB"/>
    <w:rsid w:val="0090513A"/>
    <w:rsid w:val="0090514E"/>
    <w:rsid w:val="00905170"/>
    <w:rsid w:val="009052CC"/>
    <w:rsid w:val="0090531C"/>
    <w:rsid w:val="00905386"/>
    <w:rsid w:val="009053AD"/>
    <w:rsid w:val="009053D7"/>
    <w:rsid w:val="009053E5"/>
    <w:rsid w:val="00905414"/>
    <w:rsid w:val="009054A6"/>
    <w:rsid w:val="009054F6"/>
    <w:rsid w:val="009055A6"/>
    <w:rsid w:val="00905607"/>
    <w:rsid w:val="009059D4"/>
    <w:rsid w:val="009059F1"/>
    <w:rsid w:val="00905A64"/>
    <w:rsid w:val="00905AE2"/>
    <w:rsid w:val="00905AFF"/>
    <w:rsid w:val="00905B51"/>
    <w:rsid w:val="00905B6C"/>
    <w:rsid w:val="00905BA8"/>
    <w:rsid w:val="00905BC7"/>
    <w:rsid w:val="00905C15"/>
    <w:rsid w:val="00905C24"/>
    <w:rsid w:val="00905CB2"/>
    <w:rsid w:val="00905CDF"/>
    <w:rsid w:val="00905CFD"/>
    <w:rsid w:val="00905DC4"/>
    <w:rsid w:val="00905E0C"/>
    <w:rsid w:val="00905E4B"/>
    <w:rsid w:val="00905E5D"/>
    <w:rsid w:val="00905EB8"/>
    <w:rsid w:val="00905EF3"/>
    <w:rsid w:val="00905F6C"/>
    <w:rsid w:val="00906037"/>
    <w:rsid w:val="0090610F"/>
    <w:rsid w:val="00906130"/>
    <w:rsid w:val="009061D3"/>
    <w:rsid w:val="009062C5"/>
    <w:rsid w:val="009062C7"/>
    <w:rsid w:val="00906398"/>
    <w:rsid w:val="00906505"/>
    <w:rsid w:val="00906650"/>
    <w:rsid w:val="00906665"/>
    <w:rsid w:val="00906736"/>
    <w:rsid w:val="00906739"/>
    <w:rsid w:val="00906835"/>
    <w:rsid w:val="00906976"/>
    <w:rsid w:val="00906B3F"/>
    <w:rsid w:val="00906B71"/>
    <w:rsid w:val="00906B7A"/>
    <w:rsid w:val="00906BC2"/>
    <w:rsid w:val="00906BC7"/>
    <w:rsid w:val="00906D0C"/>
    <w:rsid w:val="00906D54"/>
    <w:rsid w:val="00906D6D"/>
    <w:rsid w:val="00906ED6"/>
    <w:rsid w:val="00907051"/>
    <w:rsid w:val="009071A1"/>
    <w:rsid w:val="009071EB"/>
    <w:rsid w:val="00907272"/>
    <w:rsid w:val="00907379"/>
    <w:rsid w:val="009073B1"/>
    <w:rsid w:val="009073D2"/>
    <w:rsid w:val="00907575"/>
    <w:rsid w:val="009076BE"/>
    <w:rsid w:val="009076CB"/>
    <w:rsid w:val="00907771"/>
    <w:rsid w:val="0090788B"/>
    <w:rsid w:val="009078E1"/>
    <w:rsid w:val="00907928"/>
    <w:rsid w:val="0090796C"/>
    <w:rsid w:val="00907A29"/>
    <w:rsid w:val="00907A41"/>
    <w:rsid w:val="00907B99"/>
    <w:rsid w:val="00907BF3"/>
    <w:rsid w:val="00907C73"/>
    <w:rsid w:val="00907CCB"/>
    <w:rsid w:val="00907D7C"/>
    <w:rsid w:val="00907D7E"/>
    <w:rsid w:val="00907E38"/>
    <w:rsid w:val="00907EF1"/>
    <w:rsid w:val="00907F33"/>
    <w:rsid w:val="00907F93"/>
    <w:rsid w:val="00907FD7"/>
    <w:rsid w:val="00910017"/>
    <w:rsid w:val="0091009F"/>
    <w:rsid w:val="0091011D"/>
    <w:rsid w:val="00910241"/>
    <w:rsid w:val="0091025A"/>
    <w:rsid w:val="009102E6"/>
    <w:rsid w:val="00910356"/>
    <w:rsid w:val="009103BF"/>
    <w:rsid w:val="00910499"/>
    <w:rsid w:val="009104BC"/>
    <w:rsid w:val="009104DF"/>
    <w:rsid w:val="009105BD"/>
    <w:rsid w:val="00910688"/>
    <w:rsid w:val="009108B6"/>
    <w:rsid w:val="009108D9"/>
    <w:rsid w:val="00910A39"/>
    <w:rsid w:val="00910A91"/>
    <w:rsid w:val="00910AFE"/>
    <w:rsid w:val="00910B50"/>
    <w:rsid w:val="00910C49"/>
    <w:rsid w:val="00910C50"/>
    <w:rsid w:val="00910D87"/>
    <w:rsid w:val="00910E23"/>
    <w:rsid w:val="00910E24"/>
    <w:rsid w:val="00910E2F"/>
    <w:rsid w:val="00910E66"/>
    <w:rsid w:val="00910E6C"/>
    <w:rsid w:val="00910FD4"/>
    <w:rsid w:val="00911115"/>
    <w:rsid w:val="00911146"/>
    <w:rsid w:val="0091118E"/>
    <w:rsid w:val="0091129C"/>
    <w:rsid w:val="00911377"/>
    <w:rsid w:val="009113B7"/>
    <w:rsid w:val="009113FE"/>
    <w:rsid w:val="0091149C"/>
    <w:rsid w:val="00911816"/>
    <w:rsid w:val="00911891"/>
    <w:rsid w:val="00911920"/>
    <w:rsid w:val="00911995"/>
    <w:rsid w:val="00911B51"/>
    <w:rsid w:val="00911BEA"/>
    <w:rsid w:val="00911C9C"/>
    <w:rsid w:val="00911E9E"/>
    <w:rsid w:val="00911EA7"/>
    <w:rsid w:val="00911EC5"/>
    <w:rsid w:val="00911F18"/>
    <w:rsid w:val="00911F8D"/>
    <w:rsid w:val="00912011"/>
    <w:rsid w:val="009120DE"/>
    <w:rsid w:val="0091214D"/>
    <w:rsid w:val="0091216A"/>
    <w:rsid w:val="00912178"/>
    <w:rsid w:val="009121BE"/>
    <w:rsid w:val="009121EB"/>
    <w:rsid w:val="00912238"/>
    <w:rsid w:val="0091236A"/>
    <w:rsid w:val="00912444"/>
    <w:rsid w:val="0091255B"/>
    <w:rsid w:val="009125A9"/>
    <w:rsid w:val="00912621"/>
    <w:rsid w:val="00912654"/>
    <w:rsid w:val="009126C9"/>
    <w:rsid w:val="00912707"/>
    <w:rsid w:val="0091276A"/>
    <w:rsid w:val="00912852"/>
    <w:rsid w:val="00912931"/>
    <w:rsid w:val="0091299C"/>
    <w:rsid w:val="00912AB2"/>
    <w:rsid w:val="00912AC4"/>
    <w:rsid w:val="00912AD2"/>
    <w:rsid w:val="00912B01"/>
    <w:rsid w:val="00912D4E"/>
    <w:rsid w:val="00912D9D"/>
    <w:rsid w:val="00912F35"/>
    <w:rsid w:val="00912F9E"/>
    <w:rsid w:val="00913080"/>
    <w:rsid w:val="0091308B"/>
    <w:rsid w:val="0091309E"/>
    <w:rsid w:val="009130A2"/>
    <w:rsid w:val="00913109"/>
    <w:rsid w:val="0091310E"/>
    <w:rsid w:val="0091316D"/>
    <w:rsid w:val="009131C4"/>
    <w:rsid w:val="0091322A"/>
    <w:rsid w:val="0091328F"/>
    <w:rsid w:val="009132E0"/>
    <w:rsid w:val="0091336C"/>
    <w:rsid w:val="009133B0"/>
    <w:rsid w:val="009134E2"/>
    <w:rsid w:val="00913503"/>
    <w:rsid w:val="00913723"/>
    <w:rsid w:val="00913882"/>
    <w:rsid w:val="0091391E"/>
    <w:rsid w:val="00913A65"/>
    <w:rsid w:val="00913A74"/>
    <w:rsid w:val="00913A78"/>
    <w:rsid w:val="00913ADB"/>
    <w:rsid w:val="00913AE2"/>
    <w:rsid w:val="00913B2B"/>
    <w:rsid w:val="00913B71"/>
    <w:rsid w:val="00913CF9"/>
    <w:rsid w:val="00913D99"/>
    <w:rsid w:val="00913E2B"/>
    <w:rsid w:val="00913E47"/>
    <w:rsid w:val="0091410F"/>
    <w:rsid w:val="009141AD"/>
    <w:rsid w:val="00914230"/>
    <w:rsid w:val="0091432E"/>
    <w:rsid w:val="0091435A"/>
    <w:rsid w:val="0091437E"/>
    <w:rsid w:val="00914570"/>
    <w:rsid w:val="009145C1"/>
    <w:rsid w:val="009145EB"/>
    <w:rsid w:val="0091469C"/>
    <w:rsid w:val="00914843"/>
    <w:rsid w:val="00914A8B"/>
    <w:rsid w:val="00914ADD"/>
    <w:rsid w:val="00914B62"/>
    <w:rsid w:val="00914C09"/>
    <w:rsid w:val="00914C1C"/>
    <w:rsid w:val="00914DA0"/>
    <w:rsid w:val="00914F1F"/>
    <w:rsid w:val="00914FA0"/>
    <w:rsid w:val="00915012"/>
    <w:rsid w:val="00915306"/>
    <w:rsid w:val="0091530B"/>
    <w:rsid w:val="00915367"/>
    <w:rsid w:val="00915389"/>
    <w:rsid w:val="009153A1"/>
    <w:rsid w:val="009153A5"/>
    <w:rsid w:val="00915574"/>
    <w:rsid w:val="009158FD"/>
    <w:rsid w:val="009159C7"/>
    <w:rsid w:val="00915A30"/>
    <w:rsid w:val="00915A71"/>
    <w:rsid w:val="00915AE2"/>
    <w:rsid w:val="00915B72"/>
    <w:rsid w:val="00915C58"/>
    <w:rsid w:val="00915CAD"/>
    <w:rsid w:val="00915CEF"/>
    <w:rsid w:val="00915D99"/>
    <w:rsid w:val="00915E06"/>
    <w:rsid w:val="00915F5F"/>
    <w:rsid w:val="00915FFC"/>
    <w:rsid w:val="0091605C"/>
    <w:rsid w:val="0091608E"/>
    <w:rsid w:val="009160D8"/>
    <w:rsid w:val="00916143"/>
    <w:rsid w:val="00916164"/>
    <w:rsid w:val="00916180"/>
    <w:rsid w:val="009161B6"/>
    <w:rsid w:val="00916234"/>
    <w:rsid w:val="009162A5"/>
    <w:rsid w:val="00916399"/>
    <w:rsid w:val="00916480"/>
    <w:rsid w:val="009165E1"/>
    <w:rsid w:val="00916615"/>
    <w:rsid w:val="00916715"/>
    <w:rsid w:val="009167D4"/>
    <w:rsid w:val="00916874"/>
    <w:rsid w:val="009168B5"/>
    <w:rsid w:val="009168D1"/>
    <w:rsid w:val="0091691D"/>
    <w:rsid w:val="00916920"/>
    <w:rsid w:val="00916928"/>
    <w:rsid w:val="009169B7"/>
    <w:rsid w:val="00916A4A"/>
    <w:rsid w:val="00916A4F"/>
    <w:rsid w:val="00916AB1"/>
    <w:rsid w:val="00916B43"/>
    <w:rsid w:val="00916C3A"/>
    <w:rsid w:val="00916CAB"/>
    <w:rsid w:val="00916D9D"/>
    <w:rsid w:val="00916DFF"/>
    <w:rsid w:val="00916E19"/>
    <w:rsid w:val="00916EF2"/>
    <w:rsid w:val="00916F89"/>
    <w:rsid w:val="00917074"/>
    <w:rsid w:val="009170A4"/>
    <w:rsid w:val="009170BF"/>
    <w:rsid w:val="009172F0"/>
    <w:rsid w:val="00917424"/>
    <w:rsid w:val="00917435"/>
    <w:rsid w:val="0091765B"/>
    <w:rsid w:val="0091766E"/>
    <w:rsid w:val="009176DB"/>
    <w:rsid w:val="00917737"/>
    <w:rsid w:val="0091780A"/>
    <w:rsid w:val="00917824"/>
    <w:rsid w:val="009178A9"/>
    <w:rsid w:val="009178C0"/>
    <w:rsid w:val="00917967"/>
    <w:rsid w:val="009179DB"/>
    <w:rsid w:val="00917AD9"/>
    <w:rsid w:val="00917B3F"/>
    <w:rsid w:val="00917B5A"/>
    <w:rsid w:val="00917BA8"/>
    <w:rsid w:val="00917CCC"/>
    <w:rsid w:val="00917CE8"/>
    <w:rsid w:val="00917D11"/>
    <w:rsid w:val="00917D7D"/>
    <w:rsid w:val="00917D8A"/>
    <w:rsid w:val="00917F44"/>
    <w:rsid w:val="0092011D"/>
    <w:rsid w:val="00920138"/>
    <w:rsid w:val="009201DC"/>
    <w:rsid w:val="009201ED"/>
    <w:rsid w:val="00920224"/>
    <w:rsid w:val="00920239"/>
    <w:rsid w:val="009202AD"/>
    <w:rsid w:val="009203DB"/>
    <w:rsid w:val="0092041F"/>
    <w:rsid w:val="0092049F"/>
    <w:rsid w:val="009204CC"/>
    <w:rsid w:val="00920505"/>
    <w:rsid w:val="00920603"/>
    <w:rsid w:val="00920684"/>
    <w:rsid w:val="0092070B"/>
    <w:rsid w:val="00920727"/>
    <w:rsid w:val="009207C2"/>
    <w:rsid w:val="00920888"/>
    <w:rsid w:val="00920899"/>
    <w:rsid w:val="00920941"/>
    <w:rsid w:val="0092097D"/>
    <w:rsid w:val="00920A43"/>
    <w:rsid w:val="00920A9A"/>
    <w:rsid w:val="00920B0B"/>
    <w:rsid w:val="00920C15"/>
    <w:rsid w:val="00920C2F"/>
    <w:rsid w:val="00920C30"/>
    <w:rsid w:val="00920C61"/>
    <w:rsid w:val="00920CA5"/>
    <w:rsid w:val="00920CAE"/>
    <w:rsid w:val="00920D8F"/>
    <w:rsid w:val="00920D97"/>
    <w:rsid w:val="00920EEA"/>
    <w:rsid w:val="00920F03"/>
    <w:rsid w:val="00920F56"/>
    <w:rsid w:val="00920FE7"/>
    <w:rsid w:val="0092104D"/>
    <w:rsid w:val="00921075"/>
    <w:rsid w:val="00921079"/>
    <w:rsid w:val="0092115D"/>
    <w:rsid w:val="00921338"/>
    <w:rsid w:val="0092136E"/>
    <w:rsid w:val="009213C2"/>
    <w:rsid w:val="00921564"/>
    <w:rsid w:val="009215B7"/>
    <w:rsid w:val="009215CC"/>
    <w:rsid w:val="009216D8"/>
    <w:rsid w:val="009216E5"/>
    <w:rsid w:val="009217F5"/>
    <w:rsid w:val="00921A60"/>
    <w:rsid w:val="00921AA0"/>
    <w:rsid w:val="00921B1B"/>
    <w:rsid w:val="00921C56"/>
    <w:rsid w:val="00921ECE"/>
    <w:rsid w:val="00921FF8"/>
    <w:rsid w:val="009222AA"/>
    <w:rsid w:val="009222BB"/>
    <w:rsid w:val="009222DF"/>
    <w:rsid w:val="00922397"/>
    <w:rsid w:val="0092239B"/>
    <w:rsid w:val="009224C0"/>
    <w:rsid w:val="00922592"/>
    <w:rsid w:val="00922627"/>
    <w:rsid w:val="009226CD"/>
    <w:rsid w:val="009226E0"/>
    <w:rsid w:val="00922768"/>
    <w:rsid w:val="00922781"/>
    <w:rsid w:val="009227A5"/>
    <w:rsid w:val="0092282B"/>
    <w:rsid w:val="00922852"/>
    <w:rsid w:val="00922901"/>
    <w:rsid w:val="00922945"/>
    <w:rsid w:val="00922A0E"/>
    <w:rsid w:val="00922A2F"/>
    <w:rsid w:val="00922A66"/>
    <w:rsid w:val="00922AD8"/>
    <w:rsid w:val="00922B1E"/>
    <w:rsid w:val="00922BD8"/>
    <w:rsid w:val="00922C0A"/>
    <w:rsid w:val="00922C4B"/>
    <w:rsid w:val="00922D6D"/>
    <w:rsid w:val="00922DA2"/>
    <w:rsid w:val="00922DD6"/>
    <w:rsid w:val="00922DEF"/>
    <w:rsid w:val="00922EBC"/>
    <w:rsid w:val="00922EC1"/>
    <w:rsid w:val="00923090"/>
    <w:rsid w:val="009230A2"/>
    <w:rsid w:val="009230D6"/>
    <w:rsid w:val="009230FE"/>
    <w:rsid w:val="0092311C"/>
    <w:rsid w:val="00923227"/>
    <w:rsid w:val="009232DD"/>
    <w:rsid w:val="009232FD"/>
    <w:rsid w:val="0092339B"/>
    <w:rsid w:val="00923466"/>
    <w:rsid w:val="0092355C"/>
    <w:rsid w:val="00923639"/>
    <w:rsid w:val="009236A6"/>
    <w:rsid w:val="009236AF"/>
    <w:rsid w:val="0092389E"/>
    <w:rsid w:val="009239D2"/>
    <w:rsid w:val="00923A03"/>
    <w:rsid w:val="00923A19"/>
    <w:rsid w:val="00923A28"/>
    <w:rsid w:val="00923A5F"/>
    <w:rsid w:val="00923A6B"/>
    <w:rsid w:val="00923B44"/>
    <w:rsid w:val="00923BB9"/>
    <w:rsid w:val="00923CAE"/>
    <w:rsid w:val="00923D85"/>
    <w:rsid w:val="00923DBD"/>
    <w:rsid w:val="00923E29"/>
    <w:rsid w:val="00923E31"/>
    <w:rsid w:val="00923E9B"/>
    <w:rsid w:val="00923EDC"/>
    <w:rsid w:val="00923F90"/>
    <w:rsid w:val="00924027"/>
    <w:rsid w:val="009240E2"/>
    <w:rsid w:val="00924125"/>
    <w:rsid w:val="00924169"/>
    <w:rsid w:val="009241CF"/>
    <w:rsid w:val="00924201"/>
    <w:rsid w:val="009242E0"/>
    <w:rsid w:val="00924444"/>
    <w:rsid w:val="00924483"/>
    <w:rsid w:val="009244D0"/>
    <w:rsid w:val="009244EB"/>
    <w:rsid w:val="009244FC"/>
    <w:rsid w:val="00924524"/>
    <w:rsid w:val="00924806"/>
    <w:rsid w:val="0092483A"/>
    <w:rsid w:val="009248CA"/>
    <w:rsid w:val="009248EA"/>
    <w:rsid w:val="0092496A"/>
    <w:rsid w:val="00924A0C"/>
    <w:rsid w:val="00924A6D"/>
    <w:rsid w:val="00924BA4"/>
    <w:rsid w:val="00924BB7"/>
    <w:rsid w:val="00924C7D"/>
    <w:rsid w:val="00924DDD"/>
    <w:rsid w:val="00924DFC"/>
    <w:rsid w:val="00924E38"/>
    <w:rsid w:val="00924EB8"/>
    <w:rsid w:val="00924F5C"/>
    <w:rsid w:val="00924FAA"/>
    <w:rsid w:val="0092506A"/>
    <w:rsid w:val="00925088"/>
    <w:rsid w:val="0092510B"/>
    <w:rsid w:val="00925203"/>
    <w:rsid w:val="0092522B"/>
    <w:rsid w:val="009252AB"/>
    <w:rsid w:val="009252C3"/>
    <w:rsid w:val="009252E2"/>
    <w:rsid w:val="00925479"/>
    <w:rsid w:val="0092549F"/>
    <w:rsid w:val="009254D0"/>
    <w:rsid w:val="009254DE"/>
    <w:rsid w:val="009255D1"/>
    <w:rsid w:val="00925678"/>
    <w:rsid w:val="009256BF"/>
    <w:rsid w:val="0092571F"/>
    <w:rsid w:val="00925732"/>
    <w:rsid w:val="009257CD"/>
    <w:rsid w:val="00925806"/>
    <w:rsid w:val="00925851"/>
    <w:rsid w:val="009258E9"/>
    <w:rsid w:val="009258FF"/>
    <w:rsid w:val="00925A37"/>
    <w:rsid w:val="00925B73"/>
    <w:rsid w:val="00925C0A"/>
    <w:rsid w:val="00925C3A"/>
    <w:rsid w:val="00925CF5"/>
    <w:rsid w:val="00925D63"/>
    <w:rsid w:val="00925D91"/>
    <w:rsid w:val="00925E5F"/>
    <w:rsid w:val="00925EA9"/>
    <w:rsid w:val="00925F53"/>
    <w:rsid w:val="00925F96"/>
    <w:rsid w:val="00926126"/>
    <w:rsid w:val="00926132"/>
    <w:rsid w:val="00926198"/>
    <w:rsid w:val="009261AC"/>
    <w:rsid w:val="0092621B"/>
    <w:rsid w:val="009262B7"/>
    <w:rsid w:val="00926365"/>
    <w:rsid w:val="00926378"/>
    <w:rsid w:val="009263AA"/>
    <w:rsid w:val="009263E7"/>
    <w:rsid w:val="009263F5"/>
    <w:rsid w:val="00926401"/>
    <w:rsid w:val="0092640A"/>
    <w:rsid w:val="009264B1"/>
    <w:rsid w:val="00926514"/>
    <w:rsid w:val="00926687"/>
    <w:rsid w:val="00926691"/>
    <w:rsid w:val="009267FB"/>
    <w:rsid w:val="00926873"/>
    <w:rsid w:val="009268E9"/>
    <w:rsid w:val="009268EE"/>
    <w:rsid w:val="00926A49"/>
    <w:rsid w:val="00926AA4"/>
    <w:rsid w:val="00926BDD"/>
    <w:rsid w:val="00926CD0"/>
    <w:rsid w:val="00926CEA"/>
    <w:rsid w:val="00926D71"/>
    <w:rsid w:val="00926E2E"/>
    <w:rsid w:val="00926E30"/>
    <w:rsid w:val="00926E7B"/>
    <w:rsid w:val="00926F03"/>
    <w:rsid w:val="00926F6D"/>
    <w:rsid w:val="00926FCB"/>
    <w:rsid w:val="00927088"/>
    <w:rsid w:val="0092709D"/>
    <w:rsid w:val="009271E1"/>
    <w:rsid w:val="00927290"/>
    <w:rsid w:val="009272C9"/>
    <w:rsid w:val="009272E4"/>
    <w:rsid w:val="00927422"/>
    <w:rsid w:val="00927564"/>
    <w:rsid w:val="009275CB"/>
    <w:rsid w:val="0092767C"/>
    <w:rsid w:val="00927706"/>
    <w:rsid w:val="00927765"/>
    <w:rsid w:val="009277CF"/>
    <w:rsid w:val="00927804"/>
    <w:rsid w:val="00927824"/>
    <w:rsid w:val="0092782F"/>
    <w:rsid w:val="0092790F"/>
    <w:rsid w:val="00927927"/>
    <w:rsid w:val="009279D0"/>
    <w:rsid w:val="009279F0"/>
    <w:rsid w:val="00927B70"/>
    <w:rsid w:val="00927B9B"/>
    <w:rsid w:val="00927BB8"/>
    <w:rsid w:val="00927C76"/>
    <w:rsid w:val="00927D3C"/>
    <w:rsid w:val="00927DB7"/>
    <w:rsid w:val="00927DEC"/>
    <w:rsid w:val="00927F6B"/>
    <w:rsid w:val="009300A6"/>
    <w:rsid w:val="00930326"/>
    <w:rsid w:val="009303B9"/>
    <w:rsid w:val="009303C7"/>
    <w:rsid w:val="009303EB"/>
    <w:rsid w:val="0093052E"/>
    <w:rsid w:val="00930553"/>
    <w:rsid w:val="009305B0"/>
    <w:rsid w:val="00930649"/>
    <w:rsid w:val="009308A2"/>
    <w:rsid w:val="009308B0"/>
    <w:rsid w:val="009308BC"/>
    <w:rsid w:val="0093097D"/>
    <w:rsid w:val="009309CE"/>
    <w:rsid w:val="00930ABB"/>
    <w:rsid w:val="00930AC5"/>
    <w:rsid w:val="00930ADE"/>
    <w:rsid w:val="00930B35"/>
    <w:rsid w:val="00930D08"/>
    <w:rsid w:val="00930E86"/>
    <w:rsid w:val="00930EBF"/>
    <w:rsid w:val="00930ECF"/>
    <w:rsid w:val="0093101E"/>
    <w:rsid w:val="00931045"/>
    <w:rsid w:val="00931140"/>
    <w:rsid w:val="009311CF"/>
    <w:rsid w:val="0093125A"/>
    <w:rsid w:val="0093130B"/>
    <w:rsid w:val="009313CA"/>
    <w:rsid w:val="00931422"/>
    <w:rsid w:val="00931446"/>
    <w:rsid w:val="009314C4"/>
    <w:rsid w:val="009314CA"/>
    <w:rsid w:val="009314FF"/>
    <w:rsid w:val="00931516"/>
    <w:rsid w:val="00931558"/>
    <w:rsid w:val="00931566"/>
    <w:rsid w:val="00931693"/>
    <w:rsid w:val="00931696"/>
    <w:rsid w:val="009317A8"/>
    <w:rsid w:val="009317D8"/>
    <w:rsid w:val="009317DA"/>
    <w:rsid w:val="0093183E"/>
    <w:rsid w:val="0093185A"/>
    <w:rsid w:val="009318F2"/>
    <w:rsid w:val="00931B6C"/>
    <w:rsid w:val="00931BA8"/>
    <w:rsid w:val="00931CD0"/>
    <w:rsid w:val="00931D18"/>
    <w:rsid w:val="00931D2C"/>
    <w:rsid w:val="00931D4A"/>
    <w:rsid w:val="00931D68"/>
    <w:rsid w:val="00931E06"/>
    <w:rsid w:val="00931F7C"/>
    <w:rsid w:val="00932054"/>
    <w:rsid w:val="0093208C"/>
    <w:rsid w:val="009320D7"/>
    <w:rsid w:val="00932150"/>
    <w:rsid w:val="00932200"/>
    <w:rsid w:val="0093221B"/>
    <w:rsid w:val="00932228"/>
    <w:rsid w:val="009322C6"/>
    <w:rsid w:val="00932317"/>
    <w:rsid w:val="00932349"/>
    <w:rsid w:val="009323D5"/>
    <w:rsid w:val="009323ED"/>
    <w:rsid w:val="00932498"/>
    <w:rsid w:val="009324DD"/>
    <w:rsid w:val="00932535"/>
    <w:rsid w:val="00932565"/>
    <w:rsid w:val="0093259A"/>
    <w:rsid w:val="009325B3"/>
    <w:rsid w:val="009325BD"/>
    <w:rsid w:val="00932602"/>
    <w:rsid w:val="00932767"/>
    <w:rsid w:val="00932849"/>
    <w:rsid w:val="00932881"/>
    <w:rsid w:val="009328C6"/>
    <w:rsid w:val="009328D1"/>
    <w:rsid w:val="00932905"/>
    <w:rsid w:val="00932AB3"/>
    <w:rsid w:val="00932B6F"/>
    <w:rsid w:val="00932B73"/>
    <w:rsid w:val="00932C03"/>
    <w:rsid w:val="00932E0F"/>
    <w:rsid w:val="00932EB9"/>
    <w:rsid w:val="00932F51"/>
    <w:rsid w:val="00932FE9"/>
    <w:rsid w:val="009330A7"/>
    <w:rsid w:val="00933261"/>
    <w:rsid w:val="009332F5"/>
    <w:rsid w:val="0093333A"/>
    <w:rsid w:val="00933383"/>
    <w:rsid w:val="00933448"/>
    <w:rsid w:val="00933454"/>
    <w:rsid w:val="00933462"/>
    <w:rsid w:val="0093347E"/>
    <w:rsid w:val="00933532"/>
    <w:rsid w:val="009335BC"/>
    <w:rsid w:val="00933630"/>
    <w:rsid w:val="0093365E"/>
    <w:rsid w:val="0093377D"/>
    <w:rsid w:val="009337CB"/>
    <w:rsid w:val="00933907"/>
    <w:rsid w:val="00933B17"/>
    <w:rsid w:val="00933B3C"/>
    <w:rsid w:val="00933B5A"/>
    <w:rsid w:val="00933C22"/>
    <w:rsid w:val="00933C71"/>
    <w:rsid w:val="00933CBF"/>
    <w:rsid w:val="00933CCC"/>
    <w:rsid w:val="00933DA4"/>
    <w:rsid w:val="00933E83"/>
    <w:rsid w:val="00933FA9"/>
    <w:rsid w:val="0093407F"/>
    <w:rsid w:val="009340B6"/>
    <w:rsid w:val="009340D3"/>
    <w:rsid w:val="0093419A"/>
    <w:rsid w:val="0093429A"/>
    <w:rsid w:val="00934325"/>
    <w:rsid w:val="00934499"/>
    <w:rsid w:val="009344D5"/>
    <w:rsid w:val="009344E0"/>
    <w:rsid w:val="00934551"/>
    <w:rsid w:val="009348AA"/>
    <w:rsid w:val="00934AAE"/>
    <w:rsid w:val="00934B22"/>
    <w:rsid w:val="00934BCD"/>
    <w:rsid w:val="00934C29"/>
    <w:rsid w:val="00934D76"/>
    <w:rsid w:val="00934DB3"/>
    <w:rsid w:val="00934DCE"/>
    <w:rsid w:val="00934EFB"/>
    <w:rsid w:val="00934F49"/>
    <w:rsid w:val="00934FEA"/>
    <w:rsid w:val="009351C8"/>
    <w:rsid w:val="009351DB"/>
    <w:rsid w:val="0093528C"/>
    <w:rsid w:val="009352E6"/>
    <w:rsid w:val="0093531D"/>
    <w:rsid w:val="00935340"/>
    <w:rsid w:val="0093537C"/>
    <w:rsid w:val="00935484"/>
    <w:rsid w:val="009356A7"/>
    <w:rsid w:val="0093571B"/>
    <w:rsid w:val="00935743"/>
    <w:rsid w:val="009357F2"/>
    <w:rsid w:val="00935815"/>
    <w:rsid w:val="009358B1"/>
    <w:rsid w:val="00935936"/>
    <w:rsid w:val="00935987"/>
    <w:rsid w:val="009359A5"/>
    <w:rsid w:val="00935A0E"/>
    <w:rsid w:val="00935A2A"/>
    <w:rsid w:val="00935A48"/>
    <w:rsid w:val="00935A5A"/>
    <w:rsid w:val="00935AC7"/>
    <w:rsid w:val="00935AF1"/>
    <w:rsid w:val="00935AFD"/>
    <w:rsid w:val="00935B89"/>
    <w:rsid w:val="00935BB9"/>
    <w:rsid w:val="00935BF2"/>
    <w:rsid w:val="00935D0F"/>
    <w:rsid w:val="00935D93"/>
    <w:rsid w:val="00935E67"/>
    <w:rsid w:val="00935F38"/>
    <w:rsid w:val="00935F43"/>
    <w:rsid w:val="00935FD4"/>
    <w:rsid w:val="00936087"/>
    <w:rsid w:val="0093613E"/>
    <w:rsid w:val="009362A1"/>
    <w:rsid w:val="009362BB"/>
    <w:rsid w:val="00936335"/>
    <w:rsid w:val="009363FF"/>
    <w:rsid w:val="009365A6"/>
    <w:rsid w:val="00936656"/>
    <w:rsid w:val="009366E9"/>
    <w:rsid w:val="00936745"/>
    <w:rsid w:val="00936795"/>
    <w:rsid w:val="0093680E"/>
    <w:rsid w:val="00936934"/>
    <w:rsid w:val="009369C0"/>
    <w:rsid w:val="00936AA5"/>
    <w:rsid w:val="00936B32"/>
    <w:rsid w:val="00936B4A"/>
    <w:rsid w:val="00936BC2"/>
    <w:rsid w:val="00936C7A"/>
    <w:rsid w:val="00937062"/>
    <w:rsid w:val="0093716D"/>
    <w:rsid w:val="009371CB"/>
    <w:rsid w:val="009372CD"/>
    <w:rsid w:val="009372E9"/>
    <w:rsid w:val="009372F4"/>
    <w:rsid w:val="00937391"/>
    <w:rsid w:val="009373A8"/>
    <w:rsid w:val="00937433"/>
    <w:rsid w:val="0093746A"/>
    <w:rsid w:val="0093747D"/>
    <w:rsid w:val="0093751E"/>
    <w:rsid w:val="00937525"/>
    <w:rsid w:val="00937546"/>
    <w:rsid w:val="009376F6"/>
    <w:rsid w:val="00937789"/>
    <w:rsid w:val="00937822"/>
    <w:rsid w:val="009378CA"/>
    <w:rsid w:val="0093791B"/>
    <w:rsid w:val="00937986"/>
    <w:rsid w:val="00937A58"/>
    <w:rsid w:val="00937A5B"/>
    <w:rsid w:val="00937A72"/>
    <w:rsid w:val="00937B8C"/>
    <w:rsid w:val="00937BD1"/>
    <w:rsid w:val="00937BDF"/>
    <w:rsid w:val="00937D61"/>
    <w:rsid w:val="00937E3A"/>
    <w:rsid w:val="00937E7C"/>
    <w:rsid w:val="00937F37"/>
    <w:rsid w:val="00937F48"/>
    <w:rsid w:val="0094000A"/>
    <w:rsid w:val="0094006B"/>
    <w:rsid w:val="009400E9"/>
    <w:rsid w:val="0094011E"/>
    <w:rsid w:val="009401F0"/>
    <w:rsid w:val="00940285"/>
    <w:rsid w:val="00940365"/>
    <w:rsid w:val="009403B8"/>
    <w:rsid w:val="009403E0"/>
    <w:rsid w:val="00940456"/>
    <w:rsid w:val="00940482"/>
    <w:rsid w:val="009404A5"/>
    <w:rsid w:val="009404ED"/>
    <w:rsid w:val="0094052D"/>
    <w:rsid w:val="009405CB"/>
    <w:rsid w:val="00940683"/>
    <w:rsid w:val="00940768"/>
    <w:rsid w:val="009407C0"/>
    <w:rsid w:val="00940921"/>
    <w:rsid w:val="00940A5A"/>
    <w:rsid w:val="00940A9C"/>
    <w:rsid w:val="00940ACE"/>
    <w:rsid w:val="00940B59"/>
    <w:rsid w:val="00940B72"/>
    <w:rsid w:val="00940BE5"/>
    <w:rsid w:val="00940D62"/>
    <w:rsid w:val="00940E45"/>
    <w:rsid w:val="00940E46"/>
    <w:rsid w:val="00940E8A"/>
    <w:rsid w:val="00940ED5"/>
    <w:rsid w:val="00940EFE"/>
    <w:rsid w:val="00940F44"/>
    <w:rsid w:val="00940FF1"/>
    <w:rsid w:val="0094103C"/>
    <w:rsid w:val="0094108C"/>
    <w:rsid w:val="009410F7"/>
    <w:rsid w:val="009411CD"/>
    <w:rsid w:val="009412A1"/>
    <w:rsid w:val="009412C5"/>
    <w:rsid w:val="009412EB"/>
    <w:rsid w:val="0094130F"/>
    <w:rsid w:val="009413F2"/>
    <w:rsid w:val="00941526"/>
    <w:rsid w:val="009415C5"/>
    <w:rsid w:val="00941686"/>
    <w:rsid w:val="009416C8"/>
    <w:rsid w:val="009417E4"/>
    <w:rsid w:val="009418BF"/>
    <w:rsid w:val="0094199C"/>
    <w:rsid w:val="009419B0"/>
    <w:rsid w:val="009419C4"/>
    <w:rsid w:val="00941A4D"/>
    <w:rsid w:val="00941AA6"/>
    <w:rsid w:val="00941AD6"/>
    <w:rsid w:val="00941B5F"/>
    <w:rsid w:val="00941BBB"/>
    <w:rsid w:val="00941CE6"/>
    <w:rsid w:val="00941D08"/>
    <w:rsid w:val="00941D34"/>
    <w:rsid w:val="00941E29"/>
    <w:rsid w:val="00942023"/>
    <w:rsid w:val="00942085"/>
    <w:rsid w:val="00942096"/>
    <w:rsid w:val="009421DA"/>
    <w:rsid w:val="009422C8"/>
    <w:rsid w:val="009422E5"/>
    <w:rsid w:val="009422EB"/>
    <w:rsid w:val="009422F0"/>
    <w:rsid w:val="00942427"/>
    <w:rsid w:val="0094246E"/>
    <w:rsid w:val="009424C6"/>
    <w:rsid w:val="009424F0"/>
    <w:rsid w:val="0094266F"/>
    <w:rsid w:val="0094269D"/>
    <w:rsid w:val="00942725"/>
    <w:rsid w:val="00942773"/>
    <w:rsid w:val="00942782"/>
    <w:rsid w:val="00942821"/>
    <w:rsid w:val="00942961"/>
    <w:rsid w:val="00942991"/>
    <w:rsid w:val="00942B14"/>
    <w:rsid w:val="00942B36"/>
    <w:rsid w:val="00942B71"/>
    <w:rsid w:val="00942C92"/>
    <w:rsid w:val="00942CA7"/>
    <w:rsid w:val="00942D3F"/>
    <w:rsid w:val="00942D76"/>
    <w:rsid w:val="00942E06"/>
    <w:rsid w:val="00942F62"/>
    <w:rsid w:val="0094304B"/>
    <w:rsid w:val="00943055"/>
    <w:rsid w:val="009430A4"/>
    <w:rsid w:val="009430F2"/>
    <w:rsid w:val="00943164"/>
    <w:rsid w:val="00943193"/>
    <w:rsid w:val="0094326E"/>
    <w:rsid w:val="0094326F"/>
    <w:rsid w:val="00943347"/>
    <w:rsid w:val="0094336D"/>
    <w:rsid w:val="009433A8"/>
    <w:rsid w:val="009433F6"/>
    <w:rsid w:val="009433FF"/>
    <w:rsid w:val="00943453"/>
    <w:rsid w:val="0094369A"/>
    <w:rsid w:val="009437B5"/>
    <w:rsid w:val="009437C2"/>
    <w:rsid w:val="009437F7"/>
    <w:rsid w:val="0094389F"/>
    <w:rsid w:val="009438B5"/>
    <w:rsid w:val="0094393A"/>
    <w:rsid w:val="009439CA"/>
    <w:rsid w:val="00943A36"/>
    <w:rsid w:val="00943A3B"/>
    <w:rsid w:val="00943A66"/>
    <w:rsid w:val="00943A8D"/>
    <w:rsid w:val="00943ADE"/>
    <w:rsid w:val="00943B2F"/>
    <w:rsid w:val="00943B32"/>
    <w:rsid w:val="00943C57"/>
    <w:rsid w:val="00943C76"/>
    <w:rsid w:val="00943D27"/>
    <w:rsid w:val="00943DCB"/>
    <w:rsid w:val="00943DFF"/>
    <w:rsid w:val="00943E24"/>
    <w:rsid w:val="00943E4B"/>
    <w:rsid w:val="00943E70"/>
    <w:rsid w:val="00943E7A"/>
    <w:rsid w:val="009440A6"/>
    <w:rsid w:val="00944117"/>
    <w:rsid w:val="009441A1"/>
    <w:rsid w:val="00944214"/>
    <w:rsid w:val="009442FE"/>
    <w:rsid w:val="00944338"/>
    <w:rsid w:val="0094433A"/>
    <w:rsid w:val="009443B9"/>
    <w:rsid w:val="009444F2"/>
    <w:rsid w:val="00944546"/>
    <w:rsid w:val="0094455B"/>
    <w:rsid w:val="009445E0"/>
    <w:rsid w:val="00944634"/>
    <w:rsid w:val="009446D9"/>
    <w:rsid w:val="009447BC"/>
    <w:rsid w:val="00944863"/>
    <w:rsid w:val="00944864"/>
    <w:rsid w:val="009448DF"/>
    <w:rsid w:val="0094496A"/>
    <w:rsid w:val="0094499B"/>
    <w:rsid w:val="009449C0"/>
    <w:rsid w:val="009449E1"/>
    <w:rsid w:val="00944A0E"/>
    <w:rsid w:val="00944A2F"/>
    <w:rsid w:val="00944A7E"/>
    <w:rsid w:val="00944A88"/>
    <w:rsid w:val="00944ACB"/>
    <w:rsid w:val="00944AD2"/>
    <w:rsid w:val="00944BCD"/>
    <w:rsid w:val="00944CA0"/>
    <w:rsid w:val="00944DFD"/>
    <w:rsid w:val="00944F39"/>
    <w:rsid w:val="00944F3D"/>
    <w:rsid w:val="0094501D"/>
    <w:rsid w:val="00945036"/>
    <w:rsid w:val="009450A0"/>
    <w:rsid w:val="009450C4"/>
    <w:rsid w:val="0094511F"/>
    <w:rsid w:val="0094517B"/>
    <w:rsid w:val="0094518E"/>
    <w:rsid w:val="0094519F"/>
    <w:rsid w:val="00945206"/>
    <w:rsid w:val="009452D0"/>
    <w:rsid w:val="009452DC"/>
    <w:rsid w:val="00945387"/>
    <w:rsid w:val="0094546D"/>
    <w:rsid w:val="0094558E"/>
    <w:rsid w:val="009456C2"/>
    <w:rsid w:val="009456EE"/>
    <w:rsid w:val="009456F5"/>
    <w:rsid w:val="00945746"/>
    <w:rsid w:val="009457EC"/>
    <w:rsid w:val="0094586F"/>
    <w:rsid w:val="0094588B"/>
    <w:rsid w:val="009458C0"/>
    <w:rsid w:val="009459BE"/>
    <w:rsid w:val="00945A36"/>
    <w:rsid w:val="00945B17"/>
    <w:rsid w:val="00945B9A"/>
    <w:rsid w:val="00945C13"/>
    <w:rsid w:val="00945C63"/>
    <w:rsid w:val="00945D0E"/>
    <w:rsid w:val="00945D1A"/>
    <w:rsid w:val="00945D30"/>
    <w:rsid w:val="00945D47"/>
    <w:rsid w:val="00945DB2"/>
    <w:rsid w:val="00945DC3"/>
    <w:rsid w:val="00945F8D"/>
    <w:rsid w:val="00945FD0"/>
    <w:rsid w:val="00946165"/>
    <w:rsid w:val="00946209"/>
    <w:rsid w:val="0094629B"/>
    <w:rsid w:val="00946396"/>
    <w:rsid w:val="009463AE"/>
    <w:rsid w:val="009463CD"/>
    <w:rsid w:val="009463EF"/>
    <w:rsid w:val="009463F2"/>
    <w:rsid w:val="00946436"/>
    <w:rsid w:val="00946498"/>
    <w:rsid w:val="00946542"/>
    <w:rsid w:val="009465BF"/>
    <w:rsid w:val="00946602"/>
    <w:rsid w:val="00946762"/>
    <w:rsid w:val="00946844"/>
    <w:rsid w:val="0094685B"/>
    <w:rsid w:val="0094686B"/>
    <w:rsid w:val="00946926"/>
    <w:rsid w:val="0094699D"/>
    <w:rsid w:val="009469E8"/>
    <w:rsid w:val="00946AA3"/>
    <w:rsid w:val="00946BD6"/>
    <w:rsid w:val="00946CA0"/>
    <w:rsid w:val="00946CB8"/>
    <w:rsid w:val="00946D52"/>
    <w:rsid w:val="00946DF5"/>
    <w:rsid w:val="00946ECD"/>
    <w:rsid w:val="00946F34"/>
    <w:rsid w:val="00947012"/>
    <w:rsid w:val="0094709D"/>
    <w:rsid w:val="00947117"/>
    <w:rsid w:val="00947156"/>
    <w:rsid w:val="0094717C"/>
    <w:rsid w:val="00947191"/>
    <w:rsid w:val="00947269"/>
    <w:rsid w:val="009472F8"/>
    <w:rsid w:val="009474EA"/>
    <w:rsid w:val="0094753E"/>
    <w:rsid w:val="009475BE"/>
    <w:rsid w:val="009475FE"/>
    <w:rsid w:val="00947626"/>
    <w:rsid w:val="009476CA"/>
    <w:rsid w:val="009476D7"/>
    <w:rsid w:val="009476EE"/>
    <w:rsid w:val="009477FB"/>
    <w:rsid w:val="009478EB"/>
    <w:rsid w:val="00947A3F"/>
    <w:rsid w:val="00947A8C"/>
    <w:rsid w:val="00947B02"/>
    <w:rsid w:val="00947CB3"/>
    <w:rsid w:val="00947CEC"/>
    <w:rsid w:val="00947D02"/>
    <w:rsid w:val="00947D50"/>
    <w:rsid w:val="00947ED8"/>
    <w:rsid w:val="00947F34"/>
    <w:rsid w:val="00947FA8"/>
    <w:rsid w:val="00947FEE"/>
    <w:rsid w:val="0095001D"/>
    <w:rsid w:val="00950024"/>
    <w:rsid w:val="009502DC"/>
    <w:rsid w:val="0095033C"/>
    <w:rsid w:val="0095038A"/>
    <w:rsid w:val="00950474"/>
    <w:rsid w:val="00950499"/>
    <w:rsid w:val="0095049C"/>
    <w:rsid w:val="0095050C"/>
    <w:rsid w:val="00950677"/>
    <w:rsid w:val="0095069E"/>
    <w:rsid w:val="009506BA"/>
    <w:rsid w:val="0095079A"/>
    <w:rsid w:val="0095082A"/>
    <w:rsid w:val="00950918"/>
    <w:rsid w:val="0095092E"/>
    <w:rsid w:val="00950965"/>
    <w:rsid w:val="00950A3E"/>
    <w:rsid w:val="00950B1C"/>
    <w:rsid w:val="00950BEE"/>
    <w:rsid w:val="00950C03"/>
    <w:rsid w:val="00950CA7"/>
    <w:rsid w:val="00950CBE"/>
    <w:rsid w:val="00950DDA"/>
    <w:rsid w:val="00950DFD"/>
    <w:rsid w:val="00950EC3"/>
    <w:rsid w:val="00950F10"/>
    <w:rsid w:val="00950F69"/>
    <w:rsid w:val="00951190"/>
    <w:rsid w:val="009511BC"/>
    <w:rsid w:val="009511E7"/>
    <w:rsid w:val="00951283"/>
    <w:rsid w:val="009512BB"/>
    <w:rsid w:val="0095133B"/>
    <w:rsid w:val="00951358"/>
    <w:rsid w:val="009514C5"/>
    <w:rsid w:val="009514E2"/>
    <w:rsid w:val="00951556"/>
    <w:rsid w:val="00951564"/>
    <w:rsid w:val="0095158F"/>
    <w:rsid w:val="009515CE"/>
    <w:rsid w:val="009516DB"/>
    <w:rsid w:val="00951772"/>
    <w:rsid w:val="00951832"/>
    <w:rsid w:val="0095195E"/>
    <w:rsid w:val="00951A71"/>
    <w:rsid w:val="00951A7F"/>
    <w:rsid w:val="00951A8D"/>
    <w:rsid w:val="00951AA4"/>
    <w:rsid w:val="00951AB6"/>
    <w:rsid w:val="00951AE2"/>
    <w:rsid w:val="00951B41"/>
    <w:rsid w:val="00951C35"/>
    <w:rsid w:val="00951C6C"/>
    <w:rsid w:val="00951E8E"/>
    <w:rsid w:val="00951EC0"/>
    <w:rsid w:val="00951F5E"/>
    <w:rsid w:val="00951FA3"/>
    <w:rsid w:val="00951FF6"/>
    <w:rsid w:val="009520F6"/>
    <w:rsid w:val="0095214D"/>
    <w:rsid w:val="009521FA"/>
    <w:rsid w:val="00952297"/>
    <w:rsid w:val="009522BC"/>
    <w:rsid w:val="00952308"/>
    <w:rsid w:val="009524C4"/>
    <w:rsid w:val="0095251B"/>
    <w:rsid w:val="0095258E"/>
    <w:rsid w:val="009525D4"/>
    <w:rsid w:val="009525F9"/>
    <w:rsid w:val="00952612"/>
    <w:rsid w:val="0095270D"/>
    <w:rsid w:val="00952900"/>
    <w:rsid w:val="009529AB"/>
    <w:rsid w:val="00952A59"/>
    <w:rsid w:val="00952A63"/>
    <w:rsid w:val="00952AE1"/>
    <w:rsid w:val="00952E40"/>
    <w:rsid w:val="00952E66"/>
    <w:rsid w:val="00952E7D"/>
    <w:rsid w:val="00953062"/>
    <w:rsid w:val="009531E3"/>
    <w:rsid w:val="009533DA"/>
    <w:rsid w:val="0095342D"/>
    <w:rsid w:val="00953772"/>
    <w:rsid w:val="009537AD"/>
    <w:rsid w:val="009537E3"/>
    <w:rsid w:val="0095380A"/>
    <w:rsid w:val="00953839"/>
    <w:rsid w:val="00953AC3"/>
    <w:rsid w:val="00953B32"/>
    <w:rsid w:val="00953BB4"/>
    <w:rsid w:val="00953CE2"/>
    <w:rsid w:val="00953D66"/>
    <w:rsid w:val="00953D7D"/>
    <w:rsid w:val="00953FB3"/>
    <w:rsid w:val="0095403E"/>
    <w:rsid w:val="009540D1"/>
    <w:rsid w:val="009540DF"/>
    <w:rsid w:val="00954116"/>
    <w:rsid w:val="00954145"/>
    <w:rsid w:val="00954184"/>
    <w:rsid w:val="00954206"/>
    <w:rsid w:val="00954235"/>
    <w:rsid w:val="0095424C"/>
    <w:rsid w:val="00954261"/>
    <w:rsid w:val="0095427E"/>
    <w:rsid w:val="00954355"/>
    <w:rsid w:val="009543D2"/>
    <w:rsid w:val="009544DA"/>
    <w:rsid w:val="00954574"/>
    <w:rsid w:val="009545A6"/>
    <w:rsid w:val="00954608"/>
    <w:rsid w:val="0095465D"/>
    <w:rsid w:val="00954743"/>
    <w:rsid w:val="009547FA"/>
    <w:rsid w:val="009548BE"/>
    <w:rsid w:val="00954A59"/>
    <w:rsid w:val="00954AD1"/>
    <w:rsid w:val="00954B19"/>
    <w:rsid w:val="00954B35"/>
    <w:rsid w:val="00954B83"/>
    <w:rsid w:val="00954B95"/>
    <w:rsid w:val="00954BA1"/>
    <w:rsid w:val="00954CA8"/>
    <w:rsid w:val="00954D0F"/>
    <w:rsid w:val="00954D3B"/>
    <w:rsid w:val="00954D4F"/>
    <w:rsid w:val="00954E07"/>
    <w:rsid w:val="00954E79"/>
    <w:rsid w:val="0095504C"/>
    <w:rsid w:val="009550AB"/>
    <w:rsid w:val="00955111"/>
    <w:rsid w:val="00955120"/>
    <w:rsid w:val="00955197"/>
    <w:rsid w:val="009551D9"/>
    <w:rsid w:val="009552D5"/>
    <w:rsid w:val="0095533E"/>
    <w:rsid w:val="00955436"/>
    <w:rsid w:val="0095549B"/>
    <w:rsid w:val="009554AE"/>
    <w:rsid w:val="009554B4"/>
    <w:rsid w:val="009554BC"/>
    <w:rsid w:val="0095554F"/>
    <w:rsid w:val="009555A2"/>
    <w:rsid w:val="009555B7"/>
    <w:rsid w:val="009556F4"/>
    <w:rsid w:val="00955851"/>
    <w:rsid w:val="0095586D"/>
    <w:rsid w:val="009558E0"/>
    <w:rsid w:val="009558F8"/>
    <w:rsid w:val="00955901"/>
    <w:rsid w:val="009559FF"/>
    <w:rsid w:val="00955B7C"/>
    <w:rsid w:val="00955B96"/>
    <w:rsid w:val="00955C45"/>
    <w:rsid w:val="00955CCB"/>
    <w:rsid w:val="00955D18"/>
    <w:rsid w:val="00955D2D"/>
    <w:rsid w:val="00955D90"/>
    <w:rsid w:val="00955DF5"/>
    <w:rsid w:val="00955F19"/>
    <w:rsid w:val="00955FA5"/>
    <w:rsid w:val="00956017"/>
    <w:rsid w:val="00956020"/>
    <w:rsid w:val="009560E7"/>
    <w:rsid w:val="0095610A"/>
    <w:rsid w:val="0095611D"/>
    <w:rsid w:val="00956201"/>
    <w:rsid w:val="0095620F"/>
    <w:rsid w:val="009562B2"/>
    <w:rsid w:val="009562C0"/>
    <w:rsid w:val="009562F5"/>
    <w:rsid w:val="00956344"/>
    <w:rsid w:val="009563B7"/>
    <w:rsid w:val="0095651A"/>
    <w:rsid w:val="009565C7"/>
    <w:rsid w:val="009565FA"/>
    <w:rsid w:val="0095666A"/>
    <w:rsid w:val="00956685"/>
    <w:rsid w:val="00956746"/>
    <w:rsid w:val="0095674E"/>
    <w:rsid w:val="009567E9"/>
    <w:rsid w:val="0095684B"/>
    <w:rsid w:val="00956883"/>
    <w:rsid w:val="009569A5"/>
    <w:rsid w:val="009569CC"/>
    <w:rsid w:val="00956A16"/>
    <w:rsid w:val="00956A9F"/>
    <w:rsid w:val="00956BB8"/>
    <w:rsid w:val="00956C23"/>
    <w:rsid w:val="00956C86"/>
    <w:rsid w:val="00956D6E"/>
    <w:rsid w:val="00956DFA"/>
    <w:rsid w:val="00956EB8"/>
    <w:rsid w:val="00957158"/>
    <w:rsid w:val="0095716A"/>
    <w:rsid w:val="009571F3"/>
    <w:rsid w:val="0095721C"/>
    <w:rsid w:val="00957226"/>
    <w:rsid w:val="00957256"/>
    <w:rsid w:val="0095726B"/>
    <w:rsid w:val="00957279"/>
    <w:rsid w:val="00957310"/>
    <w:rsid w:val="00957340"/>
    <w:rsid w:val="0095735C"/>
    <w:rsid w:val="00957487"/>
    <w:rsid w:val="009574AD"/>
    <w:rsid w:val="009575B4"/>
    <w:rsid w:val="009575F5"/>
    <w:rsid w:val="00957693"/>
    <w:rsid w:val="009576AB"/>
    <w:rsid w:val="009576C7"/>
    <w:rsid w:val="0095772C"/>
    <w:rsid w:val="009578E9"/>
    <w:rsid w:val="009579A8"/>
    <w:rsid w:val="00957A83"/>
    <w:rsid w:val="00957A9E"/>
    <w:rsid w:val="00957B6E"/>
    <w:rsid w:val="00957C39"/>
    <w:rsid w:val="00957C7D"/>
    <w:rsid w:val="00957CC9"/>
    <w:rsid w:val="00957CE3"/>
    <w:rsid w:val="00957D0D"/>
    <w:rsid w:val="00957D73"/>
    <w:rsid w:val="00957DBB"/>
    <w:rsid w:val="00957E77"/>
    <w:rsid w:val="00957F21"/>
    <w:rsid w:val="00957F52"/>
    <w:rsid w:val="00957FFE"/>
    <w:rsid w:val="00960006"/>
    <w:rsid w:val="00960120"/>
    <w:rsid w:val="00960188"/>
    <w:rsid w:val="009601B9"/>
    <w:rsid w:val="00960242"/>
    <w:rsid w:val="00960363"/>
    <w:rsid w:val="0096037B"/>
    <w:rsid w:val="009603D7"/>
    <w:rsid w:val="0096041D"/>
    <w:rsid w:val="009604F8"/>
    <w:rsid w:val="0096054C"/>
    <w:rsid w:val="00960582"/>
    <w:rsid w:val="00960617"/>
    <w:rsid w:val="00960685"/>
    <w:rsid w:val="00960727"/>
    <w:rsid w:val="009607B6"/>
    <w:rsid w:val="009607C4"/>
    <w:rsid w:val="00960966"/>
    <w:rsid w:val="00960A89"/>
    <w:rsid w:val="00960AD2"/>
    <w:rsid w:val="00960B06"/>
    <w:rsid w:val="00960BA1"/>
    <w:rsid w:val="00960BC5"/>
    <w:rsid w:val="00960C2E"/>
    <w:rsid w:val="00960C56"/>
    <w:rsid w:val="00960CE8"/>
    <w:rsid w:val="00960CF6"/>
    <w:rsid w:val="00960E11"/>
    <w:rsid w:val="00960EAA"/>
    <w:rsid w:val="00960F37"/>
    <w:rsid w:val="00960F84"/>
    <w:rsid w:val="00960FB4"/>
    <w:rsid w:val="00960FC9"/>
    <w:rsid w:val="0096100B"/>
    <w:rsid w:val="0096103F"/>
    <w:rsid w:val="0096106E"/>
    <w:rsid w:val="0096108D"/>
    <w:rsid w:val="009610D0"/>
    <w:rsid w:val="0096118D"/>
    <w:rsid w:val="00961219"/>
    <w:rsid w:val="0096124B"/>
    <w:rsid w:val="0096147C"/>
    <w:rsid w:val="00961492"/>
    <w:rsid w:val="009614F7"/>
    <w:rsid w:val="00961617"/>
    <w:rsid w:val="00961695"/>
    <w:rsid w:val="009617E1"/>
    <w:rsid w:val="00961805"/>
    <w:rsid w:val="009618C1"/>
    <w:rsid w:val="0096196B"/>
    <w:rsid w:val="009619AE"/>
    <w:rsid w:val="00961AA8"/>
    <w:rsid w:val="00961CA2"/>
    <w:rsid w:val="00961D15"/>
    <w:rsid w:val="00961DC4"/>
    <w:rsid w:val="00961FF1"/>
    <w:rsid w:val="0096200D"/>
    <w:rsid w:val="009620F8"/>
    <w:rsid w:val="00962196"/>
    <w:rsid w:val="0096223E"/>
    <w:rsid w:val="0096237F"/>
    <w:rsid w:val="009623D9"/>
    <w:rsid w:val="009623F6"/>
    <w:rsid w:val="00962497"/>
    <w:rsid w:val="009624A0"/>
    <w:rsid w:val="009624AF"/>
    <w:rsid w:val="00962560"/>
    <w:rsid w:val="00962631"/>
    <w:rsid w:val="00962656"/>
    <w:rsid w:val="0096267B"/>
    <w:rsid w:val="009626AF"/>
    <w:rsid w:val="00962702"/>
    <w:rsid w:val="00962737"/>
    <w:rsid w:val="009627A3"/>
    <w:rsid w:val="00962916"/>
    <w:rsid w:val="009629E3"/>
    <w:rsid w:val="00962A04"/>
    <w:rsid w:val="00962A59"/>
    <w:rsid w:val="00962A67"/>
    <w:rsid w:val="00962C17"/>
    <w:rsid w:val="00962D27"/>
    <w:rsid w:val="00962D8C"/>
    <w:rsid w:val="00962DA2"/>
    <w:rsid w:val="00962E28"/>
    <w:rsid w:val="00962EA7"/>
    <w:rsid w:val="00962EFD"/>
    <w:rsid w:val="00962F14"/>
    <w:rsid w:val="00963074"/>
    <w:rsid w:val="0096308A"/>
    <w:rsid w:val="009630B1"/>
    <w:rsid w:val="009630CB"/>
    <w:rsid w:val="009630D7"/>
    <w:rsid w:val="009630EA"/>
    <w:rsid w:val="00963170"/>
    <w:rsid w:val="009631AF"/>
    <w:rsid w:val="00963220"/>
    <w:rsid w:val="0096329C"/>
    <w:rsid w:val="009632AE"/>
    <w:rsid w:val="009632B8"/>
    <w:rsid w:val="009632F6"/>
    <w:rsid w:val="00963430"/>
    <w:rsid w:val="0096344A"/>
    <w:rsid w:val="00963588"/>
    <w:rsid w:val="009636D7"/>
    <w:rsid w:val="00963721"/>
    <w:rsid w:val="0096379E"/>
    <w:rsid w:val="00963903"/>
    <w:rsid w:val="0096395E"/>
    <w:rsid w:val="00963961"/>
    <w:rsid w:val="0096399E"/>
    <w:rsid w:val="009639AF"/>
    <w:rsid w:val="009639C3"/>
    <w:rsid w:val="00963A16"/>
    <w:rsid w:val="00963A2F"/>
    <w:rsid w:val="00963A4A"/>
    <w:rsid w:val="00963C61"/>
    <w:rsid w:val="00963C89"/>
    <w:rsid w:val="00963D6C"/>
    <w:rsid w:val="00963DA7"/>
    <w:rsid w:val="00963DC5"/>
    <w:rsid w:val="00963E4A"/>
    <w:rsid w:val="00963EA9"/>
    <w:rsid w:val="00963F24"/>
    <w:rsid w:val="0096405B"/>
    <w:rsid w:val="009640CC"/>
    <w:rsid w:val="00964170"/>
    <w:rsid w:val="009641E8"/>
    <w:rsid w:val="00964221"/>
    <w:rsid w:val="00964342"/>
    <w:rsid w:val="0096438A"/>
    <w:rsid w:val="0096451B"/>
    <w:rsid w:val="00964623"/>
    <w:rsid w:val="00964707"/>
    <w:rsid w:val="009647C0"/>
    <w:rsid w:val="0096484F"/>
    <w:rsid w:val="009648D6"/>
    <w:rsid w:val="00964A87"/>
    <w:rsid w:val="00964B8E"/>
    <w:rsid w:val="00964C0D"/>
    <w:rsid w:val="00964D0B"/>
    <w:rsid w:val="00964D50"/>
    <w:rsid w:val="00964EEF"/>
    <w:rsid w:val="00964F11"/>
    <w:rsid w:val="00964F83"/>
    <w:rsid w:val="00964F95"/>
    <w:rsid w:val="0096509E"/>
    <w:rsid w:val="00965121"/>
    <w:rsid w:val="0096520C"/>
    <w:rsid w:val="00965264"/>
    <w:rsid w:val="009652BC"/>
    <w:rsid w:val="009652FC"/>
    <w:rsid w:val="00965338"/>
    <w:rsid w:val="009653C5"/>
    <w:rsid w:val="009654A6"/>
    <w:rsid w:val="009655B8"/>
    <w:rsid w:val="009656BC"/>
    <w:rsid w:val="009656C0"/>
    <w:rsid w:val="00965750"/>
    <w:rsid w:val="009659C3"/>
    <w:rsid w:val="009659EE"/>
    <w:rsid w:val="009659F8"/>
    <w:rsid w:val="00965A09"/>
    <w:rsid w:val="00965A6E"/>
    <w:rsid w:val="00965B67"/>
    <w:rsid w:val="00965B76"/>
    <w:rsid w:val="00965D91"/>
    <w:rsid w:val="00965E7E"/>
    <w:rsid w:val="00965EB7"/>
    <w:rsid w:val="00965F60"/>
    <w:rsid w:val="00965FC6"/>
    <w:rsid w:val="00966034"/>
    <w:rsid w:val="0096603B"/>
    <w:rsid w:val="00966175"/>
    <w:rsid w:val="00966181"/>
    <w:rsid w:val="00966206"/>
    <w:rsid w:val="00966226"/>
    <w:rsid w:val="009662A7"/>
    <w:rsid w:val="0096652C"/>
    <w:rsid w:val="00966603"/>
    <w:rsid w:val="00966604"/>
    <w:rsid w:val="0096670E"/>
    <w:rsid w:val="0096671C"/>
    <w:rsid w:val="0096671D"/>
    <w:rsid w:val="00966778"/>
    <w:rsid w:val="00966812"/>
    <w:rsid w:val="009668F2"/>
    <w:rsid w:val="0096694A"/>
    <w:rsid w:val="00966985"/>
    <w:rsid w:val="00966A34"/>
    <w:rsid w:val="00966AEB"/>
    <w:rsid w:val="00966B2D"/>
    <w:rsid w:val="00966B56"/>
    <w:rsid w:val="00966BD7"/>
    <w:rsid w:val="00966BEB"/>
    <w:rsid w:val="00966C5D"/>
    <w:rsid w:val="00966C7B"/>
    <w:rsid w:val="00966C7D"/>
    <w:rsid w:val="00966CF7"/>
    <w:rsid w:val="00966D00"/>
    <w:rsid w:val="00966E2D"/>
    <w:rsid w:val="00966E36"/>
    <w:rsid w:val="00966E83"/>
    <w:rsid w:val="00966EAB"/>
    <w:rsid w:val="00966F1B"/>
    <w:rsid w:val="00966F5D"/>
    <w:rsid w:val="00967031"/>
    <w:rsid w:val="0096703E"/>
    <w:rsid w:val="00967154"/>
    <w:rsid w:val="00967159"/>
    <w:rsid w:val="009671B1"/>
    <w:rsid w:val="0096720C"/>
    <w:rsid w:val="00967226"/>
    <w:rsid w:val="0096735A"/>
    <w:rsid w:val="00967386"/>
    <w:rsid w:val="00967477"/>
    <w:rsid w:val="0096748C"/>
    <w:rsid w:val="0096750F"/>
    <w:rsid w:val="00967571"/>
    <w:rsid w:val="00967595"/>
    <w:rsid w:val="009675FB"/>
    <w:rsid w:val="00967671"/>
    <w:rsid w:val="009676E7"/>
    <w:rsid w:val="00967706"/>
    <w:rsid w:val="00967753"/>
    <w:rsid w:val="0096779C"/>
    <w:rsid w:val="009678A0"/>
    <w:rsid w:val="009678DE"/>
    <w:rsid w:val="009679AF"/>
    <w:rsid w:val="00967A06"/>
    <w:rsid w:val="00967AAB"/>
    <w:rsid w:val="00967B9D"/>
    <w:rsid w:val="00967BCE"/>
    <w:rsid w:val="00967BDD"/>
    <w:rsid w:val="00967C9D"/>
    <w:rsid w:val="00967C9E"/>
    <w:rsid w:val="00967CBB"/>
    <w:rsid w:val="00967D55"/>
    <w:rsid w:val="00967DAF"/>
    <w:rsid w:val="00967DB0"/>
    <w:rsid w:val="00967DF1"/>
    <w:rsid w:val="00967E00"/>
    <w:rsid w:val="00967EF6"/>
    <w:rsid w:val="00967FE7"/>
    <w:rsid w:val="00970073"/>
    <w:rsid w:val="00970098"/>
    <w:rsid w:val="0097019A"/>
    <w:rsid w:val="009701FF"/>
    <w:rsid w:val="009702FD"/>
    <w:rsid w:val="0097031A"/>
    <w:rsid w:val="009703B5"/>
    <w:rsid w:val="0097042B"/>
    <w:rsid w:val="00970497"/>
    <w:rsid w:val="009705E6"/>
    <w:rsid w:val="00970668"/>
    <w:rsid w:val="009706EE"/>
    <w:rsid w:val="0097073E"/>
    <w:rsid w:val="00970825"/>
    <w:rsid w:val="00970836"/>
    <w:rsid w:val="009709BD"/>
    <w:rsid w:val="009709F7"/>
    <w:rsid w:val="00970B82"/>
    <w:rsid w:val="00970C54"/>
    <w:rsid w:val="00970D05"/>
    <w:rsid w:val="00970D66"/>
    <w:rsid w:val="00970E51"/>
    <w:rsid w:val="00970EFA"/>
    <w:rsid w:val="00971021"/>
    <w:rsid w:val="00971057"/>
    <w:rsid w:val="009710E7"/>
    <w:rsid w:val="009711E3"/>
    <w:rsid w:val="00971456"/>
    <w:rsid w:val="00971507"/>
    <w:rsid w:val="009715A1"/>
    <w:rsid w:val="009715AF"/>
    <w:rsid w:val="009716EB"/>
    <w:rsid w:val="00971714"/>
    <w:rsid w:val="009717D0"/>
    <w:rsid w:val="009719BE"/>
    <w:rsid w:val="00971C5F"/>
    <w:rsid w:val="00971CA2"/>
    <w:rsid w:val="00971DB6"/>
    <w:rsid w:val="00971E0C"/>
    <w:rsid w:val="00971E3C"/>
    <w:rsid w:val="00971F4C"/>
    <w:rsid w:val="00971FF4"/>
    <w:rsid w:val="0097229C"/>
    <w:rsid w:val="0097231C"/>
    <w:rsid w:val="00972355"/>
    <w:rsid w:val="00972539"/>
    <w:rsid w:val="00972587"/>
    <w:rsid w:val="0097278C"/>
    <w:rsid w:val="009727D3"/>
    <w:rsid w:val="009727F8"/>
    <w:rsid w:val="00972883"/>
    <w:rsid w:val="009728E6"/>
    <w:rsid w:val="00972957"/>
    <w:rsid w:val="0097297C"/>
    <w:rsid w:val="00972983"/>
    <w:rsid w:val="00972ADE"/>
    <w:rsid w:val="00972AF8"/>
    <w:rsid w:val="00972B4B"/>
    <w:rsid w:val="00972BDB"/>
    <w:rsid w:val="00972C5E"/>
    <w:rsid w:val="00972C85"/>
    <w:rsid w:val="00972CBF"/>
    <w:rsid w:val="00972D6A"/>
    <w:rsid w:val="00972DA5"/>
    <w:rsid w:val="00972EDE"/>
    <w:rsid w:val="00972F5C"/>
    <w:rsid w:val="00973000"/>
    <w:rsid w:val="009730E5"/>
    <w:rsid w:val="0097317F"/>
    <w:rsid w:val="0097323B"/>
    <w:rsid w:val="00973246"/>
    <w:rsid w:val="009732A0"/>
    <w:rsid w:val="009733E4"/>
    <w:rsid w:val="0097343B"/>
    <w:rsid w:val="009734BC"/>
    <w:rsid w:val="00973711"/>
    <w:rsid w:val="00973717"/>
    <w:rsid w:val="00973744"/>
    <w:rsid w:val="00973748"/>
    <w:rsid w:val="009737E3"/>
    <w:rsid w:val="00973888"/>
    <w:rsid w:val="009738AF"/>
    <w:rsid w:val="00973A46"/>
    <w:rsid w:val="00973A51"/>
    <w:rsid w:val="00973AEB"/>
    <w:rsid w:val="00973B2D"/>
    <w:rsid w:val="00973B46"/>
    <w:rsid w:val="00973B6A"/>
    <w:rsid w:val="00973BDD"/>
    <w:rsid w:val="00973C7C"/>
    <w:rsid w:val="00973CF2"/>
    <w:rsid w:val="00973E28"/>
    <w:rsid w:val="00973E86"/>
    <w:rsid w:val="00973E90"/>
    <w:rsid w:val="00973EBB"/>
    <w:rsid w:val="00973EF8"/>
    <w:rsid w:val="009740C9"/>
    <w:rsid w:val="0097411C"/>
    <w:rsid w:val="00974147"/>
    <w:rsid w:val="00974274"/>
    <w:rsid w:val="009742C4"/>
    <w:rsid w:val="00974311"/>
    <w:rsid w:val="009743C0"/>
    <w:rsid w:val="009743C4"/>
    <w:rsid w:val="00974419"/>
    <w:rsid w:val="00974652"/>
    <w:rsid w:val="009747BB"/>
    <w:rsid w:val="00974936"/>
    <w:rsid w:val="009749A1"/>
    <w:rsid w:val="009749EA"/>
    <w:rsid w:val="00974A09"/>
    <w:rsid w:val="00974AAA"/>
    <w:rsid w:val="00974B09"/>
    <w:rsid w:val="00974B85"/>
    <w:rsid w:val="00974C6F"/>
    <w:rsid w:val="00974D59"/>
    <w:rsid w:val="00974D81"/>
    <w:rsid w:val="00974EFC"/>
    <w:rsid w:val="00974F12"/>
    <w:rsid w:val="009750BD"/>
    <w:rsid w:val="009750D3"/>
    <w:rsid w:val="009750D4"/>
    <w:rsid w:val="0097514C"/>
    <w:rsid w:val="00975185"/>
    <w:rsid w:val="0097523A"/>
    <w:rsid w:val="0097525B"/>
    <w:rsid w:val="0097537A"/>
    <w:rsid w:val="009753EC"/>
    <w:rsid w:val="009753F6"/>
    <w:rsid w:val="0097551C"/>
    <w:rsid w:val="0097559D"/>
    <w:rsid w:val="009755A4"/>
    <w:rsid w:val="009755C2"/>
    <w:rsid w:val="0097562E"/>
    <w:rsid w:val="009756F3"/>
    <w:rsid w:val="009757B7"/>
    <w:rsid w:val="00975805"/>
    <w:rsid w:val="00975840"/>
    <w:rsid w:val="00975889"/>
    <w:rsid w:val="0097588A"/>
    <w:rsid w:val="00975896"/>
    <w:rsid w:val="009758BE"/>
    <w:rsid w:val="00975918"/>
    <w:rsid w:val="00975932"/>
    <w:rsid w:val="00975999"/>
    <w:rsid w:val="009759BE"/>
    <w:rsid w:val="009759D4"/>
    <w:rsid w:val="00975B6B"/>
    <w:rsid w:val="00975C4D"/>
    <w:rsid w:val="00975C78"/>
    <w:rsid w:val="00975C7B"/>
    <w:rsid w:val="00975C8E"/>
    <w:rsid w:val="00975CE4"/>
    <w:rsid w:val="00975D16"/>
    <w:rsid w:val="00975D26"/>
    <w:rsid w:val="00975DD0"/>
    <w:rsid w:val="00975DE9"/>
    <w:rsid w:val="00975E29"/>
    <w:rsid w:val="00975E5A"/>
    <w:rsid w:val="00975E71"/>
    <w:rsid w:val="00975EF0"/>
    <w:rsid w:val="00975F03"/>
    <w:rsid w:val="00975FCF"/>
    <w:rsid w:val="0097603F"/>
    <w:rsid w:val="0097617C"/>
    <w:rsid w:val="009761E6"/>
    <w:rsid w:val="009761FA"/>
    <w:rsid w:val="00976444"/>
    <w:rsid w:val="0097644C"/>
    <w:rsid w:val="009764F9"/>
    <w:rsid w:val="00976571"/>
    <w:rsid w:val="00976592"/>
    <w:rsid w:val="0097659E"/>
    <w:rsid w:val="00976676"/>
    <w:rsid w:val="009766EB"/>
    <w:rsid w:val="00976756"/>
    <w:rsid w:val="00976791"/>
    <w:rsid w:val="009767F8"/>
    <w:rsid w:val="009768A8"/>
    <w:rsid w:val="00976B31"/>
    <w:rsid w:val="00976D5E"/>
    <w:rsid w:val="00976D72"/>
    <w:rsid w:val="00976DA7"/>
    <w:rsid w:val="00976F29"/>
    <w:rsid w:val="00976F72"/>
    <w:rsid w:val="0097700C"/>
    <w:rsid w:val="00977042"/>
    <w:rsid w:val="0097705A"/>
    <w:rsid w:val="0097706F"/>
    <w:rsid w:val="009770A5"/>
    <w:rsid w:val="009770B4"/>
    <w:rsid w:val="009771E3"/>
    <w:rsid w:val="00977350"/>
    <w:rsid w:val="009774C2"/>
    <w:rsid w:val="009774EE"/>
    <w:rsid w:val="00977694"/>
    <w:rsid w:val="009776AD"/>
    <w:rsid w:val="00977739"/>
    <w:rsid w:val="009778C5"/>
    <w:rsid w:val="009778DB"/>
    <w:rsid w:val="009778E9"/>
    <w:rsid w:val="00977997"/>
    <w:rsid w:val="00977998"/>
    <w:rsid w:val="00977A71"/>
    <w:rsid w:val="00977B99"/>
    <w:rsid w:val="00977C1E"/>
    <w:rsid w:val="00977C89"/>
    <w:rsid w:val="00977CAF"/>
    <w:rsid w:val="00977CF1"/>
    <w:rsid w:val="00977DB4"/>
    <w:rsid w:val="00977DD4"/>
    <w:rsid w:val="00977E61"/>
    <w:rsid w:val="00977E77"/>
    <w:rsid w:val="00977EAC"/>
    <w:rsid w:val="00977F39"/>
    <w:rsid w:val="00977F9A"/>
    <w:rsid w:val="009800C0"/>
    <w:rsid w:val="00980119"/>
    <w:rsid w:val="009801B8"/>
    <w:rsid w:val="00980206"/>
    <w:rsid w:val="00980406"/>
    <w:rsid w:val="009804B7"/>
    <w:rsid w:val="00980524"/>
    <w:rsid w:val="00980529"/>
    <w:rsid w:val="00980666"/>
    <w:rsid w:val="00980688"/>
    <w:rsid w:val="009806C1"/>
    <w:rsid w:val="00980739"/>
    <w:rsid w:val="0098073A"/>
    <w:rsid w:val="00980767"/>
    <w:rsid w:val="00980775"/>
    <w:rsid w:val="009808D7"/>
    <w:rsid w:val="0098090B"/>
    <w:rsid w:val="00980927"/>
    <w:rsid w:val="00980949"/>
    <w:rsid w:val="00980A4C"/>
    <w:rsid w:val="00980B7D"/>
    <w:rsid w:val="00980BB8"/>
    <w:rsid w:val="00980C62"/>
    <w:rsid w:val="00980C80"/>
    <w:rsid w:val="00980D0E"/>
    <w:rsid w:val="00980DFA"/>
    <w:rsid w:val="00980E32"/>
    <w:rsid w:val="00980E48"/>
    <w:rsid w:val="00980E4F"/>
    <w:rsid w:val="00980E8B"/>
    <w:rsid w:val="00980F6C"/>
    <w:rsid w:val="00980F78"/>
    <w:rsid w:val="00980F84"/>
    <w:rsid w:val="00981064"/>
    <w:rsid w:val="009810FE"/>
    <w:rsid w:val="00981214"/>
    <w:rsid w:val="00981411"/>
    <w:rsid w:val="00981456"/>
    <w:rsid w:val="009814F7"/>
    <w:rsid w:val="0098152E"/>
    <w:rsid w:val="00981549"/>
    <w:rsid w:val="00981581"/>
    <w:rsid w:val="009815A3"/>
    <w:rsid w:val="009815D4"/>
    <w:rsid w:val="00981663"/>
    <w:rsid w:val="0098176D"/>
    <w:rsid w:val="00981818"/>
    <w:rsid w:val="00981906"/>
    <w:rsid w:val="00981A2A"/>
    <w:rsid w:val="00981A83"/>
    <w:rsid w:val="00981ACC"/>
    <w:rsid w:val="00981C7D"/>
    <w:rsid w:val="00981CA2"/>
    <w:rsid w:val="00981D3F"/>
    <w:rsid w:val="00981D68"/>
    <w:rsid w:val="00981D73"/>
    <w:rsid w:val="00981D98"/>
    <w:rsid w:val="00981DFE"/>
    <w:rsid w:val="00981E15"/>
    <w:rsid w:val="00981E26"/>
    <w:rsid w:val="00981E7B"/>
    <w:rsid w:val="00981F7D"/>
    <w:rsid w:val="00982018"/>
    <w:rsid w:val="009820C6"/>
    <w:rsid w:val="0098211A"/>
    <w:rsid w:val="00982283"/>
    <w:rsid w:val="0098231D"/>
    <w:rsid w:val="00982385"/>
    <w:rsid w:val="00982396"/>
    <w:rsid w:val="009823EE"/>
    <w:rsid w:val="0098245B"/>
    <w:rsid w:val="009824AD"/>
    <w:rsid w:val="00982503"/>
    <w:rsid w:val="00982566"/>
    <w:rsid w:val="00982620"/>
    <w:rsid w:val="0098274C"/>
    <w:rsid w:val="009827B0"/>
    <w:rsid w:val="009827EA"/>
    <w:rsid w:val="009827F9"/>
    <w:rsid w:val="009828A6"/>
    <w:rsid w:val="00982907"/>
    <w:rsid w:val="009829B6"/>
    <w:rsid w:val="00982A50"/>
    <w:rsid w:val="00982A54"/>
    <w:rsid w:val="00982A78"/>
    <w:rsid w:val="00982AB6"/>
    <w:rsid w:val="00982AF7"/>
    <w:rsid w:val="00982B42"/>
    <w:rsid w:val="00982B86"/>
    <w:rsid w:val="00982BAC"/>
    <w:rsid w:val="00982C2A"/>
    <w:rsid w:val="00982DE0"/>
    <w:rsid w:val="00982E27"/>
    <w:rsid w:val="00982EC4"/>
    <w:rsid w:val="00982F62"/>
    <w:rsid w:val="00982FC2"/>
    <w:rsid w:val="00983075"/>
    <w:rsid w:val="009831D2"/>
    <w:rsid w:val="009831E9"/>
    <w:rsid w:val="009831EF"/>
    <w:rsid w:val="009833B2"/>
    <w:rsid w:val="0098352B"/>
    <w:rsid w:val="009835A8"/>
    <w:rsid w:val="0098360E"/>
    <w:rsid w:val="0098364D"/>
    <w:rsid w:val="0098366A"/>
    <w:rsid w:val="009836F0"/>
    <w:rsid w:val="0098383C"/>
    <w:rsid w:val="009838E9"/>
    <w:rsid w:val="0098398A"/>
    <w:rsid w:val="00983BC1"/>
    <w:rsid w:val="00983C80"/>
    <w:rsid w:val="00983C84"/>
    <w:rsid w:val="00983D15"/>
    <w:rsid w:val="00983E73"/>
    <w:rsid w:val="00983EA7"/>
    <w:rsid w:val="00983F52"/>
    <w:rsid w:val="0098403F"/>
    <w:rsid w:val="00984125"/>
    <w:rsid w:val="009841B2"/>
    <w:rsid w:val="009841BA"/>
    <w:rsid w:val="00984371"/>
    <w:rsid w:val="009843B7"/>
    <w:rsid w:val="009843DB"/>
    <w:rsid w:val="0098448F"/>
    <w:rsid w:val="00984548"/>
    <w:rsid w:val="00984564"/>
    <w:rsid w:val="009845C8"/>
    <w:rsid w:val="00984661"/>
    <w:rsid w:val="00984665"/>
    <w:rsid w:val="00984695"/>
    <w:rsid w:val="0098479C"/>
    <w:rsid w:val="009847F4"/>
    <w:rsid w:val="009848AE"/>
    <w:rsid w:val="00984939"/>
    <w:rsid w:val="00984959"/>
    <w:rsid w:val="009849D4"/>
    <w:rsid w:val="00984ABF"/>
    <w:rsid w:val="00984B24"/>
    <w:rsid w:val="00984BAC"/>
    <w:rsid w:val="00984BC4"/>
    <w:rsid w:val="00984D4C"/>
    <w:rsid w:val="00984D66"/>
    <w:rsid w:val="00984DC8"/>
    <w:rsid w:val="00984E18"/>
    <w:rsid w:val="00984E28"/>
    <w:rsid w:val="00984E99"/>
    <w:rsid w:val="00984ECD"/>
    <w:rsid w:val="00984F15"/>
    <w:rsid w:val="00984F3F"/>
    <w:rsid w:val="00984F57"/>
    <w:rsid w:val="00985163"/>
    <w:rsid w:val="009851DF"/>
    <w:rsid w:val="0098522C"/>
    <w:rsid w:val="0098524A"/>
    <w:rsid w:val="009852A2"/>
    <w:rsid w:val="00985323"/>
    <w:rsid w:val="009854D4"/>
    <w:rsid w:val="009855BB"/>
    <w:rsid w:val="0098562A"/>
    <w:rsid w:val="0098571C"/>
    <w:rsid w:val="0098573A"/>
    <w:rsid w:val="00985744"/>
    <w:rsid w:val="00985757"/>
    <w:rsid w:val="00985786"/>
    <w:rsid w:val="0098579D"/>
    <w:rsid w:val="009857A7"/>
    <w:rsid w:val="009857F4"/>
    <w:rsid w:val="009859A0"/>
    <w:rsid w:val="00985AD8"/>
    <w:rsid w:val="00985B1B"/>
    <w:rsid w:val="00985D73"/>
    <w:rsid w:val="00985DD0"/>
    <w:rsid w:val="00985E50"/>
    <w:rsid w:val="00985EBB"/>
    <w:rsid w:val="00985ED3"/>
    <w:rsid w:val="00986056"/>
    <w:rsid w:val="0098605D"/>
    <w:rsid w:val="0098609F"/>
    <w:rsid w:val="009860C1"/>
    <w:rsid w:val="00986195"/>
    <w:rsid w:val="00986273"/>
    <w:rsid w:val="0098636F"/>
    <w:rsid w:val="0098637E"/>
    <w:rsid w:val="00986407"/>
    <w:rsid w:val="00986440"/>
    <w:rsid w:val="009865CA"/>
    <w:rsid w:val="00986628"/>
    <w:rsid w:val="00986706"/>
    <w:rsid w:val="0098670C"/>
    <w:rsid w:val="0098683A"/>
    <w:rsid w:val="00986916"/>
    <w:rsid w:val="00986971"/>
    <w:rsid w:val="00986AF7"/>
    <w:rsid w:val="00986AFE"/>
    <w:rsid w:val="00986BF0"/>
    <w:rsid w:val="00986C49"/>
    <w:rsid w:val="00986CF2"/>
    <w:rsid w:val="00986E17"/>
    <w:rsid w:val="00986EB7"/>
    <w:rsid w:val="00986EC0"/>
    <w:rsid w:val="00986F43"/>
    <w:rsid w:val="00986FAA"/>
    <w:rsid w:val="00987109"/>
    <w:rsid w:val="00987144"/>
    <w:rsid w:val="0098715C"/>
    <w:rsid w:val="009871A5"/>
    <w:rsid w:val="0098720D"/>
    <w:rsid w:val="00987238"/>
    <w:rsid w:val="0098725A"/>
    <w:rsid w:val="0098729F"/>
    <w:rsid w:val="009872FB"/>
    <w:rsid w:val="00987416"/>
    <w:rsid w:val="0098747F"/>
    <w:rsid w:val="0098754A"/>
    <w:rsid w:val="00987616"/>
    <w:rsid w:val="0098773D"/>
    <w:rsid w:val="00987789"/>
    <w:rsid w:val="00987890"/>
    <w:rsid w:val="009878B0"/>
    <w:rsid w:val="009878FC"/>
    <w:rsid w:val="00987A0D"/>
    <w:rsid w:val="00987B09"/>
    <w:rsid w:val="00987B60"/>
    <w:rsid w:val="00987C3E"/>
    <w:rsid w:val="00987C7D"/>
    <w:rsid w:val="00987CEB"/>
    <w:rsid w:val="00987D1D"/>
    <w:rsid w:val="00987EB5"/>
    <w:rsid w:val="00987EC8"/>
    <w:rsid w:val="00987F45"/>
    <w:rsid w:val="00987F7B"/>
    <w:rsid w:val="00990047"/>
    <w:rsid w:val="0099011E"/>
    <w:rsid w:val="0099015F"/>
    <w:rsid w:val="00990207"/>
    <w:rsid w:val="00990328"/>
    <w:rsid w:val="00990340"/>
    <w:rsid w:val="0099034B"/>
    <w:rsid w:val="009903A2"/>
    <w:rsid w:val="00990442"/>
    <w:rsid w:val="009904D0"/>
    <w:rsid w:val="009904F7"/>
    <w:rsid w:val="009905E1"/>
    <w:rsid w:val="00990636"/>
    <w:rsid w:val="0099074C"/>
    <w:rsid w:val="0099084D"/>
    <w:rsid w:val="0099090B"/>
    <w:rsid w:val="00990930"/>
    <w:rsid w:val="00990B5F"/>
    <w:rsid w:val="00990B85"/>
    <w:rsid w:val="00990B8B"/>
    <w:rsid w:val="00990D5B"/>
    <w:rsid w:val="00990EBA"/>
    <w:rsid w:val="00990FED"/>
    <w:rsid w:val="00990FF3"/>
    <w:rsid w:val="009911E3"/>
    <w:rsid w:val="009911F7"/>
    <w:rsid w:val="00991207"/>
    <w:rsid w:val="0099127F"/>
    <w:rsid w:val="00991286"/>
    <w:rsid w:val="009912DB"/>
    <w:rsid w:val="0099132A"/>
    <w:rsid w:val="0099136E"/>
    <w:rsid w:val="00991396"/>
    <w:rsid w:val="00991476"/>
    <w:rsid w:val="00991546"/>
    <w:rsid w:val="00991633"/>
    <w:rsid w:val="009916E2"/>
    <w:rsid w:val="009916E6"/>
    <w:rsid w:val="00991764"/>
    <w:rsid w:val="009917D1"/>
    <w:rsid w:val="00991801"/>
    <w:rsid w:val="009918F2"/>
    <w:rsid w:val="009919EA"/>
    <w:rsid w:val="00991A26"/>
    <w:rsid w:val="00991C11"/>
    <w:rsid w:val="00991C4B"/>
    <w:rsid w:val="00991C5F"/>
    <w:rsid w:val="00991D17"/>
    <w:rsid w:val="00991D62"/>
    <w:rsid w:val="00991FD7"/>
    <w:rsid w:val="00992005"/>
    <w:rsid w:val="00992009"/>
    <w:rsid w:val="00992148"/>
    <w:rsid w:val="00992178"/>
    <w:rsid w:val="009925B5"/>
    <w:rsid w:val="009925DE"/>
    <w:rsid w:val="00992768"/>
    <w:rsid w:val="009927EE"/>
    <w:rsid w:val="00992802"/>
    <w:rsid w:val="00992874"/>
    <w:rsid w:val="009928B3"/>
    <w:rsid w:val="009928BD"/>
    <w:rsid w:val="00992A49"/>
    <w:rsid w:val="00992A60"/>
    <w:rsid w:val="00992A62"/>
    <w:rsid w:val="00992DC6"/>
    <w:rsid w:val="00992EE7"/>
    <w:rsid w:val="00993000"/>
    <w:rsid w:val="009930B1"/>
    <w:rsid w:val="0099314F"/>
    <w:rsid w:val="00993178"/>
    <w:rsid w:val="00993214"/>
    <w:rsid w:val="009932B5"/>
    <w:rsid w:val="0099332A"/>
    <w:rsid w:val="00993388"/>
    <w:rsid w:val="009933A6"/>
    <w:rsid w:val="00993448"/>
    <w:rsid w:val="00993459"/>
    <w:rsid w:val="00993537"/>
    <w:rsid w:val="00993587"/>
    <w:rsid w:val="0099365B"/>
    <w:rsid w:val="00993689"/>
    <w:rsid w:val="00993692"/>
    <w:rsid w:val="00993754"/>
    <w:rsid w:val="0099376A"/>
    <w:rsid w:val="0099384A"/>
    <w:rsid w:val="00993993"/>
    <w:rsid w:val="009939F6"/>
    <w:rsid w:val="00993AEC"/>
    <w:rsid w:val="00993B5F"/>
    <w:rsid w:val="00993BCF"/>
    <w:rsid w:val="00993BF0"/>
    <w:rsid w:val="00993C2E"/>
    <w:rsid w:val="00993CB6"/>
    <w:rsid w:val="00993E99"/>
    <w:rsid w:val="00993EB6"/>
    <w:rsid w:val="00993EC2"/>
    <w:rsid w:val="00993FF9"/>
    <w:rsid w:val="009941A4"/>
    <w:rsid w:val="0099427A"/>
    <w:rsid w:val="00994315"/>
    <w:rsid w:val="0099439C"/>
    <w:rsid w:val="009943FE"/>
    <w:rsid w:val="0099444A"/>
    <w:rsid w:val="0099448C"/>
    <w:rsid w:val="00994593"/>
    <w:rsid w:val="009945D4"/>
    <w:rsid w:val="009946B3"/>
    <w:rsid w:val="0099476C"/>
    <w:rsid w:val="00994779"/>
    <w:rsid w:val="00994790"/>
    <w:rsid w:val="009948E6"/>
    <w:rsid w:val="00994996"/>
    <w:rsid w:val="009949C2"/>
    <w:rsid w:val="00994A44"/>
    <w:rsid w:val="00994A4F"/>
    <w:rsid w:val="00994A5D"/>
    <w:rsid w:val="00994A6F"/>
    <w:rsid w:val="00994A76"/>
    <w:rsid w:val="00994BF2"/>
    <w:rsid w:val="00994E2A"/>
    <w:rsid w:val="00994E79"/>
    <w:rsid w:val="00995165"/>
    <w:rsid w:val="00995208"/>
    <w:rsid w:val="009952FD"/>
    <w:rsid w:val="009953F4"/>
    <w:rsid w:val="00995421"/>
    <w:rsid w:val="00995457"/>
    <w:rsid w:val="00995753"/>
    <w:rsid w:val="00995793"/>
    <w:rsid w:val="00995798"/>
    <w:rsid w:val="00995825"/>
    <w:rsid w:val="009958A5"/>
    <w:rsid w:val="00995932"/>
    <w:rsid w:val="009959B1"/>
    <w:rsid w:val="00995A0B"/>
    <w:rsid w:val="00995A7C"/>
    <w:rsid w:val="00995B11"/>
    <w:rsid w:val="00995B6A"/>
    <w:rsid w:val="00995BDF"/>
    <w:rsid w:val="00995D34"/>
    <w:rsid w:val="00995DD9"/>
    <w:rsid w:val="00995E6A"/>
    <w:rsid w:val="00995E75"/>
    <w:rsid w:val="00995E87"/>
    <w:rsid w:val="00995F3F"/>
    <w:rsid w:val="0099602C"/>
    <w:rsid w:val="00996266"/>
    <w:rsid w:val="00996267"/>
    <w:rsid w:val="00996268"/>
    <w:rsid w:val="00996493"/>
    <w:rsid w:val="0099658C"/>
    <w:rsid w:val="009965C7"/>
    <w:rsid w:val="0099660C"/>
    <w:rsid w:val="00996667"/>
    <w:rsid w:val="00996677"/>
    <w:rsid w:val="009967CD"/>
    <w:rsid w:val="0099683A"/>
    <w:rsid w:val="0099683D"/>
    <w:rsid w:val="009968E6"/>
    <w:rsid w:val="0099691A"/>
    <w:rsid w:val="009969C0"/>
    <w:rsid w:val="009969D0"/>
    <w:rsid w:val="009969D5"/>
    <w:rsid w:val="00996A52"/>
    <w:rsid w:val="00996B25"/>
    <w:rsid w:val="00996C7B"/>
    <w:rsid w:val="00996CDD"/>
    <w:rsid w:val="00996CE9"/>
    <w:rsid w:val="00996D01"/>
    <w:rsid w:val="00996D6C"/>
    <w:rsid w:val="00996D77"/>
    <w:rsid w:val="00996DA3"/>
    <w:rsid w:val="00996ECB"/>
    <w:rsid w:val="00996EE6"/>
    <w:rsid w:val="00996FCB"/>
    <w:rsid w:val="00996FE0"/>
    <w:rsid w:val="009970B7"/>
    <w:rsid w:val="0099712B"/>
    <w:rsid w:val="009971F1"/>
    <w:rsid w:val="00997263"/>
    <w:rsid w:val="0099727D"/>
    <w:rsid w:val="009972CB"/>
    <w:rsid w:val="0099745B"/>
    <w:rsid w:val="00997608"/>
    <w:rsid w:val="0099770D"/>
    <w:rsid w:val="00997736"/>
    <w:rsid w:val="009977C4"/>
    <w:rsid w:val="009977F1"/>
    <w:rsid w:val="0099790C"/>
    <w:rsid w:val="00997946"/>
    <w:rsid w:val="00997B9C"/>
    <w:rsid w:val="00997C8B"/>
    <w:rsid w:val="00997C8D"/>
    <w:rsid w:val="00997CAB"/>
    <w:rsid w:val="00997CBA"/>
    <w:rsid w:val="00997F1B"/>
    <w:rsid w:val="00997F8E"/>
    <w:rsid w:val="009A004F"/>
    <w:rsid w:val="009A0090"/>
    <w:rsid w:val="009A01C8"/>
    <w:rsid w:val="009A0374"/>
    <w:rsid w:val="009A03B2"/>
    <w:rsid w:val="009A04AF"/>
    <w:rsid w:val="009A04DB"/>
    <w:rsid w:val="009A059A"/>
    <w:rsid w:val="009A05BD"/>
    <w:rsid w:val="009A05F4"/>
    <w:rsid w:val="009A060E"/>
    <w:rsid w:val="009A061E"/>
    <w:rsid w:val="009A073B"/>
    <w:rsid w:val="009A0814"/>
    <w:rsid w:val="009A081E"/>
    <w:rsid w:val="009A084E"/>
    <w:rsid w:val="009A0863"/>
    <w:rsid w:val="009A08F4"/>
    <w:rsid w:val="009A0AB2"/>
    <w:rsid w:val="009A0B8D"/>
    <w:rsid w:val="009A0BC0"/>
    <w:rsid w:val="009A0C7D"/>
    <w:rsid w:val="009A0CB4"/>
    <w:rsid w:val="009A0D07"/>
    <w:rsid w:val="009A0D0E"/>
    <w:rsid w:val="009A0D15"/>
    <w:rsid w:val="009A0D5D"/>
    <w:rsid w:val="009A0D7A"/>
    <w:rsid w:val="009A0D94"/>
    <w:rsid w:val="009A0E1C"/>
    <w:rsid w:val="009A0E8E"/>
    <w:rsid w:val="009A0FDE"/>
    <w:rsid w:val="009A1030"/>
    <w:rsid w:val="009A107D"/>
    <w:rsid w:val="009A10D1"/>
    <w:rsid w:val="009A10E2"/>
    <w:rsid w:val="009A1175"/>
    <w:rsid w:val="009A12F2"/>
    <w:rsid w:val="009A1349"/>
    <w:rsid w:val="009A1355"/>
    <w:rsid w:val="009A13B9"/>
    <w:rsid w:val="009A13FA"/>
    <w:rsid w:val="009A141C"/>
    <w:rsid w:val="009A142A"/>
    <w:rsid w:val="009A14AF"/>
    <w:rsid w:val="009A14E6"/>
    <w:rsid w:val="009A14F3"/>
    <w:rsid w:val="009A15AF"/>
    <w:rsid w:val="009A15CD"/>
    <w:rsid w:val="009A15D9"/>
    <w:rsid w:val="009A162F"/>
    <w:rsid w:val="009A1702"/>
    <w:rsid w:val="009A17F4"/>
    <w:rsid w:val="009A1862"/>
    <w:rsid w:val="009A1A82"/>
    <w:rsid w:val="009A1AD8"/>
    <w:rsid w:val="009A1B46"/>
    <w:rsid w:val="009A1CA6"/>
    <w:rsid w:val="009A1E12"/>
    <w:rsid w:val="009A1E7E"/>
    <w:rsid w:val="009A1F25"/>
    <w:rsid w:val="009A2060"/>
    <w:rsid w:val="009A2113"/>
    <w:rsid w:val="009A2134"/>
    <w:rsid w:val="009A215A"/>
    <w:rsid w:val="009A2186"/>
    <w:rsid w:val="009A2231"/>
    <w:rsid w:val="009A23F3"/>
    <w:rsid w:val="009A24B8"/>
    <w:rsid w:val="009A24C8"/>
    <w:rsid w:val="009A258C"/>
    <w:rsid w:val="009A262F"/>
    <w:rsid w:val="009A26F3"/>
    <w:rsid w:val="009A2789"/>
    <w:rsid w:val="009A279B"/>
    <w:rsid w:val="009A27D3"/>
    <w:rsid w:val="009A28A9"/>
    <w:rsid w:val="009A28EF"/>
    <w:rsid w:val="009A291E"/>
    <w:rsid w:val="009A2A5D"/>
    <w:rsid w:val="009A2AF7"/>
    <w:rsid w:val="009A2B14"/>
    <w:rsid w:val="009A2B57"/>
    <w:rsid w:val="009A2C0A"/>
    <w:rsid w:val="009A2CFF"/>
    <w:rsid w:val="009A2D1C"/>
    <w:rsid w:val="009A2D1F"/>
    <w:rsid w:val="009A2D36"/>
    <w:rsid w:val="009A2D59"/>
    <w:rsid w:val="009A2E2B"/>
    <w:rsid w:val="009A3056"/>
    <w:rsid w:val="009A309D"/>
    <w:rsid w:val="009A30C2"/>
    <w:rsid w:val="009A31AC"/>
    <w:rsid w:val="009A3203"/>
    <w:rsid w:val="009A3275"/>
    <w:rsid w:val="009A327D"/>
    <w:rsid w:val="009A32FF"/>
    <w:rsid w:val="009A34D1"/>
    <w:rsid w:val="009A34DE"/>
    <w:rsid w:val="009A34E3"/>
    <w:rsid w:val="009A356E"/>
    <w:rsid w:val="009A35B7"/>
    <w:rsid w:val="009A36B8"/>
    <w:rsid w:val="009A376E"/>
    <w:rsid w:val="009A3876"/>
    <w:rsid w:val="009A3AC8"/>
    <w:rsid w:val="009A3B40"/>
    <w:rsid w:val="009A3C22"/>
    <w:rsid w:val="009A3CEC"/>
    <w:rsid w:val="009A3DA7"/>
    <w:rsid w:val="009A3E2D"/>
    <w:rsid w:val="009A3F39"/>
    <w:rsid w:val="009A3F57"/>
    <w:rsid w:val="009A3F89"/>
    <w:rsid w:val="009A4030"/>
    <w:rsid w:val="009A41E6"/>
    <w:rsid w:val="009A420D"/>
    <w:rsid w:val="009A428C"/>
    <w:rsid w:val="009A42D5"/>
    <w:rsid w:val="009A43A3"/>
    <w:rsid w:val="009A43EE"/>
    <w:rsid w:val="009A447D"/>
    <w:rsid w:val="009A44DC"/>
    <w:rsid w:val="009A4507"/>
    <w:rsid w:val="009A4520"/>
    <w:rsid w:val="009A45EF"/>
    <w:rsid w:val="009A4617"/>
    <w:rsid w:val="009A4644"/>
    <w:rsid w:val="009A4647"/>
    <w:rsid w:val="009A46A0"/>
    <w:rsid w:val="009A46AC"/>
    <w:rsid w:val="009A4739"/>
    <w:rsid w:val="009A4879"/>
    <w:rsid w:val="009A493F"/>
    <w:rsid w:val="009A4950"/>
    <w:rsid w:val="009A49F1"/>
    <w:rsid w:val="009A4A06"/>
    <w:rsid w:val="009A4A10"/>
    <w:rsid w:val="009A4A11"/>
    <w:rsid w:val="009A4A1D"/>
    <w:rsid w:val="009A4B13"/>
    <w:rsid w:val="009A4B5B"/>
    <w:rsid w:val="009A4B9A"/>
    <w:rsid w:val="009A4C2B"/>
    <w:rsid w:val="009A4C37"/>
    <w:rsid w:val="009A4C47"/>
    <w:rsid w:val="009A4C8C"/>
    <w:rsid w:val="009A4CEF"/>
    <w:rsid w:val="009A4D03"/>
    <w:rsid w:val="009A4E1A"/>
    <w:rsid w:val="009A4EAB"/>
    <w:rsid w:val="009A4EE7"/>
    <w:rsid w:val="009A4F69"/>
    <w:rsid w:val="009A4FE6"/>
    <w:rsid w:val="009A50C5"/>
    <w:rsid w:val="009A511C"/>
    <w:rsid w:val="009A515B"/>
    <w:rsid w:val="009A51DA"/>
    <w:rsid w:val="009A52AE"/>
    <w:rsid w:val="009A52E6"/>
    <w:rsid w:val="009A533F"/>
    <w:rsid w:val="009A5396"/>
    <w:rsid w:val="009A53BF"/>
    <w:rsid w:val="009A53C5"/>
    <w:rsid w:val="009A5413"/>
    <w:rsid w:val="009A56EB"/>
    <w:rsid w:val="009A5707"/>
    <w:rsid w:val="009A5732"/>
    <w:rsid w:val="009A5843"/>
    <w:rsid w:val="009A5927"/>
    <w:rsid w:val="009A5A9F"/>
    <w:rsid w:val="009A5ACF"/>
    <w:rsid w:val="009A5B57"/>
    <w:rsid w:val="009A5C20"/>
    <w:rsid w:val="009A5C43"/>
    <w:rsid w:val="009A5C5D"/>
    <w:rsid w:val="009A5C9A"/>
    <w:rsid w:val="009A5D8A"/>
    <w:rsid w:val="009A5DC6"/>
    <w:rsid w:val="009A5DCB"/>
    <w:rsid w:val="009A5E08"/>
    <w:rsid w:val="009A5E44"/>
    <w:rsid w:val="009A5F71"/>
    <w:rsid w:val="009A5FD7"/>
    <w:rsid w:val="009A61B7"/>
    <w:rsid w:val="009A641D"/>
    <w:rsid w:val="009A64C0"/>
    <w:rsid w:val="009A6507"/>
    <w:rsid w:val="009A6579"/>
    <w:rsid w:val="009A659A"/>
    <w:rsid w:val="009A67C4"/>
    <w:rsid w:val="009A6858"/>
    <w:rsid w:val="009A692C"/>
    <w:rsid w:val="009A69AC"/>
    <w:rsid w:val="009A6A12"/>
    <w:rsid w:val="009A6A3A"/>
    <w:rsid w:val="009A6A3D"/>
    <w:rsid w:val="009A6A87"/>
    <w:rsid w:val="009A6A91"/>
    <w:rsid w:val="009A6ABD"/>
    <w:rsid w:val="009A6B17"/>
    <w:rsid w:val="009A6B84"/>
    <w:rsid w:val="009A6B9C"/>
    <w:rsid w:val="009A6BEC"/>
    <w:rsid w:val="009A6C72"/>
    <w:rsid w:val="009A6D93"/>
    <w:rsid w:val="009A6DCC"/>
    <w:rsid w:val="009A6F11"/>
    <w:rsid w:val="009A6F70"/>
    <w:rsid w:val="009A6FF0"/>
    <w:rsid w:val="009A705A"/>
    <w:rsid w:val="009A708B"/>
    <w:rsid w:val="009A7112"/>
    <w:rsid w:val="009A71A6"/>
    <w:rsid w:val="009A71E2"/>
    <w:rsid w:val="009A723C"/>
    <w:rsid w:val="009A726F"/>
    <w:rsid w:val="009A72D2"/>
    <w:rsid w:val="009A730A"/>
    <w:rsid w:val="009A7315"/>
    <w:rsid w:val="009A73C7"/>
    <w:rsid w:val="009A757D"/>
    <w:rsid w:val="009A761C"/>
    <w:rsid w:val="009A7627"/>
    <w:rsid w:val="009A7756"/>
    <w:rsid w:val="009A77E9"/>
    <w:rsid w:val="009A78E9"/>
    <w:rsid w:val="009A7A8B"/>
    <w:rsid w:val="009A7B47"/>
    <w:rsid w:val="009A7C24"/>
    <w:rsid w:val="009A7C96"/>
    <w:rsid w:val="009A7CC7"/>
    <w:rsid w:val="009A7CE5"/>
    <w:rsid w:val="009A7CFC"/>
    <w:rsid w:val="009A7D9C"/>
    <w:rsid w:val="009A7E18"/>
    <w:rsid w:val="009A7E57"/>
    <w:rsid w:val="009A7E8B"/>
    <w:rsid w:val="009A7EDF"/>
    <w:rsid w:val="009A7EF7"/>
    <w:rsid w:val="009A7F03"/>
    <w:rsid w:val="009B001D"/>
    <w:rsid w:val="009B0147"/>
    <w:rsid w:val="009B01C2"/>
    <w:rsid w:val="009B057C"/>
    <w:rsid w:val="009B05BD"/>
    <w:rsid w:val="009B0786"/>
    <w:rsid w:val="009B0825"/>
    <w:rsid w:val="009B083D"/>
    <w:rsid w:val="009B085B"/>
    <w:rsid w:val="009B0886"/>
    <w:rsid w:val="009B092B"/>
    <w:rsid w:val="009B09CB"/>
    <w:rsid w:val="009B09D4"/>
    <w:rsid w:val="009B09E4"/>
    <w:rsid w:val="009B0ACE"/>
    <w:rsid w:val="009B0B3E"/>
    <w:rsid w:val="009B0B51"/>
    <w:rsid w:val="009B0B62"/>
    <w:rsid w:val="009B0BEB"/>
    <w:rsid w:val="009B0C19"/>
    <w:rsid w:val="009B0C5F"/>
    <w:rsid w:val="009B0CF6"/>
    <w:rsid w:val="009B0D23"/>
    <w:rsid w:val="009B0E32"/>
    <w:rsid w:val="009B0FA5"/>
    <w:rsid w:val="009B0FA9"/>
    <w:rsid w:val="009B113B"/>
    <w:rsid w:val="009B1166"/>
    <w:rsid w:val="009B12BB"/>
    <w:rsid w:val="009B12BD"/>
    <w:rsid w:val="009B136A"/>
    <w:rsid w:val="009B13B9"/>
    <w:rsid w:val="009B13DF"/>
    <w:rsid w:val="009B1486"/>
    <w:rsid w:val="009B148E"/>
    <w:rsid w:val="009B14EC"/>
    <w:rsid w:val="009B1684"/>
    <w:rsid w:val="009B16AA"/>
    <w:rsid w:val="009B1761"/>
    <w:rsid w:val="009B17C9"/>
    <w:rsid w:val="009B17D1"/>
    <w:rsid w:val="009B1837"/>
    <w:rsid w:val="009B188B"/>
    <w:rsid w:val="009B1A06"/>
    <w:rsid w:val="009B1B24"/>
    <w:rsid w:val="009B1B78"/>
    <w:rsid w:val="009B1BA1"/>
    <w:rsid w:val="009B1BE6"/>
    <w:rsid w:val="009B1C13"/>
    <w:rsid w:val="009B1CB0"/>
    <w:rsid w:val="009B1DC8"/>
    <w:rsid w:val="009B1E9C"/>
    <w:rsid w:val="009B1F3C"/>
    <w:rsid w:val="009B1FE5"/>
    <w:rsid w:val="009B2013"/>
    <w:rsid w:val="009B2092"/>
    <w:rsid w:val="009B209B"/>
    <w:rsid w:val="009B20E1"/>
    <w:rsid w:val="009B20F3"/>
    <w:rsid w:val="009B212F"/>
    <w:rsid w:val="009B214B"/>
    <w:rsid w:val="009B218E"/>
    <w:rsid w:val="009B21AD"/>
    <w:rsid w:val="009B21B3"/>
    <w:rsid w:val="009B2207"/>
    <w:rsid w:val="009B224F"/>
    <w:rsid w:val="009B2269"/>
    <w:rsid w:val="009B2329"/>
    <w:rsid w:val="009B23A5"/>
    <w:rsid w:val="009B23CA"/>
    <w:rsid w:val="009B23D7"/>
    <w:rsid w:val="009B240F"/>
    <w:rsid w:val="009B2454"/>
    <w:rsid w:val="009B2460"/>
    <w:rsid w:val="009B247F"/>
    <w:rsid w:val="009B24A2"/>
    <w:rsid w:val="009B2805"/>
    <w:rsid w:val="009B2924"/>
    <w:rsid w:val="009B2947"/>
    <w:rsid w:val="009B2B9A"/>
    <w:rsid w:val="009B2D44"/>
    <w:rsid w:val="009B2D7A"/>
    <w:rsid w:val="009B2D7B"/>
    <w:rsid w:val="009B2DE7"/>
    <w:rsid w:val="009B2F3D"/>
    <w:rsid w:val="009B2F77"/>
    <w:rsid w:val="009B2FBE"/>
    <w:rsid w:val="009B3065"/>
    <w:rsid w:val="009B309F"/>
    <w:rsid w:val="009B3102"/>
    <w:rsid w:val="009B3129"/>
    <w:rsid w:val="009B3142"/>
    <w:rsid w:val="009B325A"/>
    <w:rsid w:val="009B3269"/>
    <w:rsid w:val="009B3329"/>
    <w:rsid w:val="009B3408"/>
    <w:rsid w:val="009B34A7"/>
    <w:rsid w:val="009B34D9"/>
    <w:rsid w:val="009B3590"/>
    <w:rsid w:val="009B3598"/>
    <w:rsid w:val="009B35CD"/>
    <w:rsid w:val="009B363F"/>
    <w:rsid w:val="009B367B"/>
    <w:rsid w:val="009B3749"/>
    <w:rsid w:val="009B3826"/>
    <w:rsid w:val="009B382B"/>
    <w:rsid w:val="009B38DC"/>
    <w:rsid w:val="009B38E9"/>
    <w:rsid w:val="009B3947"/>
    <w:rsid w:val="009B3960"/>
    <w:rsid w:val="009B3A6F"/>
    <w:rsid w:val="009B3B22"/>
    <w:rsid w:val="009B3B40"/>
    <w:rsid w:val="009B3DE6"/>
    <w:rsid w:val="009B3E19"/>
    <w:rsid w:val="009B3ECC"/>
    <w:rsid w:val="009B3F40"/>
    <w:rsid w:val="009B3FB7"/>
    <w:rsid w:val="009B4000"/>
    <w:rsid w:val="009B400E"/>
    <w:rsid w:val="009B40F3"/>
    <w:rsid w:val="009B4260"/>
    <w:rsid w:val="009B42DE"/>
    <w:rsid w:val="009B430D"/>
    <w:rsid w:val="009B448B"/>
    <w:rsid w:val="009B4493"/>
    <w:rsid w:val="009B454D"/>
    <w:rsid w:val="009B45C6"/>
    <w:rsid w:val="009B4632"/>
    <w:rsid w:val="009B4874"/>
    <w:rsid w:val="009B48C2"/>
    <w:rsid w:val="009B490F"/>
    <w:rsid w:val="009B49F6"/>
    <w:rsid w:val="009B49FE"/>
    <w:rsid w:val="009B4B30"/>
    <w:rsid w:val="009B4BAC"/>
    <w:rsid w:val="009B4C91"/>
    <w:rsid w:val="009B4C9B"/>
    <w:rsid w:val="009B4CCB"/>
    <w:rsid w:val="009B4CFA"/>
    <w:rsid w:val="009B4D44"/>
    <w:rsid w:val="009B4D71"/>
    <w:rsid w:val="009B4E23"/>
    <w:rsid w:val="009B4E87"/>
    <w:rsid w:val="009B4F2D"/>
    <w:rsid w:val="009B5036"/>
    <w:rsid w:val="009B50F4"/>
    <w:rsid w:val="009B5178"/>
    <w:rsid w:val="009B51F5"/>
    <w:rsid w:val="009B5203"/>
    <w:rsid w:val="009B5266"/>
    <w:rsid w:val="009B5324"/>
    <w:rsid w:val="009B5325"/>
    <w:rsid w:val="009B543A"/>
    <w:rsid w:val="009B543B"/>
    <w:rsid w:val="009B545C"/>
    <w:rsid w:val="009B5464"/>
    <w:rsid w:val="009B554E"/>
    <w:rsid w:val="009B55BA"/>
    <w:rsid w:val="009B55EA"/>
    <w:rsid w:val="009B56DD"/>
    <w:rsid w:val="009B56F9"/>
    <w:rsid w:val="009B5726"/>
    <w:rsid w:val="009B57CD"/>
    <w:rsid w:val="009B5897"/>
    <w:rsid w:val="009B595F"/>
    <w:rsid w:val="009B5A1A"/>
    <w:rsid w:val="009B5AAC"/>
    <w:rsid w:val="009B5BD7"/>
    <w:rsid w:val="009B5CD9"/>
    <w:rsid w:val="009B5D0F"/>
    <w:rsid w:val="009B5DA1"/>
    <w:rsid w:val="009B5DC9"/>
    <w:rsid w:val="009B5E11"/>
    <w:rsid w:val="009B5F4C"/>
    <w:rsid w:val="009B5FDF"/>
    <w:rsid w:val="009B60FC"/>
    <w:rsid w:val="009B610D"/>
    <w:rsid w:val="009B6170"/>
    <w:rsid w:val="009B6309"/>
    <w:rsid w:val="009B631B"/>
    <w:rsid w:val="009B631E"/>
    <w:rsid w:val="009B6400"/>
    <w:rsid w:val="009B6492"/>
    <w:rsid w:val="009B6558"/>
    <w:rsid w:val="009B65B8"/>
    <w:rsid w:val="009B6617"/>
    <w:rsid w:val="009B6672"/>
    <w:rsid w:val="009B66B9"/>
    <w:rsid w:val="009B66F3"/>
    <w:rsid w:val="009B6726"/>
    <w:rsid w:val="009B6769"/>
    <w:rsid w:val="009B67D3"/>
    <w:rsid w:val="009B6800"/>
    <w:rsid w:val="009B6A2D"/>
    <w:rsid w:val="009B6B22"/>
    <w:rsid w:val="009B6B7D"/>
    <w:rsid w:val="009B6D32"/>
    <w:rsid w:val="009B6D40"/>
    <w:rsid w:val="009B6D71"/>
    <w:rsid w:val="009B6DDE"/>
    <w:rsid w:val="009B6EEA"/>
    <w:rsid w:val="009B6F86"/>
    <w:rsid w:val="009B7041"/>
    <w:rsid w:val="009B7063"/>
    <w:rsid w:val="009B70B1"/>
    <w:rsid w:val="009B717A"/>
    <w:rsid w:val="009B7342"/>
    <w:rsid w:val="009B73E4"/>
    <w:rsid w:val="009B7415"/>
    <w:rsid w:val="009B747B"/>
    <w:rsid w:val="009B74D9"/>
    <w:rsid w:val="009B753A"/>
    <w:rsid w:val="009B75A3"/>
    <w:rsid w:val="009B7658"/>
    <w:rsid w:val="009B770D"/>
    <w:rsid w:val="009B770E"/>
    <w:rsid w:val="009B7768"/>
    <w:rsid w:val="009B7774"/>
    <w:rsid w:val="009B78B6"/>
    <w:rsid w:val="009B78B7"/>
    <w:rsid w:val="009B792C"/>
    <w:rsid w:val="009B7A14"/>
    <w:rsid w:val="009B7A1C"/>
    <w:rsid w:val="009B7A9D"/>
    <w:rsid w:val="009B7AD6"/>
    <w:rsid w:val="009B7BC8"/>
    <w:rsid w:val="009B7C69"/>
    <w:rsid w:val="009B7CCE"/>
    <w:rsid w:val="009B7DF9"/>
    <w:rsid w:val="009B7E9F"/>
    <w:rsid w:val="009B7EA0"/>
    <w:rsid w:val="009B7FC3"/>
    <w:rsid w:val="009B7FC5"/>
    <w:rsid w:val="009C0025"/>
    <w:rsid w:val="009C0094"/>
    <w:rsid w:val="009C00BE"/>
    <w:rsid w:val="009C011B"/>
    <w:rsid w:val="009C016B"/>
    <w:rsid w:val="009C034D"/>
    <w:rsid w:val="009C035A"/>
    <w:rsid w:val="009C03EA"/>
    <w:rsid w:val="009C0408"/>
    <w:rsid w:val="009C042D"/>
    <w:rsid w:val="009C04AC"/>
    <w:rsid w:val="009C0639"/>
    <w:rsid w:val="009C0748"/>
    <w:rsid w:val="009C077B"/>
    <w:rsid w:val="009C0826"/>
    <w:rsid w:val="009C0864"/>
    <w:rsid w:val="009C0887"/>
    <w:rsid w:val="009C08A5"/>
    <w:rsid w:val="009C0909"/>
    <w:rsid w:val="009C090F"/>
    <w:rsid w:val="009C0996"/>
    <w:rsid w:val="009C09A7"/>
    <w:rsid w:val="009C0B05"/>
    <w:rsid w:val="009C0B74"/>
    <w:rsid w:val="009C0BE2"/>
    <w:rsid w:val="009C0CB4"/>
    <w:rsid w:val="009C0CEB"/>
    <w:rsid w:val="009C0E91"/>
    <w:rsid w:val="009C0E9E"/>
    <w:rsid w:val="009C0ED6"/>
    <w:rsid w:val="009C0FE3"/>
    <w:rsid w:val="009C101C"/>
    <w:rsid w:val="009C1022"/>
    <w:rsid w:val="009C10F3"/>
    <w:rsid w:val="009C1130"/>
    <w:rsid w:val="009C113E"/>
    <w:rsid w:val="009C12C6"/>
    <w:rsid w:val="009C12EA"/>
    <w:rsid w:val="009C1316"/>
    <w:rsid w:val="009C1320"/>
    <w:rsid w:val="009C1324"/>
    <w:rsid w:val="009C14FA"/>
    <w:rsid w:val="009C1625"/>
    <w:rsid w:val="009C1658"/>
    <w:rsid w:val="009C1739"/>
    <w:rsid w:val="009C1745"/>
    <w:rsid w:val="009C175D"/>
    <w:rsid w:val="009C17AA"/>
    <w:rsid w:val="009C1817"/>
    <w:rsid w:val="009C1838"/>
    <w:rsid w:val="009C1888"/>
    <w:rsid w:val="009C193B"/>
    <w:rsid w:val="009C1957"/>
    <w:rsid w:val="009C1A34"/>
    <w:rsid w:val="009C1A7F"/>
    <w:rsid w:val="009C1C63"/>
    <w:rsid w:val="009C1F13"/>
    <w:rsid w:val="009C1F53"/>
    <w:rsid w:val="009C2004"/>
    <w:rsid w:val="009C2115"/>
    <w:rsid w:val="009C2151"/>
    <w:rsid w:val="009C2196"/>
    <w:rsid w:val="009C2279"/>
    <w:rsid w:val="009C22B2"/>
    <w:rsid w:val="009C22EB"/>
    <w:rsid w:val="009C2307"/>
    <w:rsid w:val="009C239D"/>
    <w:rsid w:val="009C23A3"/>
    <w:rsid w:val="009C2426"/>
    <w:rsid w:val="009C24EE"/>
    <w:rsid w:val="009C24F5"/>
    <w:rsid w:val="009C262A"/>
    <w:rsid w:val="009C26E3"/>
    <w:rsid w:val="009C2713"/>
    <w:rsid w:val="009C27D0"/>
    <w:rsid w:val="009C27DB"/>
    <w:rsid w:val="009C2840"/>
    <w:rsid w:val="009C293D"/>
    <w:rsid w:val="009C2A18"/>
    <w:rsid w:val="009C2ACD"/>
    <w:rsid w:val="009C2C5E"/>
    <w:rsid w:val="009C2CBC"/>
    <w:rsid w:val="009C2CDE"/>
    <w:rsid w:val="009C2D2F"/>
    <w:rsid w:val="009C2EAE"/>
    <w:rsid w:val="009C31BA"/>
    <w:rsid w:val="009C31BB"/>
    <w:rsid w:val="009C3307"/>
    <w:rsid w:val="009C339F"/>
    <w:rsid w:val="009C33EC"/>
    <w:rsid w:val="009C3567"/>
    <w:rsid w:val="009C367F"/>
    <w:rsid w:val="009C37C3"/>
    <w:rsid w:val="009C37F4"/>
    <w:rsid w:val="009C39A7"/>
    <w:rsid w:val="009C39C2"/>
    <w:rsid w:val="009C3A73"/>
    <w:rsid w:val="009C3AF0"/>
    <w:rsid w:val="009C3C0A"/>
    <w:rsid w:val="009C3CBD"/>
    <w:rsid w:val="009C3E69"/>
    <w:rsid w:val="009C3EBD"/>
    <w:rsid w:val="009C406E"/>
    <w:rsid w:val="009C40A6"/>
    <w:rsid w:val="009C4175"/>
    <w:rsid w:val="009C41A6"/>
    <w:rsid w:val="009C41CB"/>
    <w:rsid w:val="009C41DB"/>
    <w:rsid w:val="009C420A"/>
    <w:rsid w:val="009C4228"/>
    <w:rsid w:val="009C429A"/>
    <w:rsid w:val="009C4315"/>
    <w:rsid w:val="009C4326"/>
    <w:rsid w:val="009C4353"/>
    <w:rsid w:val="009C438C"/>
    <w:rsid w:val="009C4479"/>
    <w:rsid w:val="009C4534"/>
    <w:rsid w:val="009C485A"/>
    <w:rsid w:val="009C48D9"/>
    <w:rsid w:val="009C48E6"/>
    <w:rsid w:val="009C48E9"/>
    <w:rsid w:val="009C4955"/>
    <w:rsid w:val="009C4995"/>
    <w:rsid w:val="009C49D7"/>
    <w:rsid w:val="009C4B4E"/>
    <w:rsid w:val="009C4BEE"/>
    <w:rsid w:val="009C4C01"/>
    <w:rsid w:val="009C4C3E"/>
    <w:rsid w:val="009C4D89"/>
    <w:rsid w:val="009C4D9A"/>
    <w:rsid w:val="009C4D9E"/>
    <w:rsid w:val="009C4E86"/>
    <w:rsid w:val="009C4EBD"/>
    <w:rsid w:val="009C4F27"/>
    <w:rsid w:val="009C4F9E"/>
    <w:rsid w:val="009C4FE6"/>
    <w:rsid w:val="009C5028"/>
    <w:rsid w:val="009C50EE"/>
    <w:rsid w:val="009C514E"/>
    <w:rsid w:val="009C5191"/>
    <w:rsid w:val="009C51F7"/>
    <w:rsid w:val="009C521D"/>
    <w:rsid w:val="009C5345"/>
    <w:rsid w:val="009C53EA"/>
    <w:rsid w:val="009C55A0"/>
    <w:rsid w:val="009C55A8"/>
    <w:rsid w:val="009C55DC"/>
    <w:rsid w:val="009C5619"/>
    <w:rsid w:val="009C5624"/>
    <w:rsid w:val="009C562F"/>
    <w:rsid w:val="009C5640"/>
    <w:rsid w:val="009C5680"/>
    <w:rsid w:val="009C5695"/>
    <w:rsid w:val="009C56C8"/>
    <w:rsid w:val="009C56DC"/>
    <w:rsid w:val="009C577B"/>
    <w:rsid w:val="009C5802"/>
    <w:rsid w:val="009C582A"/>
    <w:rsid w:val="009C5874"/>
    <w:rsid w:val="009C589D"/>
    <w:rsid w:val="009C58CB"/>
    <w:rsid w:val="009C5A4F"/>
    <w:rsid w:val="009C5B40"/>
    <w:rsid w:val="009C5BED"/>
    <w:rsid w:val="009C5C2A"/>
    <w:rsid w:val="009C5C73"/>
    <w:rsid w:val="009C5CD4"/>
    <w:rsid w:val="009C5D16"/>
    <w:rsid w:val="009C5FE8"/>
    <w:rsid w:val="009C6076"/>
    <w:rsid w:val="009C60A6"/>
    <w:rsid w:val="009C616A"/>
    <w:rsid w:val="009C6314"/>
    <w:rsid w:val="009C63B5"/>
    <w:rsid w:val="009C63D6"/>
    <w:rsid w:val="009C6441"/>
    <w:rsid w:val="009C647A"/>
    <w:rsid w:val="009C653C"/>
    <w:rsid w:val="009C6580"/>
    <w:rsid w:val="009C6721"/>
    <w:rsid w:val="009C679D"/>
    <w:rsid w:val="009C6962"/>
    <w:rsid w:val="009C69F6"/>
    <w:rsid w:val="009C6A9E"/>
    <w:rsid w:val="009C6AA5"/>
    <w:rsid w:val="009C6BB4"/>
    <w:rsid w:val="009C6CF1"/>
    <w:rsid w:val="009C6EDD"/>
    <w:rsid w:val="009C6F30"/>
    <w:rsid w:val="009C6F83"/>
    <w:rsid w:val="009C6F99"/>
    <w:rsid w:val="009C70A4"/>
    <w:rsid w:val="009C70B5"/>
    <w:rsid w:val="009C71B1"/>
    <w:rsid w:val="009C71C3"/>
    <w:rsid w:val="009C71EA"/>
    <w:rsid w:val="009C71F3"/>
    <w:rsid w:val="009C7206"/>
    <w:rsid w:val="009C72D7"/>
    <w:rsid w:val="009C730B"/>
    <w:rsid w:val="009C742D"/>
    <w:rsid w:val="009C7454"/>
    <w:rsid w:val="009C7467"/>
    <w:rsid w:val="009C7581"/>
    <w:rsid w:val="009C76A6"/>
    <w:rsid w:val="009C76B1"/>
    <w:rsid w:val="009C7700"/>
    <w:rsid w:val="009C775B"/>
    <w:rsid w:val="009C777E"/>
    <w:rsid w:val="009C778A"/>
    <w:rsid w:val="009C77ED"/>
    <w:rsid w:val="009C781E"/>
    <w:rsid w:val="009C7830"/>
    <w:rsid w:val="009C783C"/>
    <w:rsid w:val="009C7868"/>
    <w:rsid w:val="009C78AD"/>
    <w:rsid w:val="009C790C"/>
    <w:rsid w:val="009C7A5D"/>
    <w:rsid w:val="009C7B3D"/>
    <w:rsid w:val="009C7B94"/>
    <w:rsid w:val="009C7BBB"/>
    <w:rsid w:val="009C7BE1"/>
    <w:rsid w:val="009C7C94"/>
    <w:rsid w:val="009C7CAC"/>
    <w:rsid w:val="009C7D36"/>
    <w:rsid w:val="009C7D3D"/>
    <w:rsid w:val="009C7D48"/>
    <w:rsid w:val="009C7E38"/>
    <w:rsid w:val="009C7F65"/>
    <w:rsid w:val="009C7FD2"/>
    <w:rsid w:val="009C7FEB"/>
    <w:rsid w:val="009D0041"/>
    <w:rsid w:val="009D0060"/>
    <w:rsid w:val="009D018C"/>
    <w:rsid w:val="009D01BA"/>
    <w:rsid w:val="009D0254"/>
    <w:rsid w:val="009D02A1"/>
    <w:rsid w:val="009D034C"/>
    <w:rsid w:val="009D0395"/>
    <w:rsid w:val="009D0426"/>
    <w:rsid w:val="009D0472"/>
    <w:rsid w:val="009D05A8"/>
    <w:rsid w:val="009D063A"/>
    <w:rsid w:val="009D0659"/>
    <w:rsid w:val="009D06C2"/>
    <w:rsid w:val="009D0737"/>
    <w:rsid w:val="009D0896"/>
    <w:rsid w:val="009D08D1"/>
    <w:rsid w:val="009D09AC"/>
    <w:rsid w:val="009D0A23"/>
    <w:rsid w:val="009D0A78"/>
    <w:rsid w:val="009D0B5B"/>
    <w:rsid w:val="009D0B67"/>
    <w:rsid w:val="009D0B89"/>
    <w:rsid w:val="009D0C63"/>
    <w:rsid w:val="009D0C99"/>
    <w:rsid w:val="009D0CC4"/>
    <w:rsid w:val="009D0D19"/>
    <w:rsid w:val="009D0DA8"/>
    <w:rsid w:val="009D0F60"/>
    <w:rsid w:val="009D0FB8"/>
    <w:rsid w:val="009D0FEA"/>
    <w:rsid w:val="009D0FF1"/>
    <w:rsid w:val="009D1066"/>
    <w:rsid w:val="009D108E"/>
    <w:rsid w:val="009D10DD"/>
    <w:rsid w:val="009D11D3"/>
    <w:rsid w:val="009D1242"/>
    <w:rsid w:val="009D1256"/>
    <w:rsid w:val="009D12BA"/>
    <w:rsid w:val="009D12D7"/>
    <w:rsid w:val="009D1363"/>
    <w:rsid w:val="009D155F"/>
    <w:rsid w:val="009D16DE"/>
    <w:rsid w:val="009D1843"/>
    <w:rsid w:val="009D18AD"/>
    <w:rsid w:val="009D18B9"/>
    <w:rsid w:val="009D1950"/>
    <w:rsid w:val="009D1952"/>
    <w:rsid w:val="009D19A6"/>
    <w:rsid w:val="009D19D8"/>
    <w:rsid w:val="009D1B1B"/>
    <w:rsid w:val="009D1D8D"/>
    <w:rsid w:val="009D1DB1"/>
    <w:rsid w:val="009D1DEA"/>
    <w:rsid w:val="009D1F28"/>
    <w:rsid w:val="009D1F46"/>
    <w:rsid w:val="009D204F"/>
    <w:rsid w:val="009D2056"/>
    <w:rsid w:val="009D20CB"/>
    <w:rsid w:val="009D214E"/>
    <w:rsid w:val="009D225E"/>
    <w:rsid w:val="009D227D"/>
    <w:rsid w:val="009D23E5"/>
    <w:rsid w:val="009D2497"/>
    <w:rsid w:val="009D2544"/>
    <w:rsid w:val="009D255C"/>
    <w:rsid w:val="009D2577"/>
    <w:rsid w:val="009D2621"/>
    <w:rsid w:val="009D26C5"/>
    <w:rsid w:val="009D26E1"/>
    <w:rsid w:val="009D26E5"/>
    <w:rsid w:val="009D274C"/>
    <w:rsid w:val="009D2757"/>
    <w:rsid w:val="009D2766"/>
    <w:rsid w:val="009D27F6"/>
    <w:rsid w:val="009D2847"/>
    <w:rsid w:val="009D2868"/>
    <w:rsid w:val="009D2899"/>
    <w:rsid w:val="009D2920"/>
    <w:rsid w:val="009D2958"/>
    <w:rsid w:val="009D29F4"/>
    <w:rsid w:val="009D2A25"/>
    <w:rsid w:val="009D2AD4"/>
    <w:rsid w:val="009D2BE6"/>
    <w:rsid w:val="009D2C1B"/>
    <w:rsid w:val="009D2C57"/>
    <w:rsid w:val="009D2C80"/>
    <w:rsid w:val="009D2D2D"/>
    <w:rsid w:val="009D2DB8"/>
    <w:rsid w:val="009D2DFB"/>
    <w:rsid w:val="009D2EF6"/>
    <w:rsid w:val="009D2F10"/>
    <w:rsid w:val="009D2FAD"/>
    <w:rsid w:val="009D2FC7"/>
    <w:rsid w:val="009D3005"/>
    <w:rsid w:val="009D3022"/>
    <w:rsid w:val="009D3028"/>
    <w:rsid w:val="009D31E1"/>
    <w:rsid w:val="009D32FC"/>
    <w:rsid w:val="009D355E"/>
    <w:rsid w:val="009D3568"/>
    <w:rsid w:val="009D3576"/>
    <w:rsid w:val="009D35B3"/>
    <w:rsid w:val="009D3615"/>
    <w:rsid w:val="009D3746"/>
    <w:rsid w:val="009D3800"/>
    <w:rsid w:val="009D3863"/>
    <w:rsid w:val="009D3893"/>
    <w:rsid w:val="009D38F5"/>
    <w:rsid w:val="009D399C"/>
    <w:rsid w:val="009D39B8"/>
    <w:rsid w:val="009D3ABB"/>
    <w:rsid w:val="009D3B15"/>
    <w:rsid w:val="009D3C3D"/>
    <w:rsid w:val="009D3D0B"/>
    <w:rsid w:val="009D3E98"/>
    <w:rsid w:val="009D3EC2"/>
    <w:rsid w:val="009D40B5"/>
    <w:rsid w:val="009D40C8"/>
    <w:rsid w:val="009D4286"/>
    <w:rsid w:val="009D42BB"/>
    <w:rsid w:val="009D42E3"/>
    <w:rsid w:val="009D4319"/>
    <w:rsid w:val="009D4324"/>
    <w:rsid w:val="009D43FC"/>
    <w:rsid w:val="009D4409"/>
    <w:rsid w:val="009D44D2"/>
    <w:rsid w:val="009D44F0"/>
    <w:rsid w:val="009D4517"/>
    <w:rsid w:val="009D4523"/>
    <w:rsid w:val="009D4532"/>
    <w:rsid w:val="009D456E"/>
    <w:rsid w:val="009D45C0"/>
    <w:rsid w:val="009D4668"/>
    <w:rsid w:val="009D466D"/>
    <w:rsid w:val="009D4694"/>
    <w:rsid w:val="009D471B"/>
    <w:rsid w:val="009D47CE"/>
    <w:rsid w:val="009D481F"/>
    <w:rsid w:val="009D4893"/>
    <w:rsid w:val="009D48C9"/>
    <w:rsid w:val="009D497E"/>
    <w:rsid w:val="009D49D6"/>
    <w:rsid w:val="009D4A9A"/>
    <w:rsid w:val="009D4B05"/>
    <w:rsid w:val="009D4BAC"/>
    <w:rsid w:val="009D4BFB"/>
    <w:rsid w:val="009D4C04"/>
    <w:rsid w:val="009D4C18"/>
    <w:rsid w:val="009D4C29"/>
    <w:rsid w:val="009D4C69"/>
    <w:rsid w:val="009D4CB8"/>
    <w:rsid w:val="009D4E31"/>
    <w:rsid w:val="009D4E6E"/>
    <w:rsid w:val="009D4E97"/>
    <w:rsid w:val="009D4ECB"/>
    <w:rsid w:val="009D4F4D"/>
    <w:rsid w:val="009D4F4F"/>
    <w:rsid w:val="009D50A0"/>
    <w:rsid w:val="009D5138"/>
    <w:rsid w:val="009D5182"/>
    <w:rsid w:val="009D5216"/>
    <w:rsid w:val="009D5231"/>
    <w:rsid w:val="009D5233"/>
    <w:rsid w:val="009D5248"/>
    <w:rsid w:val="009D5265"/>
    <w:rsid w:val="009D52E2"/>
    <w:rsid w:val="009D534A"/>
    <w:rsid w:val="009D5474"/>
    <w:rsid w:val="009D54A1"/>
    <w:rsid w:val="009D54D3"/>
    <w:rsid w:val="009D56E5"/>
    <w:rsid w:val="009D57CD"/>
    <w:rsid w:val="009D58A9"/>
    <w:rsid w:val="009D58C1"/>
    <w:rsid w:val="009D5A0E"/>
    <w:rsid w:val="009D5B8E"/>
    <w:rsid w:val="009D5BBA"/>
    <w:rsid w:val="009D5BC1"/>
    <w:rsid w:val="009D5CB5"/>
    <w:rsid w:val="009D5CBA"/>
    <w:rsid w:val="009D5CBB"/>
    <w:rsid w:val="009D5D6C"/>
    <w:rsid w:val="009D5E3D"/>
    <w:rsid w:val="009D5EB5"/>
    <w:rsid w:val="009D5EE2"/>
    <w:rsid w:val="009D5F5C"/>
    <w:rsid w:val="009D5F78"/>
    <w:rsid w:val="009D5FB5"/>
    <w:rsid w:val="009D6154"/>
    <w:rsid w:val="009D61C2"/>
    <w:rsid w:val="009D61D5"/>
    <w:rsid w:val="009D6227"/>
    <w:rsid w:val="009D62AC"/>
    <w:rsid w:val="009D62C4"/>
    <w:rsid w:val="009D639C"/>
    <w:rsid w:val="009D639D"/>
    <w:rsid w:val="009D65FE"/>
    <w:rsid w:val="009D6674"/>
    <w:rsid w:val="009D6681"/>
    <w:rsid w:val="009D669B"/>
    <w:rsid w:val="009D66DA"/>
    <w:rsid w:val="009D6707"/>
    <w:rsid w:val="009D6882"/>
    <w:rsid w:val="009D68EF"/>
    <w:rsid w:val="009D692B"/>
    <w:rsid w:val="009D69D9"/>
    <w:rsid w:val="009D6A41"/>
    <w:rsid w:val="009D6BB5"/>
    <w:rsid w:val="009D6C13"/>
    <w:rsid w:val="009D6C16"/>
    <w:rsid w:val="009D6C1D"/>
    <w:rsid w:val="009D6C2F"/>
    <w:rsid w:val="009D6C8E"/>
    <w:rsid w:val="009D6D38"/>
    <w:rsid w:val="009D6D80"/>
    <w:rsid w:val="009D6DBA"/>
    <w:rsid w:val="009D6E62"/>
    <w:rsid w:val="009D6EA4"/>
    <w:rsid w:val="009D7023"/>
    <w:rsid w:val="009D7051"/>
    <w:rsid w:val="009D724E"/>
    <w:rsid w:val="009D72DF"/>
    <w:rsid w:val="009D7311"/>
    <w:rsid w:val="009D7314"/>
    <w:rsid w:val="009D7365"/>
    <w:rsid w:val="009D73BF"/>
    <w:rsid w:val="009D74D6"/>
    <w:rsid w:val="009D762F"/>
    <w:rsid w:val="009D766D"/>
    <w:rsid w:val="009D76AB"/>
    <w:rsid w:val="009D7705"/>
    <w:rsid w:val="009D770F"/>
    <w:rsid w:val="009D7745"/>
    <w:rsid w:val="009D7784"/>
    <w:rsid w:val="009D77A2"/>
    <w:rsid w:val="009D7871"/>
    <w:rsid w:val="009D78A1"/>
    <w:rsid w:val="009D78AD"/>
    <w:rsid w:val="009D78B5"/>
    <w:rsid w:val="009D7AC6"/>
    <w:rsid w:val="009D7C70"/>
    <w:rsid w:val="009D7D62"/>
    <w:rsid w:val="009D7D75"/>
    <w:rsid w:val="009D7E79"/>
    <w:rsid w:val="009D7EB0"/>
    <w:rsid w:val="009E0006"/>
    <w:rsid w:val="009E006C"/>
    <w:rsid w:val="009E015E"/>
    <w:rsid w:val="009E0194"/>
    <w:rsid w:val="009E0289"/>
    <w:rsid w:val="009E02DD"/>
    <w:rsid w:val="009E037C"/>
    <w:rsid w:val="009E03AA"/>
    <w:rsid w:val="009E0456"/>
    <w:rsid w:val="009E05B0"/>
    <w:rsid w:val="009E05BC"/>
    <w:rsid w:val="009E05C7"/>
    <w:rsid w:val="009E05CD"/>
    <w:rsid w:val="009E0602"/>
    <w:rsid w:val="009E069C"/>
    <w:rsid w:val="009E06DE"/>
    <w:rsid w:val="009E092A"/>
    <w:rsid w:val="009E092F"/>
    <w:rsid w:val="009E095E"/>
    <w:rsid w:val="009E09CE"/>
    <w:rsid w:val="009E09F6"/>
    <w:rsid w:val="009E0B37"/>
    <w:rsid w:val="009E0B4D"/>
    <w:rsid w:val="009E0B7F"/>
    <w:rsid w:val="009E0C46"/>
    <w:rsid w:val="009E0C68"/>
    <w:rsid w:val="009E0CCF"/>
    <w:rsid w:val="009E0D86"/>
    <w:rsid w:val="009E0FD6"/>
    <w:rsid w:val="009E0FDC"/>
    <w:rsid w:val="009E0FE5"/>
    <w:rsid w:val="009E10C1"/>
    <w:rsid w:val="009E11BA"/>
    <w:rsid w:val="009E130F"/>
    <w:rsid w:val="009E132C"/>
    <w:rsid w:val="009E1338"/>
    <w:rsid w:val="009E1356"/>
    <w:rsid w:val="009E149F"/>
    <w:rsid w:val="009E14A0"/>
    <w:rsid w:val="009E157C"/>
    <w:rsid w:val="009E15BC"/>
    <w:rsid w:val="009E15BE"/>
    <w:rsid w:val="009E1639"/>
    <w:rsid w:val="009E175A"/>
    <w:rsid w:val="009E1904"/>
    <w:rsid w:val="009E19F2"/>
    <w:rsid w:val="009E1AA9"/>
    <w:rsid w:val="009E1B5C"/>
    <w:rsid w:val="009E1BB1"/>
    <w:rsid w:val="009E1BC1"/>
    <w:rsid w:val="009E1D59"/>
    <w:rsid w:val="009E1E59"/>
    <w:rsid w:val="009E1F82"/>
    <w:rsid w:val="009E20C4"/>
    <w:rsid w:val="009E2137"/>
    <w:rsid w:val="009E2158"/>
    <w:rsid w:val="009E21AD"/>
    <w:rsid w:val="009E22A3"/>
    <w:rsid w:val="009E22B7"/>
    <w:rsid w:val="009E2307"/>
    <w:rsid w:val="009E2350"/>
    <w:rsid w:val="009E23D1"/>
    <w:rsid w:val="009E24F9"/>
    <w:rsid w:val="009E2518"/>
    <w:rsid w:val="009E25B7"/>
    <w:rsid w:val="009E25F0"/>
    <w:rsid w:val="009E2619"/>
    <w:rsid w:val="009E26D1"/>
    <w:rsid w:val="009E274A"/>
    <w:rsid w:val="009E2870"/>
    <w:rsid w:val="009E28EB"/>
    <w:rsid w:val="009E28EE"/>
    <w:rsid w:val="009E2910"/>
    <w:rsid w:val="009E29F7"/>
    <w:rsid w:val="009E2A2E"/>
    <w:rsid w:val="009E2A53"/>
    <w:rsid w:val="009E2A89"/>
    <w:rsid w:val="009E2B22"/>
    <w:rsid w:val="009E2B48"/>
    <w:rsid w:val="009E2B63"/>
    <w:rsid w:val="009E2C20"/>
    <w:rsid w:val="009E2CCA"/>
    <w:rsid w:val="009E2CD9"/>
    <w:rsid w:val="009E2DF6"/>
    <w:rsid w:val="009E2DF7"/>
    <w:rsid w:val="009E2E49"/>
    <w:rsid w:val="009E2E7C"/>
    <w:rsid w:val="009E2EAF"/>
    <w:rsid w:val="009E2EE5"/>
    <w:rsid w:val="009E2F05"/>
    <w:rsid w:val="009E2F77"/>
    <w:rsid w:val="009E2FAD"/>
    <w:rsid w:val="009E30E3"/>
    <w:rsid w:val="009E31C5"/>
    <w:rsid w:val="009E31FD"/>
    <w:rsid w:val="009E3297"/>
    <w:rsid w:val="009E3324"/>
    <w:rsid w:val="009E344F"/>
    <w:rsid w:val="009E3471"/>
    <w:rsid w:val="009E34EA"/>
    <w:rsid w:val="009E357B"/>
    <w:rsid w:val="009E3593"/>
    <w:rsid w:val="009E3637"/>
    <w:rsid w:val="009E36D6"/>
    <w:rsid w:val="009E37DE"/>
    <w:rsid w:val="009E3806"/>
    <w:rsid w:val="009E3905"/>
    <w:rsid w:val="009E3910"/>
    <w:rsid w:val="009E395F"/>
    <w:rsid w:val="009E3985"/>
    <w:rsid w:val="009E3986"/>
    <w:rsid w:val="009E3A9B"/>
    <w:rsid w:val="009E3AA3"/>
    <w:rsid w:val="009E3B34"/>
    <w:rsid w:val="009E3B63"/>
    <w:rsid w:val="009E3BB1"/>
    <w:rsid w:val="009E3CE2"/>
    <w:rsid w:val="009E3D48"/>
    <w:rsid w:val="009E3E30"/>
    <w:rsid w:val="009E3F62"/>
    <w:rsid w:val="009E3FC0"/>
    <w:rsid w:val="009E4076"/>
    <w:rsid w:val="009E4078"/>
    <w:rsid w:val="009E409F"/>
    <w:rsid w:val="009E40EA"/>
    <w:rsid w:val="009E4131"/>
    <w:rsid w:val="009E41A8"/>
    <w:rsid w:val="009E424A"/>
    <w:rsid w:val="009E426F"/>
    <w:rsid w:val="009E4279"/>
    <w:rsid w:val="009E4354"/>
    <w:rsid w:val="009E4362"/>
    <w:rsid w:val="009E43B6"/>
    <w:rsid w:val="009E4457"/>
    <w:rsid w:val="009E4551"/>
    <w:rsid w:val="009E455E"/>
    <w:rsid w:val="009E4613"/>
    <w:rsid w:val="009E4678"/>
    <w:rsid w:val="009E46B3"/>
    <w:rsid w:val="009E46B5"/>
    <w:rsid w:val="009E48C4"/>
    <w:rsid w:val="009E48D0"/>
    <w:rsid w:val="009E48EA"/>
    <w:rsid w:val="009E49A7"/>
    <w:rsid w:val="009E4A0C"/>
    <w:rsid w:val="009E4A54"/>
    <w:rsid w:val="009E4A8A"/>
    <w:rsid w:val="009E4BF9"/>
    <w:rsid w:val="009E4C05"/>
    <w:rsid w:val="009E4C99"/>
    <w:rsid w:val="009E4CA0"/>
    <w:rsid w:val="009E4D5E"/>
    <w:rsid w:val="009E4D64"/>
    <w:rsid w:val="009E4E0E"/>
    <w:rsid w:val="009E4E86"/>
    <w:rsid w:val="009E4F33"/>
    <w:rsid w:val="009E5029"/>
    <w:rsid w:val="009E5061"/>
    <w:rsid w:val="009E508B"/>
    <w:rsid w:val="009E508D"/>
    <w:rsid w:val="009E50B6"/>
    <w:rsid w:val="009E5168"/>
    <w:rsid w:val="009E5193"/>
    <w:rsid w:val="009E51B2"/>
    <w:rsid w:val="009E523D"/>
    <w:rsid w:val="009E5362"/>
    <w:rsid w:val="009E538E"/>
    <w:rsid w:val="009E5453"/>
    <w:rsid w:val="009E54BF"/>
    <w:rsid w:val="009E54C1"/>
    <w:rsid w:val="009E54ED"/>
    <w:rsid w:val="009E5686"/>
    <w:rsid w:val="009E56B4"/>
    <w:rsid w:val="009E57DE"/>
    <w:rsid w:val="009E5892"/>
    <w:rsid w:val="009E58FD"/>
    <w:rsid w:val="009E590F"/>
    <w:rsid w:val="009E5955"/>
    <w:rsid w:val="009E5B2F"/>
    <w:rsid w:val="009E5B36"/>
    <w:rsid w:val="009E5BAA"/>
    <w:rsid w:val="009E5BAF"/>
    <w:rsid w:val="009E5BD4"/>
    <w:rsid w:val="009E5C24"/>
    <w:rsid w:val="009E5C82"/>
    <w:rsid w:val="009E5EFE"/>
    <w:rsid w:val="009E5F77"/>
    <w:rsid w:val="009E5F7F"/>
    <w:rsid w:val="009E6004"/>
    <w:rsid w:val="009E6072"/>
    <w:rsid w:val="009E6131"/>
    <w:rsid w:val="009E6238"/>
    <w:rsid w:val="009E6375"/>
    <w:rsid w:val="009E63F2"/>
    <w:rsid w:val="009E6535"/>
    <w:rsid w:val="009E6536"/>
    <w:rsid w:val="009E65E4"/>
    <w:rsid w:val="009E6625"/>
    <w:rsid w:val="009E6642"/>
    <w:rsid w:val="009E665C"/>
    <w:rsid w:val="009E668C"/>
    <w:rsid w:val="009E67D2"/>
    <w:rsid w:val="009E69EC"/>
    <w:rsid w:val="009E6A68"/>
    <w:rsid w:val="009E6B4B"/>
    <w:rsid w:val="009E6BC2"/>
    <w:rsid w:val="009E6DC1"/>
    <w:rsid w:val="009E6DC5"/>
    <w:rsid w:val="009E6DCC"/>
    <w:rsid w:val="009E6ECB"/>
    <w:rsid w:val="009E6EE4"/>
    <w:rsid w:val="009E6F29"/>
    <w:rsid w:val="009E700F"/>
    <w:rsid w:val="009E707D"/>
    <w:rsid w:val="009E7269"/>
    <w:rsid w:val="009E7279"/>
    <w:rsid w:val="009E7294"/>
    <w:rsid w:val="009E7355"/>
    <w:rsid w:val="009E740F"/>
    <w:rsid w:val="009E7453"/>
    <w:rsid w:val="009E756C"/>
    <w:rsid w:val="009E7691"/>
    <w:rsid w:val="009E778A"/>
    <w:rsid w:val="009E7A30"/>
    <w:rsid w:val="009E7ABC"/>
    <w:rsid w:val="009E7BC4"/>
    <w:rsid w:val="009E7C84"/>
    <w:rsid w:val="009E7CB2"/>
    <w:rsid w:val="009E7CD2"/>
    <w:rsid w:val="009E7D43"/>
    <w:rsid w:val="009E7D88"/>
    <w:rsid w:val="009E7EDE"/>
    <w:rsid w:val="009E7F5A"/>
    <w:rsid w:val="009F0002"/>
    <w:rsid w:val="009F0016"/>
    <w:rsid w:val="009F0061"/>
    <w:rsid w:val="009F00F0"/>
    <w:rsid w:val="009F018F"/>
    <w:rsid w:val="009F029B"/>
    <w:rsid w:val="009F02DD"/>
    <w:rsid w:val="009F0329"/>
    <w:rsid w:val="009F03DD"/>
    <w:rsid w:val="009F05C2"/>
    <w:rsid w:val="009F05D6"/>
    <w:rsid w:val="009F0607"/>
    <w:rsid w:val="009F06EB"/>
    <w:rsid w:val="009F0766"/>
    <w:rsid w:val="009F0768"/>
    <w:rsid w:val="009F0791"/>
    <w:rsid w:val="009F07DA"/>
    <w:rsid w:val="009F080C"/>
    <w:rsid w:val="009F0810"/>
    <w:rsid w:val="009F0A4F"/>
    <w:rsid w:val="009F0BA3"/>
    <w:rsid w:val="009F0BCD"/>
    <w:rsid w:val="009F0CC7"/>
    <w:rsid w:val="009F0E6C"/>
    <w:rsid w:val="009F0EB7"/>
    <w:rsid w:val="009F0EE3"/>
    <w:rsid w:val="009F1002"/>
    <w:rsid w:val="009F105E"/>
    <w:rsid w:val="009F1145"/>
    <w:rsid w:val="009F1386"/>
    <w:rsid w:val="009F146C"/>
    <w:rsid w:val="009F14A6"/>
    <w:rsid w:val="009F14E0"/>
    <w:rsid w:val="009F1557"/>
    <w:rsid w:val="009F178F"/>
    <w:rsid w:val="009F18A0"/>
    <w:rsid w:val="009F18DB"/>
    <w:rsid w:val="009F19B9"/>
    <w:rsid w:val="009F1A1B"/>
    <w:rsid w:val="009F1A5C"/>
    <w:rsid w:val="009F1A95"/>
    <w:rsid w:val="009F1B66"/>
    <w:rsid w:val="009F1B73"/>
    <w:rsid w:val="009F1B9A"/>
    <w:rsid w:val="009F1BE8"/>
    <w:rsid w:val="009F1BFE"/>
    <w:rsid w:val="009F1C7E"/>
    <w:rsid w:val="009F1C9E"/>
    <w:rsid w:val="009F1D60"/>
    <w:rsid w:val="009F1DD7"/>
    <w:rsid w:val="009F1E86"/>
    <w:rsid w:val="009F1FE1"/>
    <w:rsid w:val="009F1FFF"/>
    <w:rsid w:val="009F205D"/>
    <w:rsid w:val="009F228A"/>
    <w:rsid w:val="009F22A1"/>
    <w:rsid w:val="009F22A3"/>
    <w:rsid w:val="009F2375"/>
    <w:rsid w:val="009F24A9"/>
    <w:rsid w:val="009F25C9"/>
    <w:rsid w:val="009F260E"/>
    <w:rsid w:val="009F26BE"/>
    <w:rsid w:val="009F2714"/>
    <w:rsid w:val="009F2862"/>
    <w:rsid w:val="009F2916"/>
    <w:rsid w:val="009F2A98"/>
    <w:rsid w:val="009F2B80"/>
    <w:rsid w:val="009F2BF8"/>
    <w:rsid w:val="009F2D83"/>
    <w:rsid w:val="009F2E60"/>
    <w:rsid w:val="009F2E65"/>
    <w:rsid w:val="009F2EBB"/>
    <w:rsid w:val="009F2F75"/>
    <w:rsid w:val="009F2F9D"/>
    <w:rsid w:val="009F3083"/>
    <w:rsid w:val="009F31B3"/>
    <w:rsid w:val="009F3222"/>
    <w:rsid w:val="009F3408"/>
    <w:rsid w:val="009F341B"/>
    <w:rsid w:val="009F3437"/>
    <w:rsid w:val="009F3473"/>
    <w:rsid w:val="009F3475"/>
    <w:rsid w:val="009F3492"/>
    <w:rsid w:val="009F34D6"/>
    <w:rsid w:val="009F3526"/>
    <w:rsid w:val="009F3591"/>
    <w:rsid w:val="009F35CF"/>
    <w:rsid w:val="009F3617"/>
    <w:rsid w:val="009F3620"/>
    <w:rsid w:val="009F3625"/>
    <w:rsid w:val="009F37D0"/>
    <w:rsid w:val="009F37E3"/>
    <w:rsid w:val="009F384C"/>
    <w:rsid w:val="009F391E"/>
    <w:rsid w:val="009F3942"/>
    <w:rsid w:val="009F397A"/>
    <w:rsid w:val="009F39BC"/>
    <w:rsid w:val="009F3A28"/>
    <w:rsid w:val="009F3AA6"/>
    <w:rsid w:val="009F3AFF"/>
    <w:rsid w:val="009F3BA4"/>
    <w:rsid w:val="009F3C16"/>
    <w:rsid w:val="009F3C2C"/>
    <w:rsid w:val="009F3C90"/>
    <w:rsid w:val="009F3CEF"/>
    <w:rsid w:val="009F3D1A"/>
    <w:rsid w:val="009F3D49"/>
    <w:rsid w:val="009F3DDF"/>
    <w:rsid w:val="009F3DFE"/>
    <w:rsid w:val="009F3E3A"/>
    <w:rsid w:val="009F3E3C"/>
    <w:rsid w:val="009F3E4A"/>
    <w:rsid w:val="009F3EA7"/>
    <w:rsid w:val="009F40BF"/>
    <w:rsid w:val="009F4238"/>
    <w:rsid w:val="009F428F"/>
    <w:rsid w:val="009F4336"/>
    <w:rsid w:val="009F4347"/>
    <w:rsid w:val="009F4441"/>
    <w:rsid w:val="009F452C"/>
    <w:rsid w:val="009F4798"/>
    <w:rsid w:val="009F484D"/>
    <w:rsid w:val="009F484E"/>
    <w:rsid w:val="009F4875"/>
    <w:rsid w:val="009F48E7"/>
    <w:rsid w:val="009F496C"/>
    <w:rsid w:val="009F4975"/>
    <w:rsid w:val="009F4B88"/>
    <w:rsid w:val="009F4CA8"/>
    <w:rsid w:val="009F4CAD"/>
    <w:rsid w:val="009F4E96"/>
    <w:rsid w:val="009F4E9A"/>
    <w:rsid w:val="009F4ED8"/>
    <w:rsid w:val="009F4F0B"/>
    <w:rsid w:val="009F4F35"/>
    <w:rsid w:val="009F4F6C"/>
    <w:rsid w:val="009F5048"/>
    <w:rsid w:val="009F529A"/>
    <w:rsid w:val="009F5325"/>
    <w:rsid w:val="009F5396"/>
    <w:rsid w:val="009F53D5"/>
    <w:rsid w:val="009F547D"/>
    <w:rsid w:val="009F54E7"/>
    <w:rsid w:val="009F54F0"/>
    <w:rsid w:val="009F5526"/>
    <w:rsid w:val="009F553F"/>
    <w:rsid w:val="009F5578"/>
    <w:rsid w:val="009F5592"/>
    <w:rsid w:val="009F5627"/>
    <w:rsid w:val="009F570D"/>
    <w:rsid w:val="009F5877"/>
    <w:rsid w:val="009F58A5"/>
    <w:rsid w:val="009F58F9"/>
    <w:rsid w:val="009F5934"/>
    <w:rsid w:val="009F59D3"/>
    <w:rsid w:val="009F5A74"/>
    <w:rsid w:val="009F5A82"/>
    <w:rsid w:val="009F5AE4"/>
    <w:rsid w:val="009F5AF9"/>
    <w:rsid w:val="009F5B2D"/>
    <w:rsid w:val="009F5B50"/>
    <w:rsid w:val="009F5C6B"/>
    <w:rsid w:val="009F5DFF"/>
    <w:rsid w:val="009F5E63"/>
    <w:rsid w:val="009F5E96"/>
    <w:rsid w:val="009F5F2F"/>
    <w:rsid w:val="009F5F44"/>
    <w:rsid w:val="009F611B"/>
    <w:rsid w:val="009F612F"/>
    <w:rsid w:val="009F6136"/>
    <w:rsid w:val="009F614E"/>
    <w:rsid w:val="009F61DE"/>
    <w:rsid w:val="009F61E8"/>
    <w:rsid w:val="009F61EF"/>
    <w:rsid w:val="009F63E0"/>
    <w:rsid w:val="009F63E5"/>
    <w:rsid w:val="009F6500"/>
    <w:rsid w:val="009F6513"/>
    <w:rsid w:val="009F65F1"/>
    <w:rsid w:val="009F6722"/>
    <w:rsid w:val="009F6805"/>
    <w:rsid w:val="009F6888"/>
    <w:rsid w:val="009F6895"/>
    <w:rsid w:val="009F68AD"/>
    <w:rsid w:val="009F68D8"/>
    <w:rsid w:val="009F6A5F"/>
    <w:rsid w:val="009F6A7D"/>
    <w:rsid w:val="009F6B92"/>
    <w:rsid w:val="009F6BF0"/>
    <w:rsid w:val="009F6C72"/>
    <w:rsid w:val="009F6CDB"/>
    <w:rsid w:val="009F6D28"/>
    <w:rsid w:val="009F6DF5"/>
    <w:rsid w:val="009F6F1D"/>
    <w:rsid w:val="009F6F83"/>
    <w:rsid w:val="009F717C"/>
    <w:rsid w:val="009F72C0"/>
    <w:rsid w:val="009F7330"/>
    <w:rsid w:val="009F7335"/>
    <w:rsid w:val="009F73B2"/>
    <w:rsid w:val="009F73FE"/>
    <w:rsid w:val="009F7426"/>
    <w:rsid w:val="009F748F"/>
    <w:rsid w:val="009F749D"/>
    <w:rsid w:val="009F74D3"/>
    <w:rsid w:val="009F7597"/>
    <w:rsid w:val="009F76D4"/>
    <w:rsid w:val="009F78E4"/>
    <w:rsid w:val="009F7915"/>
    <w:rsid w:val="009F79A5"/>
    <w:rsid w:val="009F7A5B"/>
    <w:rsid w:val="009F7AD3"/>
    <w:rsid w:val="009F7AE7"/>
    <w:rsid w:val="009F7B0C"/>
    <w:rsid w:val="009F7BC8"/>
    <w:rsid w:val="009F7C23"/>
    <w:rsid w:val="009F7C4D"/>
    <w:rsid w:val="009F7D33"/>
    <w:rsid w:val="009F7E49"/>
    <w:rsid w:val="009F7EBA"/>
    <w:rsid w:val="009F7ECF"/>
    <w:rsid w:val="009F7EEC"/>
    <w:rsid w:val="009F7F1E"/>
    <w:rsid w:val="009F7F5F"/>
    <w:rsid w:val="00A00003"/>
    <w:rsid w:val="00A00006"/>
    <w:rsid w:val="00A00068"/>
    <w:rsid w:val="00A000E3"/>
    <w:rsid w:val="00A00118"/>
    <w:rsid w:val="00A00176"/>
    <w:rsid w:val="00A001C0"/>
    <w:rsid w:val="00A0023A"/>
    <w:rsid w:val="00A002FD"/>
    <w:rsid w:val="00A00335"/>
    <w:rsid w:val="00A003B8"/>
    <w:rsid w:val="00A0041F"/>
    <w:rsid w:val="00A0043F"/>
    <w:rsid w:val="00A00442"/>
    <w:rsid w:val="00A004B3"/>
    <w:rsid w:val="00A00536"/>
    <w:rsid w:val="00A00582"/>
    <w:rsid w:val="00A005B6"/>
    <w:rsid w:val="00A00660"/>
    <w:rsid w:val="00A006F5"/>
    <w:rsid w:val="00A006FE"/>
    <w:rsid w:val="00A0070A"/>
    <w:rsid w:val="00A00732"/>
    <w:rsid w:val="00A0077F"/>
    <w:rsid w:val="00A00884"/>
    <w:rsid w:val="00A0089F"/>
    <w:rsid w:val="00A008E0"/>
    <w:rsid w:val="00A00942"/>
    <w:rsid w:val="00A00968"/>
    <w:rsid w:val="00A00A11"/>
    <w:rsid w:val="00A00A7E"/>
    <w:rsid w:val="00A00B3A"/>
    <w:rsid w:val="00A00C4A"/>
    <w:rsid w:val="00A00C68"/>
    <w:rsid w:val="00A00C85"/>
    <w:rsid w:val="00A00D46"/>
    <w:rsid w:val="00A00D53"/>
    <w:rsid w:val="00A00D85"/>
    <w:rsid w:val="00A00D8A"/>
    <w:rsid w:val="00A00D94"/>
    <w:rsid w:val="00A00DCB"/>
    <w:rsid w:val="00A00DCD"/>
    <w:rsid w:val="00A00EE2"/>
    <w:rsid w:val="00A00F48"/>
    <w:rsid w:val="00A00F58"/>
    <w:rsid w:val="00A00F6E"/>
    <w:rsid w:val="00A010F8"/>
    <w:rsid w:val="00A01115"/>
    <w:rsid w:val="00A01197"/>
    <w:rsid w:val="00A0119D"/>
    <w:rsid w:val="00A012D1"/>
    <w:rsid w:val="00A0131D"/>
    <w:rsid w:val="00A01340"/>
    <w:rsid w:val="00A01374"/>
    <w:rsid w:val="00A0139B"/>
    <w:rsid w:val="00A01437"/>
    <w:rsid w:val="00A014A2"/>
    <w:rsid w:val="00A01685"/>
    <w:rsid w:val="00A016A9"/>
    <w:rsid w:val="00A016C0"/>
    <w:rsid w:val="00A01708"/>
    <w:rsid w:val="00A019FA"/>
    <w:rsid w:val="00A01BF2"/>
    <w:rsid w:val="00A01DFF"/>
    <w:rsid w:val="00A01E30"/>
    <w:rsid w:val="00A01E51"/>
    <w:rsid w:val="00A01E5F"/>
    <w:rsid w:val="00A01EC0"/>
    <w:rsid w:val="00A020C6"/>
    <w:rsid w:val="00A020C9"/>
    <w:rsid w:val="00A021EC"/>
    <w:rsid w:val="00A02301"/>
    <w:rsid w:val="00A02306"/>
    <w:rsid w:val="00A02368"/>
    <w:rsid w:val="00A0236E"/>
    <w:rsid w:val="00A0237D"/>
    <w:rsid w:val="00A023C0"/>
    <w:rsid w:val="00A023FB"/>
    <w:rsid w:val="00A02473"/>
    <w:rsid w:val="00A024BC"/>
    <w:rsid w:val="00A02530"/>
    <w:rsid w:val="00A02678"/>
    <w:rsid w:val="00A0271C"/>
    <w:rsid w:val="00A0275B"/>
    <w:rsid w:val="00A02765"/>
    <w:rsid w:val="00A027D1"/>
    <w:rsid w:val="00A027EB"/>
    <w:rsid w:val="00A02865"/>
    <w:rsid w:val="00A02876"/>
    <w:rsid w:val="00A02886"/>
    <w:rsid w:val="00A028CB"/>
    <w:rsid w:val="00A028DE"/>
    <w:rsid w:val="00A02A33"/>
    <w:rsid w:val="00A02A65"/>
    <w:rsid w:val="00A02A8A"/>
    <w:rsid w:val="00A02B9F"/>
    <w:rsid w:val="00A02CB7"/>
    <w:rsid w:val="00A02F45"/>
    <w:rsid w:val="00A02F5C"/>
    <w:rsid w:val="00A030AF"/>
    <w:rsid w:val="00A03187"/>
    <w:rsid w:val="00A0319C"/>
    <w:rsid w:val="00A031D0"/>
    <w:rsid w:val="00A03259"/>
    <w:rsid w:val="00A03350"/>
    <w:rsid w:val="00A0343F"/>
    <w:rsid w:val="00A0348C"/>
    <w:rsid w:val="00A03587"/>
    <w:rsid w:val="00A036A0"/>
    <w:rsid w:val="00A03763"/>
    <w:rsid w:val="00A037FF"/>
    <w:rsid w:val="00A03828"/>
    <w:rsid w:val="00A03889"/>
    <w:rsid w:val="00A038F3"/>
    <w:rsid w:val="00A03930"/>
    <w:rsid w:val="00A03A18"/>
    <w:rsid w:val="00A03AC2"/>
    <w:rsid w:val="00A03B30"/>
    <w:rsid w:val="00A03B4E"/>
    <w:rsid w:val="00A04128"/>
    <w:rsid w:val="00A0418D"/>
    <w:rsid w:val="00A042C9"/>
    <w:rsid w:val="00A043EB"/>
    <w:rsid w:val="00A0440C"/>
    <w:rsid w:val="00A04422"/>
    <w:rsid w:val="00A04437"/>
    <w:rsid w:val="00A0443A"/>
    <w:rsid w:val="00A0444B"/>
    <w:rsid w:val="00A044F2"/>
    <w:rsid w:val="00A04604"/>
    <w:rsid w:val="00A04649"/>
    <w:rsid w:val="00A0465C"/>
    <w:rsid w:val="00A046FA"/>
    <w:rsid w:val="00A04713"/>
    <w:rsid w:val="00A04735"/>
    <w:rsid w:val="00A0479D"/>
    <w:rsid w:val="00A047B3"/>
    <w:rsid w:val="00A04835"/>
    <w:rsid w:val="00A049F9"/>
    <w:rsid w:val="00A04A3E"/>
    <w:rsid w:val="00A04ACC"/>
    <w:rsid w:val="00A04ADA"/>
    <w:rsid w:val="00A04B72"/>
    <w:rsid w:val="00A04BB7"/>
    <w:rsid w:val="00A04C35"/>
    <w:rsid w:val="00A04C6F"/>
    <w:rsid w:val="00A04C96"/>
    <w:rsid w:val="00A04CCF"/>
    <w:rsid w:val="00A04D30"/>
    <w:rsid w:val="00A04D71"/>
    <w:rsid w:val="00A04DF6"/>
    <w:rsid w:val="00A04F53"/>
    <w:rsid w:val="00A04F61"/>
    <w:rsid w:val="00A04F92"/>
    <w:rsid w:val="00A05015"/>
    <w:rsid w:val="00A05023"/>
    <w:rsid w:val="00A0503E"/>
    <w:rsid w:val="00A0508F"/>
    <w:rsid w:val="00A05094"/>
    <w:rsid w:val="00A051A9"/>
    <w:rsid w:val="00A0529D"/>
    <w:rsid w:val="00A05309"/>
    <w:rsid w:val="00A053CA"/>
    <w:rsid w:val="00A05487"/>
    <w:rsid w:val="00A054CE"/>
    <w:rsid w:val="00A0558A"/>
    <w:rsid w:val="00A05605"/>
    <w:rsid w:val="00A05699"/>
    <w:rsid w:val="00A05805"/>
    <w:rsid w:val="00A05874"/>
    <w:rsid w:val="00A05A85"/>
    <w:rsid w:val="00A05B18"/>
    <w:rsid w:val="00A05BA2"/>
    <w:rsid w:val="00A05BCB"/>
    <w:rsid w:val="00A05EC9"/>
    <w:rsid w:val="00A05F10"/>
    <w:rsid w:val="00A05FFF"/>
    <w:rsid w:val="00A06020"/>
    <w:rsid w:val="00A06142"/>
    <w:rsid w:val="00A061DF"/>
    <w:rsid w:val="00A061F0"/>
    <w:rsid w:val="00A0626B"/>
    <w:rsid w:val="00A0629F"/>
    <w:rsid w:val="00A062D1"/>
    <w:rsid w:val="00A064D7"/>
    <w:rsid w:val="00A066DA"/>
    <w:rsid w:val="00A067B5"/>
    <w:rsid w:val="00A067E8"/>
    <w:rsid w:val="00A067F9"/>
    <w:rsid w:val="00A068EC"/>
    <w:rsid w:val="00A06B4C"/>
    <w:rsid w:val="00A06B69"/>
    <w:rsid w:val="00A06CA5"/>
    <w:rsid w:val="00A06CC9"/>
    <w:rsid w:val="00A06DC0"/>
    <w:rsid w:val="00A06DF3"/>
    <w:rsid w:val="00A06E14"/>
    <w:rsid w:val="00A06E83"/>
    <w:rsid w:val="00A06EA9"/>
    <w:rsid w:val="00A06EDC"/>
    <w:rsid w:val="00A06FC9"/>
    <w:rsid w:val="00A0709E"/>
    <w:rsid w:val="00A0717A"/>
    <w:rsid w:val="00A07198"/>
    <w:rsid w:val="00A072B9"/>
    <w:rsid w:val="00A07450"/>
    <w:rsid w:val="00A0745F"/>
    <w:rsid w:val="00A07479"/>
    <w:rsid w:val="00A074BE"/>
    <w:rsid w:val="00A074D8"/>
    <w:rsid w:val="00A07515"/>
    <w:rsid w:val="00A0758D"/>
    <w:rsid w:val="00A075C3"/>
    <w:rsid w:val="00A076D8"/>
    <w:rsid w:val="00A076EB"/>
    <w:rsid w:val="00A0774B"/>
    <w:rsid w:val="00A07853"/>
    <w:rsid w:val="00A078DA"/>
    <w:rsid w:val="00A07A7A"/>
    <w:rsid w:val="00A07AB6"/>
    <w:rsid w:val="00A07C2D"/>
    <w:rsid w:val="00A07D32"/>
    <w:rsid w:val="00A07DD0"/>
    <w:rsid w:val="00A07DE3"/>
    <w:rsid w:val="00A07F20"/>
    <w:rsid w:val="00A07FA2"/>
    <w:rsid w:val="00A07FD1"/>
    <w:rsid w:val="00A1008F"/>
    <w:rsid w:val="00A10131"/>
    <w:rsid w:val="00A10139"/>
    <w:rsid w:val="00A101AF"/>
    <w:rsid w:val="00A101C0"/>
    <w:rsid w:val="00A1025A"/>
    <w:rsid w:val="00A10448"/>
    <w:rsid w:val="00A10455"/>
    <w:rsid w:val="00A10538"/>
    <w:rsid w:val="00A1059E"/>
    <w:rsid w:val="00A105A9"/>
    <w:rsid w:val="00A105AE"/>
    <w:rsid w:val="00A105D9"/>
    <w:rsid w:val="00A1062C"/>
    <w:rsid w:val="00A107F0"/>
    <w:rsid w:val="00A10822"/>
    <w:rsid w:val="00A10865"/>
    <w:rsid w:val="00A10A1B"/>
    <w:rsid w:val="00A10A85"/>
    <w:rsid w:val="00A10AE2"/>
    <w:rsid w:val="00A10AF1"/>
    <w:rsid w:val="00A10B53"/>
    <w:rsid w:val="00A10B64"/>
    <w:rsid w:val="00A10BA7"/>
    <w:rsid w:val="00A10C3D"/>
    <w:rsid w:val="00A10C3F"/>
    <w:rsid w:val="00A10CB2"/>
    <w:rsid w:val="00A10D36"/>
    <w:rsid w:val="00A10DDD"/>
    <w:rsid w:val="00A10E24"/>
    <w:rsid w:val="00A10ED2"/>
    <w:rsid w:val="00A10EE9"/>
    <w:rsid w:val="00A10F07"/>
    <w:rsid w:val="00A11034"/>
    <w:rsid w:val="00A11097"/>
    <w:rsid w:val="00A11105"/>
    <w:rsid w:val="00A11281"/>
    <w:rsid w:val="00A11395"/>
    <w:rsid w:val="00A113BD"/>
    <w:rsid w:val="00A113C7"/>
    <w:rsid w:val="00A11400"/>
    <w:rsid w:val="00A114E0"/>
    <w:rsid w:val="00A114FD"/>
    <w:rsid w:val="00A11530"/>
    <w:rsid w:val="00A1155C"/>
    <w:rsid w:val="00A11626"/>
    <w:rsid w:val="00A1164A"/>
    <w:rsid w:val="00A116DC"/>
    <w:rsid w:val="00A11749"/>
    <w:rsid w:val="00A11820"/>
    <w:rsid w:val="00A1189D"/>
    <w:rsid w:val="00A11982"/>
    <w:rsid w:val="00A119F1"/>
    <w:rsid w:val="00A11AB2"/>
    <w:rsid w:val="00A11B86"/>
    <w:rsid w:val="00A11C1B"/>
    <w:rsid w:val="00A11C2C"/>
    <w:rsid w:val="00A11C76"/>
    <w:rsid w:val="00A11C90"/>
    <w:rsid w:val="00A11CF9"/>
    <w:rsid w:val="00A11E3C"/>
    <w:rsid w:val="00A11E43"/>
    <w:rsid w:val="00A11E55"/>
    <w:rsid w:val="00A11E96"/>
    <w:rsid w:val="00A11EF8"/>
    <w:rsid w:val="00A11F8A"/>
    <w:rsid w:val="00A1201C"/>
    <w:rsid w:val="00A12165"/>
    <w:rsid w:val="00A12185"/>
    <w:rsid w:val="00A121CD"/>
    <w:rsid w:val="00A1224A"/>
    <w:rsid w:val="00A122CB"/>
    <w:rsid w:val="00A12343"/>
    <w:rsid w:val="00A12371"/>
    <w:rsid w:val="00A12468"/>
    <w:rsid w:val="00A124C1"/>
    <w:rsid w:val="00A124D2"/>
    <w:rsid w:val="00A124FC"/>
    <w:rsid w:val="00A12524"/>
    <w:rsid w:val="00A1264B"/>
    <w:rsid w:val="00A12653"/>
    <w:rsid w:val="00A126C7"/>
    <w:rsid w:val="00A12720"/>
    <w:rsid w:val="00A12879"/>
    <w:rsid w:val="00A12904"/>
    <w:rsid w:val="00A12CFF"/>
    <w:rsid w:val="00A12D18"/>
    <w:rsid w:val="00A12DAB"/>
    <w:rsid w:val="00A12E8A"/>
    <w:rsid w:val="00A12E95"/>
    <w:rsid w:val="00A12EFB"/>
    <w:rsid w:val="00A12F17"/>
    <w:rsid w:val="00A12F43"/>
    <w:rsid w:val="00A12FD0"/>
    <w:rsid w:val="00A1308F"/>
    <w:rsid w:val="00A130CC"/>
    <w:rsid w:val="00A130D5"/>
    <w:rsid w:val="00A13203"/>
    <w:rsid w:val="00A13238"/>
    <w:rsid w:val="00A13243"/>
    <w:rsid w:val="00A1339F"/>
    <w:rsid w:val="00A133B7"/>
    <w:rsid w:val="00A1341F"/>
    <w:rsid w:val="00A1348B"/>
    <w:rsid w:val="00A134EF"/>
    <w:rsid w:val="00A13509"/>
    <w:rsid w:val="00A13557"/>
    <w:rsid w:val="00A135D3"/>
    <w:rsid w:val="00A138A6"/>
    <w:rsid w:val="00A138F3"/>
    <w:rsid w:val="00A13933"/>
    <w:rsid w:val="00A13944"/>
    <w:rsid w:val="00A13956"/>
    <w:rsid w:val="00A139B3"/>
    <w:rsid w:val="00A13A19"/>
    <w:rsid w:val="00A13A3A"/>
    <w:rsid w:val="00A13AB0"/>
    <w:rsid w:val="00A13AD6"/>
    <w:rsid w:val="00A13B2E"/>
    <w:rsid w:val="00A13BE6"/>
    <w:rsid w:val="00A13BF8"/>
    <w:rsid w:val="00A13C3D"/>
    <w:rsid w:val="00A13C73"/>
    <w:rsid w:val="00A13CAE"/>
    <w:rsid w:val="00A13CC1"/>
    <w:rsid w:val="00A13CC7"/>
    <w:rsid w:val="00A13DFB"/>
    <w:rsid w:val="00A13E95"/>
    <w:rsid w:val="00A13F69"/>
    <w:rsid w:val="00A13F71"/>
    <w:rsid w:val="00A13F91"/>
    <w:rsid w:val="00A13FE8"/>
    <w:rsid w:val="00A140DE"/>
    <w:rsid w:val="00A141D2"/>
    <w:rsid w:val="00A14265"/>
    <w:rsid w:val="00A1428D"/>
    <w:rsid w:val="00A1431D"/>
    <w:rsid w:val="00A14443"/>
    <w:rsid w:val="00A14484"/>
    <w:rsid w:val="00A1448E"/>
    <w:rsid w:val="00A1450C"/>
    <w:rsid w:val="00A1457A"/>
    <w:rsid w:val="00A1458E"/>
    <w:rsid w:val="00A145A7"/>
    <w:rsid w:val="00A14666"/>
    <w:rsid w:val="00A1469B"/>
    <w:rsid w:val="00A147AD"/>
    <w:rsid w:val="00A148C9"/>
    <w:rsid w:val="00A1499A"/>
    <w:rsid w:val="00A149DB"/>
    <w:rsid w:val="00A149FB"/>
    <w:rsid w:val="00A14AB1"/>
    <w:rsid w:val="00A14AB3"/>
    <w:rsid w:val="00A14AE7"/>
    <w:rsid w:val="00A14BC3"/>
    <w:rsid w:val="00A14CBA"/>
    <w:rsid w:val="00A14D37"/>
    <w:rsid w:val="00A14DC9"/>
    <w:rsid w:val="00A14E64"/>
    <w:rsid w:val="00A14E7E"/>
    <w:rsid w:val="00A14E91"/>
    <w:rsid w:val="00A14FE0"/>
    <w:rsid w:val="00A150A9"/>
    <w:rsid w:val="00A150D8"/>
    <w:rsid w:val="00A150F5"/>
    <w:rsid w:val="00A150FD"/>
    <w:rsid w:val="00A151BA"/>
    <w:rsid w:val="00A151F7"/>
    <w:rsid w:val="00A152A9"/>
    <w:rsid w:val="00A152B1"/>
    <w:rsid w:val="00A152BA"/>
    <w:rsid w:val="00A15374"/>
    <w:rsid w:val="00A1542D"/>
    <w:rsid w:val="00A15435"/>
    <w:rsid w:val="00A1546B"/>
    <w:rsid w:val="00A154AC"/>
    <w:rsid w:val="00A15573"/>
    <w:rsid w:val="00A155ED"/>
    <w:rsid w:val="00A155FA"/>
    <w:rsid w:val="00A15606"/>
    <w:rsid w:val="00A1561F"/>
    <w:rsid w:val="00A15636"/>
    <w:rsid w:val="00A15686"/>
    <w:rsid w:val="00A156B6"/>
    <w:rsid w:val="00A158EC"/>
    <w:rsid w:val="00A15953"/>
    <w:rsid w:val="00A15AEE"/>
    <w:rsid w:val="00A15B53"/>
    <w:rsid w:val="00A15C69"/>
    <w:rsid w:val="00A15D3F"/>
    <w:rsid w:val="00A15E34"/>
    <w:rsid w:val="00A15E46"/>
    <w:rsid w:val="00A15E92"/>
    <w:rsid w:val="00A16058"/>
    <w:rsid w:val="00A16085"/>
    <w:rsid w:val="00A160C6"/>
    <w:rsid w:val="00A16243"/>
    <w:rsid w:val="00A16425"/>
    <w:rsid w:val="00A164E0"/>
    <w:rsid w:val="00A1664B"/>
    <w:rsid w:val="00A1668D"/>
    <w:rsid w:val="00A16781"/>
    <w:rsid w:val="00A16824"/>
    <w:rsid w:val="00A168BC"/>
    <w:rsid w:val="00A168BD"/>
    <w:rsid w:val="00A168C8"/>
    <w:rsid w:val="00A168DE"/>
    <w:rsid w:val="00A1693C"/>
    <w:rsid w:val="00A1697C"/>
    <w:rsid w:val="00A16A01"/>
    <w:rsid w:val="00A16B62"/>
    <w:rsid w:val="00A16B6A"/>
    <w:rsid w:val="00A16CAA"/>
    <w:rsid w:val="00A16D97"/>
    <w:rsid w:val="00A16E14"/>
    <w:rsid w:val="00A16EAD"/>
    <w:rsid w:val="00A16EF8"/>
    <w:rsid w:val="00A16F9A"/>
    <w:rsid w:val="00A16FC7"/>
    <w:rsid w:val="00A1702F"/>
    <w:rsid w:val="00A1703F"/>
    <w:rsid w:val="00A1706C"/>
    <w:rsid w:val="00A170A7"/>
    <w:rsid w:val="00A170E5"/>
    <w:rsid w:val="00A17125"/>
    <w:rsid w:val="00A17159"/>
    <w:rsid w:val="00A17198"/>
    <w:rsid w:val="00A1719B"/>
    <w:rsid w:val="00A17241"/>
    <w:rsid w:val="00A1731A"/>
    <w:rsid w:val="00A17456"/>
    <w:rsid w:val="00A174E8"/>
    <w:rsid w:val="00A174F3"/>
    <w:rsid w:val="00A175CB"/>
    <w:rsid w:val="00A1764A"/>
    <w:rsid w:val="00A1770B"/>
    <w:rsid w:val="00A1780F"/>
    <w:rsid w:val="00A1785E"/>
    <w:rsid w:val="00A17868"/>
    <w:rsid w:val="00A178A2"/>
    <w:rsid w:val="00A178A7"/>
    <w:rsid w:val="00A178CF"/>
    <w:rsid w:val="00A17BFA"/>
    <w:rsid w:val="00A17CAC"/>
    <w:rsid w:val="00A17DB9"/>
    <w:rsid w:val="00A17EBD"/>
    <w:rsid w:val="00A17EC4"/>
    <w:rsid w:val="00A17ED0"/>
    <w:rsid w:val="00A17FAD"/>
    <w:rsid w:val="00A17FB0"/>
    <w:rsid w:val="00A200B0"/>
    <w:rsid w:val="00A200DF"/>
    <w:rsid w:val="00A2014D"/>
    <w:rsid w:val="00A20184"/>
    <w:rsid w:val="00A201AE"/>
    <w:rsid w:val="00A201C5"/>
    <w:rsid w:val="00A2029E"/>
    <w:rsid w:val="00A20379"/>
    <w:rsid w:val="00A203A9"/>
    <w:rsid w:val="00A203FF"/>
    <w:rsid w:val="00A20564"/>
    <w:rsid w:val="00A2057A"/>
    <w:rsid w:val="00A205B4"/>
    <w:rsid w:val="00A2061D"/>
    <w:rsid w:val="00A20633"/>
    <w:rsid w:val="00A2063C"/>
    <w:rsid w:val="00A2064F"/>
    <w:rsid w:val="00A206A9"/>
    <w:rsid w:val="00A207A7"/>
    <w:rsid w:val="00A2096F"/>
    <w:rsid w:val="00A20AD7"/>
    <w:rsid w:val="00A20AED"/>
    <w:rsid w:val="00A20B60"/>
    <w:rsid w:val="00A20BB3"/>
    <w:rsid w:val="00A20C9D"/>
    <w:rsid w:val="00A20CFC"/>
    <w:rsid w:val="00A20E40"/>
    <w:rsid w:val="00A20ED4"/>
    <w:rsid w:val="00A20F40"/>
    <w:rsid w:val="00A20F91"/>
    <w:rsid w:val="00A20FDC"/>
    <w:rsid w:val="00A210A0"/>
    <w:rsid w:val="00A21163"/>
    <w:rsid w:val="00A21165"/>
    <w:rsid w:val="00A211C4"/>
    <w:rsid w:val="00A21368"/>
    <w:rsid w:val="00A213AF"/>
    <w:rsid w:val="00A213CD"/>
    <w:rsid w:val="00A213FA"/>
    <w:rsid w:val="00A2140A"/>
    <w:rsid w:val="00A2147A"/>
    <w:rsid w:val="00A21598"/>
    <w:rsid w:val="00A21BA8"/>
    <w:rsid w:val="00A21C89"/>
    <w:rsid w:val="00A21D19"/>
    <w:rsid w:val="00A21D6A"/>
    <w:rsid w:val="00A21DFE"/>
    <w:rsid w:val="00A21E40"/>
    <w:rsid w:val="00A21E6B"/>
    <w:rsid w:val="00A21F2E"/>
    <w:rsid w:val="00A21FB9"/>
    <w:rsid w:val="00A2208E"/>
    <w:rsid w:val="00A220AD"/>
    <w:rsid w:val="00A220DB"/>
    <w:rsid w:val="00A22179"/>
    <w:rsid w:val="00A2218C"/>
    <w:rsid w:val="00A221B6"/>
    <w:rsid w:val="00A221E1"/>
    <w:rsid w:val="00A22200"/>
    <w:rsid w:val="00A22238"/>
    <w:rsid w:val="00A2228A"/>
    <w:rsid w:val="00A222FB"/>
    <w:rsid w:val="00A2230D"/>
    <w:rsid w:val="00A22368"/>
    <w:rsid w:val="00A224AB"/>
    <w:rsid w:val="00A224F8"/>
    <w:rsid w:val="00A2252F"/>
    <w:rsid w:val="00A22622"/>
    <w:rsid w:val="00A226E1"/>
    <w:rsid w:val="00A22769"/>
    <w:rsid w:val="00A228C7"/>
    <w:rsid w:val="00A22924"/>
    <w:rsid w:val="00A22982"/>
    <w:rsid w:val="00A22A27"/>
    <w:rsid w:val="00A22A79"/>
    <w:rsid w:val="00A22ADD"/>
    <w:rsid w:val="00A22B7A"/>
    <w:rsid w:val="00A22BEA"/>
    <w:rsid w:val="00A22E63"/>
    <w:rsid w:val="00A22E86"/>
    <w:rsid w:val="00A22EB6"/>
    <w:rsid w:val="00A22EDD"/>
    <w:rsid w:val="00A22EFA"/>
    <w:rsid w:val="00A22F5E"/>
    <w:rsid w:val="00A23027"/>
    <w:rsid w:val="00A2302A"/>
    <w:rsid w:val="00A2302B"/>
    <w:rsid w:val="00A2311A"/>
    <w:rsid w:val="00A23191"/>
    <w:rsid w:val="00A231EA"/>
    <w:rsid w:val="00A232D0"/>
    <w:rsid w:val="00A23352"/>
    <w:rsid w:val="00A2343E"/>
    <w:rsid w:val="00A2370D"/>
    <w:rsid w:val="00A2371F"/>
    <w:rsid w:val="00A2377E"/>
    <w:rsid w:val="00A23785"/>
    <w:rsid w:val="00A2378B"/>
    <w:rsid w:val="00A23862"/>
    <w:rsid w:val="00A238BE"/>
    <w:rsid w:val="00A23950"/>
    <w:rsid w:val="00A23A79"/>
    <w:rsid w:val="00A23AAD"/>
    <w:rsid w:val="00A23ADA"/>
    <w:rsid w:val="00A23B5F"/>
    <w:rsid w:val="00A23B6C"/>
    <w:rsid w:val="00A23BA7"/>
    <w:rsid w:val="00A23BCA"/>
    <w:rsid w:val="00A23C72"/>
    <w:rsid w:val="00A23C77"/>
    <w:rsid w:val="00A23CB0"/>
    <w:rsid w:val="00A23CCB"/>
    <w:rsid w:val="00A23D3C"/>
    <w:rsid w:val="00A23E5F"/>
    <w:rsid w:val="00A23E68"/>
    <w:rsid w:val="00A23E76"/>
    <w:rsid w:val="00A23E88"/>
    <w:rsid w:val="00A23EF7"/>
    <w:rsid w:val="00A23FE7"/>
    <w:rsid w:val="00A24224"/>
    <w:rsid w:val="00A2435D"/>
    <w:rsid w:val="00A24387"/>
    <w:rsid w:val="00A2439E"/>
    <w:rsid w:val="00A24473"/>
    <w:rsid w:val="00A2450E"/>
    <w:rsid w:val="00A2469A"/>
    <w:rsid w:val="00A24831"/>
    <w:rsid w:val="00A2499E"/>
    <w:rsid w:val="00A24D8B"/>
    <w:rsid w:val="00A24D96"/>
    <w:rsid w:val="00A24E3A"/>
    <w:rsid w:val="00A24E59"/>
    <w:rsid w:val="00A24ECB"/>
    <w:rsid w:val="00A2501B"/>
    <w:rsid w:val="00A25085"/>
    <w:rsid w:val="00A25117"/>
    <w:rsid w:val="00A25159"/>
    <w:rsid w:val="00A25259"/>
    <w:rsid w:val="00A25268"/>
    <w:rsid w:val="00A253DE"/>
    <w:rsid w:val="00A253EF"/>
    <w:rsid w:val="00A25472"/>
    <w:rsid w:val="00A25499"/>
    <w:rsid w:val="00A2556A"/>
    <w:rsid w:val="00A2579C"/>
    <w:rsid w:val="00A257C7"/>
    <w:rsid w:val="00A25834"/>
    <w:rsid w:val="00A258C2"/>
    <w:rsid w:val="00A2595A"/>
    <w:rsid w:val="00A2599F"/>
    <w:rsid w:val="00A25A7A"/>
    <w:rsid w:val="00A25A8B"/>
    <w:rsid w:val="00A25AC0"/>
    <w:rsid w:val="00A25ADE"/>
    <w:rsid w:val="00A25B48"/>
    <w:rsid w:val="00A25B8E"/>
    <w:rsid w:val="00A25C1E"/>
    <w:rsid w:val="00A25C9E"/>
    <w:rsid w:val="00A25CEC"/>
    <w:rsid w:val="00A25DC9"/>
    <w:rsid w:val="00A25E54"/>
    <w:rsid w:val="00A25F33"/>
    <w:rsid w:val="00A26014"/>
    <w:rsid w:val="00A2610F"/>
    <w:rsid w:val="00A26110"/>
    <w:rsid w:val="00A2620E"/>
    <w:rsid w:val="00A26294"/>
    <w:rsid w:val="00A262B4"/>
    <w:rsid w:val="00A262C8"/>
    <w:rsid w:val="00A262ED"/>
    <w:rsid w:val="00A2646D"/>
    <w:rsid w:val="00A26550"/>
    <w:rsid w:val="00A26552"/>
    <w:rsid w:val="00A2661E"/>
    <w:rsid w:val="00A266A2"/>
    <w:rsid w:val="00A266D0"/>
    <w:rsid w:val="00A26847"/>
    <w:rsid w:val="00A268D0"/>
    <w:rsid w:val="00A2698A"/>
    <w:rsid w:val="00A269EA"/>
    <w:rsid w:val="00A26A5A"/>
    <w:rsid w:val="00A26A7A"/>
    <w:rsid w:val="00A26B63"/>
    <w:rsid w:val="00A26BAD"/>
    <w:rsid w:val="00A26BF0"/>
    <w:rsid w:val="00A26C19"/>
    <w:rsid w:val="00A26CC3"/>
    <w:rsid w:val="00A26CEF"/>
    <w:rsid w:val="00A26D06"/>
    <w:rsid w:val="00A26D6B"/>
    <w:rsid w:val="00A26EDD"/>
    <w:rsid w:val="00A26F0E"/>
    <w:rsid w:val="00A26F2C"/>
    <w:rsid w:val="00A26F57"/>
    <w:rsid w:val="00A27109"/>
    <w:rsid w:val="00A27123"/>
    <w:rsid w:val="00A27145"/>
    <w:rsid w:val="00A27165"/>
    <w:rsid w:val="00A27168"/>
    <w:rsid w:val="00A271CD"/>
    <w:rsid w:val="00A27252"/>
    <w:rsid w:val="00A27277"/>
    <w:rsid w:val="00A2734E"/>
    <w:rsid w:val="00A27376"/>
    <w:rsid w:val="00A27377"/>
    <w:rsid w:val="00A2738F"/>
    <w:rsid w:val="00A273BE"/>
    <w:rsid w:val="00A273EF"/>
    <w:rsid w:val="00A27593"/>
    <w:rsid w:val="00A276AF"/>
    <w:rsid w:val="00A27779"/>
    <w:rsid w:val="00A2784E"/>
    <w:rsid w:val="00A278EA"/>
    <w:rsid w:val="00A279B0"/>
    <w:rsid w:val="00A279D1"/>
    <w:rsid w:val="00A27A26"/>
    <w:rsid w:val="00A27A5C"/>
    <w:rsid w:val="00A27AAD"/>
    <w:rsid w:val="00A27B23"/>
    <w:rsid w:val="00A27B25"/>
    <w:rsid w:val="00A27B43"/>
    <w:rsid w:val="00A27BF0"/>
    <w:rsid w:val="00A27CF5"/>
    <w:rsid w:val="00A27D81"/>
    <w:rsid w:val="00A27DDB"/>
    <w:rsid w:val="00A27E00"/>
    <w:rsid w:val="00A27E90"/>
    <w:rsid w:val="00A27EE5"/>
    <w:rsid w:val="00A27EFD"/>
    <w:rsid w:val="00A27F3A"/>
    <w:rsid w:val="00A3003B"/>
    <w:rsid w:val="00A3016C"/>
    <w:rsid w:val="00A301B4"/>
    <w:rsid w:val="00A301C3"/>
    <w:rsid w:val="00A301F0"/>
    <w:rsid w:val="00A3022C"/>
    <w:rsid w:val="00A302A6"/>
    <w:rsid w:val="00A302C8"/>
    <w:rsid w:val="00A302F9"/>
    <w:rsid w:val="00A30305"/>
    <w:rsid w:val="00A30333"/>
    <w:rsid w:val="00A303BF"/>
    <w:rsid w:val="00A303F5"/>
    <w:rsid w:val="00A3045F"/>
    <w:rsid w:val="00A304EE"/>
    <w:rsid w:val="00A305BA"/>
    <w:rsid w:val="00A306DD"/>
    <w:rsid w:val="00A3073B"/>
    <w:rsid w:val="00A3086A"/>
    <w:rsid w:val="00A30882"/>
    <w:rsid w:val="00A30888"/>
    <w:rsid w:val="00A308AB"/>
    <w:rsid w:val="00A3092F"/>
    <w:rsid w:val="00A3095A"/>
    <w:rsid w:val="00A30A4E"/>
    <w:rsid w:val="00A30A87"/>
    <w:rsid w:val="00A30B91"/>
    <w:rsid w:val="00A30D1C"/>
    <w:rsid w:val="00A30DFA"/>
    <w:rsid w:val="00A30E52"/>
    <w:rsid w:val="00A31017"/>
    <w:rsid w:val="00A31058"/>
    <w:rsid w:val="00A31062"/>
    <w:rsid w:val="00A31135"/>
    <w:rsid w:val="00A31151"/>
    <w:rsid w:val="00A311EC"/>
    <w:rsid w:val="00A311F5"/>
    <w:rsid w:val="00A31237"/>
    <w:rsid w:val="00A312C0"/>
    <w:rsid w:val="00A312C9"/>
    <w:rsid w:val="00A31325"/>
    <w:rsid w:val="00A314C8"/>
    <w:rsid w:val="00A31582"/>
    <w:rsid w:val="00A315FA"/>
    <w:rsid w:val="00A31712"/>
    <w:rsid w:val="00A31819"/>
    <w:rsid w:val="00A318A9"/>
    <w:rsid w:val="00A318F2"/>
    <w:rsid w:val="00A3199C"/>
    <w:rsid w:val="00A319A5"/>
    <w:rsid w:val="00A31A00"/>
    <w:rsid w:val="00A31A23"/>
    <w:rsid w:val="00A31A5D"/>
    <w:rsid w:val="00A31AFA"/>
    <w:rsid w:val="00A31B1A"/>
    <w:rsid w:val="00A31B44"/>
    <w:rsid w:val="00A31BB2"/>
    <w:rsid w:val="00A31C7B"/>
    <w:rsid w:val="00A31D18"/>
    <w:rsid w:val="00A31D69"/>
    <w:rsid w:val="00A31E5A"/>
    <w:rsid w:val="00A31E96"/>
    <w:rsid w:val="00A31EAF"/>
    <w:rsid w:val="00A31F40"/>
    <w:rsid w:val="00A31FF1"/>
    <w:rsid w:val="00A32034"/>
    <w:rsid w:val="00A32046"/>
    <w:rsid w:val="00A32185"/>
    <w:rsid w:val="00A3220F"/>
    <w:rsid w:val="00A3222F"/>
    <w:rsid w:val="00A323A4"/>
    <w:rsid w:val="00A325FA"/>
    <w:rsid w:val="00A32640"/>
    <w:rsid w:val="00A32662"/>
    <w:rsid w:val="00A32773"/>
    <w:rsid w:val="00A327F1"/>
    <w:rsid w:val="00A3284C"/>
    <w:rsid w:val="00A328FF"/>
    <w:rsid w:val="00A32A51"/>
    <w:rsid w:val="00A32AA0"/>
    <w:rsid w:val="00A32BCC"/>
    <w:rsid w:val="00A32BE4"/>
    <w:rsid w:val="00A32CED"/>
    <w:rsid w:val="00A32D7A"/>
    <w:rsid w:val="00A32DD5"/>
    <w:rsid w:val="00A32E15"/>
    <w:rsid w:val="00A32F81"/>
    <w:rsid w:val="00A33010"/>
    <w:rsid w:val="00A330C2"/>
    <w:rsid w:val="00A3318B"/>
    <w:rsid w:val="00A331E3"/>
    <w:rsid w:val="00A33281"/>
    <w:rsid w:val="00A33393"/>
    <w:rsid w:val="00A333A0"/>
    <w:rsid w:val="00A33408"/>
    <w:rsid w:val="00A335DA"/>
    <w:rsid w:val="00A33607"/>
    <w:rsid w:val="00A33610"/>
    <w:rsid w:val="00A3383B"/>
    <w:rsid w:val="00A33968"/>
    <w:rsid w:val="00A339A0"/>
    <w:rsid w:val="00A339F4"/>
    <w:rsid w:val="00A33A78"/>
    <w:rsid w:val="00A33ABC"/>
    <w:rsid w:val="00A33B7A"/>
    <w:rsid w:val="00A33C74"/>
    <w:rsid w:val="00A33D03"/>
    <w:rsid w:val="00A33D62"/>
    <w:rsid w:val="00A33E29"/>
    <w:rsid w:val="00A33E89"/>
    <w:rsid w:val="00A341CD"/>
    <w:rsid w:val="00A34247"/>
    <w:rsid w:val="00A3424D"/>
    <w:rsid w:val="00A342B0"/>
    <w:rsid w:val="00A3439F"/>
    <w:rsid w:val="00A34411"/>
    <w:rsid w:val="00A3441B"/>
    <w:rsid w:val="00A3442C"/>
    <w:rsid w:val="00A34512"/>
    <w:rsid w:val="00A34536"/>
    <w:rsid w:val="00A34549"/>
    <w:rsid w:val="00A34575"/>
    <w:rsid w:val="00A345F4"/>
    <w:rsid w:val="00A34601"/>
    <w:rsid w:val="00A3497A"/>
    <w:rsid w:val="00A34989"/>
    <w:rsid w:val="00A349BE"/>
    <w:rsid w:val="00A349DB"/>
    <w:rsid w:val="00A34A22"/>
    <w:rsid w:val="00A34AB0"/>
    <w:rsid w:val="00A34ABA"/>
    <w:rsid w:val="00A34B50"/>
    <w:rsid w:val="00A34B57"/>
    <w:rsid w:val="00A34BF8"/>
    <w:rsid w:val="00A34D2B"/>
    <w:rsid w:val="00A34DE1"/>
    <w:rsid w:val="00A34E52"/>
    <w:rsid w:val="00A34EBD"/>
    <w:rsid w:val="00A34EF3"/>
    <w:rsid w:val="00A35077"/>
    <w:rsid w:val="00A35080"/>
    <w:rsid w:val="00A350D6"/>
    <w:rsid w:val="00A3511B"/>
    <w:rsid w:val="00A3514E"/>
    <w:rsid w:val="00A35174"/>
    <w:rsid w:val="00A351BA"/>
    <w:rsid w:val="00A35275"/>
    <w:rsid w:val="00A35299"/>
    <w:rsid w:val="00A352BF"/>
    <w:rsid w:val="00A352CD"/>
    <w:rsid w:val="00A353E9"/>
    <w:rsid w:val="00A35410"/>
    <w:rsid w:val="00A3546B"/>
    <w:rsid w:val="00A35588"/>
    <w:rsid w:val="00A3562A"/>
    <w:rsid w:val="00A35648"/>
    <w:rsid w:val="00A357C5"/>
    <w:rsid w:val="00A357FC"/>
    <w:rsid w:val="00A35871"/>
    <w:rsid w:val="00A3595A"/>
    <w:rsid w:val="00A3595E"/>
    <w:rsid w:val="00A359B7"/>
    <w:rsid w:val="00A359C3"/>
    <w:rsid w:val="00A35B38"/>
    <w:rsid w:val="00A35BAF"/>
    <w:rsid w:val="00A35BFE"/>
    <w:rsid w:val="00A35D1C"/>
    <w:rsid w:val="00A35D2A"/>
    <w:rsid w:val="00A35D50"/>
    <w:rsid w:val="00A35D6E"/>
    <w:rsid w:val="00A35E5D"/>
    <w:rsid w:val="00A35E96"/>
    <w:rsid w:val="00A35EC4"/>
    <w:rsid w:val="00A35F36"/>
    <w:rsid w:val="00A35F3D"/>
    <w:rsid w:val="00A35FAB"/>
    <w:rsid w:val="00A35FCA"/>
    <w:rsid w:val="00A35FDF"/>
    <w:rsid w:val="00A36003"/>
    <w:rsid w:val="00A36005"/>
    <w:rsid w:val="00A36030"/>
    <w:rsid w:val="00A3603A"/>
    <w:rsid w:val="00A3603C"/>
    <w:rsid w:val="00A3606C"/>
    <w:rsid w:val="00A36070"/>
    <w:rsid w:val="00A36084"/>
    <w:rsid w:val="00A360C4"/>
    <w:rsid w:val="00A3611B"/>
    <w:rsid w:val="00A36216"/>
    <w:rsid w:val="00A36256"/>
    <w:rsid w:val="00A36282"/>
    <w:rsid w:val="00A362A6"/>
    <w:rsid w:val="00A363A6"/>
    <w:rsid w:val="00A363E1"/>
    <w:rsid w:val="00A36400"/>
    <w:rsid w:val="00A36475"/>
    <w:rsid w:val="00A365AA"/>
    <w:rsid w:val="00A3666E"/>
    <w:rsid w:val="00A3669C"/>
    <w:rsid w:val="00A366C7"/>
    <w:rsid w:val="00A3672E"/>
    <w:rsid w:val="00A367DF"/>
    <w:rsid w:val="00A36DF9"/>
    <w:rsid w:val="00A36DFE"/>
    <w:rsid w:val="00A36E56"/>
    <w:rsid w:val="00A36F9C"/>
    <w:rsid w:val="00A3708B"/>
    <w:rsid w:val="00A3713B"/>
    <w:rsid w:val="00A3718B"/>
    <w:rsid w:val="00A3732D"/>
    <w:rsid w:val="00A373A9"/>
    <w:rsid w:val="00A37406"/>
    <w:rsid w:val="00A37570"/>
    <w:rsid w:val="00A37576"/>
    <w:rsid w:val="00A37661"/>
    <w:rsid w:val="00A37738"/>
    <w:rsid w:val="00A3776E"/>
    <w:rsid w:val="00A3778A"/>
    <w:rsid w:val="00A3778E"/>
    <w:rsid w:val="00A3789C"/>
    <w:rsid w:val="00A378C6"/>
    <w:rsid w:val="00A37939"/>
    <w:rsid w:val="00A37973"/>
    <w:rsid w:val="00A37983"/>
    <w:rsid w:val="00A379F4"/>
    <w:rsid w:val="00A37A90"/>
    <w:rsid w:val="00A37A9A"/>
    <w:rsid w:val="00A37AC1"/>
    <w:rsid w:val="00A37ACA"/>
    <w:rsid w:val="00A37B45"/>
    <w:rsid w:val="00A37B7C"/>
    <w:rsid w:val="00A37CC8"/>
    <w:rsid w:val="00A37D81"/>
    <w:rsid w:val="00A37DB9"/>
    <w:rsid w:val="00A37F8E"/>
    <w:rsid w:val="00A37F8F"/>
    <w:rsid w:val="00A400F0"/>
    <w:rsid w:val="00A4013D"/>
    <w:rsid w:val="00A40157"/>
    <w:rsid w:val="00A40312"/>
    <w:rsid w:val="00A40368"/>
    <w:rsid w:val="00A40387"/>
    <w:rsid w:val="00A403ED"/>
    <w:rsid w:val="00A40412"/>
    <w:rsid w:val="00A40472"/>
    <w:rsid w:val="00A4050F"/>
    <w:rsid w:val="00A4059A"/>
    <w:rsid w:val="00A405D8"/>
    <w:rsid w:val="00A4069C"/>
    <w:rsid w:val="00A406E8"/>
    <w:rsid w:val="00A4071B"/>
    <w:rsid w:val="00A4079E"/>
    <w:rsid w:val="00A407E7"/>
    <w:rsid w:val="00A40827"/>
    <w:rsid w:val="00A4083F"/>
    <w:rsid w:val="00A4084F"/>
    <w:rsid w:val="00A40877"/>
    <w:rsid w:val="00A4097D"/>
    <w:rsid w:val="00A40B8E"/>
    <w:rsid w:val="00A40C37"/>
    <w:rsid w:val="00A40CD0"/>
    <w:rsid w:val="00A40D09"/>
    <w:rsid w:val="00A40D23"/>
    <w:rsid w:val="00A40D2F"/>
    <w:rsid w:val="00A40D43"/>
    <w:rsid w:val="00A40E79"/>
    <w:rsid w:val="00A40E9D"/>
    <w:rsid w:val="00A40FB2"/>
    <w:rsid w:val="00A40FD9"/>
    <w:rsid w:val="00A4100E"/>
    <w:rsid w:val="00A411DB"/>
    <w:rsid w:val="00A4120D"/>
    <w:rsid w:val="00A412B2"/>
    <w:rsid w:val="00A412CB"/>
    <w:rsid w:val="00A41396"/>
    <w:rsid w:val="00A4155C"/>
    <w:rsid w:val="00A41584"/>
    <w:rsid w:val="00A415B5"/>
    <w:rsid w:val="00A415BA"/>
    <w:rsid w:val="00A41635"/>
    <w:rsid w:val="00A41658"/>
    <w:rsid w:val="00A4175E"/>
    <w:rsid w:val="00A41788"/>
    <w:rsid w:val="00A418DF"/>
    <w:rsid w:val="00A41AB6"/>
    <w:rsid w:val="00A41B2A"/>
    <w:rsid w:val="00A41B87"/>
    <w:rsid w:val="00A41BA1"/>
    <w:rsid w:val="00A41BB8"/>
    <w:rsid w:val="00A41D22"/>
    <w:rsid w:val="00A41D7F"/>
    <w:rsid w:val="00A41E06"/>
    <w:rsid w:val="00A41F29"/>
    <w:rsid w:val="00A41F49"/>
    <w:rsid w:val="00A41F66"/>
    <w:rsid w:val="00A41FC9"/>
    <w:rsid w:val="00A41FF8"/>
    <w:rsid w:val="00A4203F"/>
    <w:rsid w:val="00A42110"/>
    <w:rsid w:val="00A42170"/>
    <w:rsid w:val="00A42188"/>
    <w:rsid w:val="00A422CB"/>
    <w:rsid w:val="00A42482"/>
    <w:rsid w:val="00A42492"/>
    <w:rsid w:val="00A4256A"/>
    <w:rsid w:val="00A42590"/>
    <w:rsid w:val="00A42600"/>
    <w:rsid w:val="00A42639"/>
    <w:rsid w:val="00A42661"/>
    <w:rsid w:val="00A42705"/>
    <w:rsid w:val="00A427B2"/>
    <w:rsid w:val="00A4280D"/>
    <w:rsid w:val="00A4280F"/>
    <w:rsid w:val="00A428F8"/>
    <w:rsid w:val="00A42937"/>
    <w:rsid w:val="00A42991"/>
    <w:rsid w:val="00A42A2E"/>
    <w:rsid w:val="00A42AE3"/>
    <w:rsid w:val="00A42B90"/>
    <w:rsid w:val="00A42BEB"/>
    <w:rsid w:val="00A42C45"/>
    <w:rsid w:val="00A42CA5"/>
    <w:rsid w:val="00A42CAE"/>
    <w:rsid w:val="00A42D55"/>
    <w:rsid w:val="00A42F3E"/>
    <w:rsid w:val="00A42F4A"/>
    <w:rsid w:val="00A43031"/>
    <w:rsid w:val="00A43111"/>
    <w:rsid w:val="00A4324C"/>
    <w:rsid w:val="00A4324E"/>
    <w:rsid w:val="00A43274"/>
    <w:rsid w:val="00A43320"/>
    <w:rsid w:val="00A43358"/>
    <w:rsid w:val="00A4338F"/>
    <w:rsid w:val="00A433DD"/>
    <w:rsid w:val="00A4371E"/>
    <w:rsid w:val="00A43780"/>
    <w:rsid w:val="00A437DC"/>
    <w:rsid w:val="00A43802"/>
    <w:rsid w:val="00A438B8"/>
    <w:rsid w:val="00A4395E"/>
    <w:rsid w:val="00A439B8"/>
    <w:rsid w:val="00A43AC6"/>
    <w:rsid w:val="00A43BF7"/>
    <w:rsid w:val="00A43C4B"/>
    <w:rsid w:val="00A43F64"/>
    <w:rsid w:val="00A4400D"/>
    <w:rsid w:val="00A44095"/>
    <w:rsid w:val="00A4410C"/>
    <w:rsid w:val="00A44119"/>
    <w:rsid w:val="00A4416D"/>
    <w:rsid w:val="00A44273"/>
    <w:rsid w:val="00A4427F"/>
    <w:rsid w:val="00A442C8"/>
    <w:rsid w:val="00A44314"/>
    <w:rsid w:val="00A444C7"/>
    <w:rsid w:val="00A44518"/>
    <w:rsid w:val="00A445AE"/>
    <w:rsid w:val="00A445BA"/>
    <w:rsid w:val="00A4460B"/>
    <w:rsid w:val="00A4461A"/>
    <w:rsid w:val="00A44664"/>
    <w:rsid w:val="00A446C5"/>
    <w:rsid w:val="00A446FC"/>
    <w:rsid w:val="00A44725"/>
    <w:rsid w:val="00A4475E"/>
    <w:rsid w:val="00A44775"/>
    <w:rsid w:val="00A4477F"/>
    <w:rsid w:val="00A44863"/>
    <w:rsid w:val="00A448EC"/>
    <w:rsid w:val="00A449EE"/>
    <w:rsid w:val="00A44A0D"/>
    <w:rsid w:val="00A44A4F"/>
    <w:rsid w:val="00A44A70"/>
    <w:rsid w:val="00A44AB8"/>
    <w:rsid w:val="00A44BD5"/>
    <w:rsid w:val="00A44C4B"/>
    <w:rsid w:val="00A44C72"/>
    <w:rsid w:val="00A44CC2"/>
    <w:rsid w:val="00A44D7E"/>
    <w:rsid w:val="00A44DE8"/>
    <w:rsid w:val="00A44E72"/>
    <w:rsid w:val="00A45013"/>
    <w:rsid w:val="00A450DC"/>
    <w:rsid w:val="00A450E4"/>
    <w:rsid w:val="00A4533E"/>
    <w:rsid w:val="00A45370"/>
    <w:rsid w:val="00A45660"/>
    <w:rsid w:val="00A456FC"/>
    <w:rsid w:val="00A4584B"/>
    <w:rsid w:val="00A458DF"/>
    <w:rsid w:val="00A458F8"/>
    <w:rsid w:val="00A45951"/>
    <w:rsid w:val="00A45AFB"/>
    <w:rsid w:val="00A45BD9"/>
    <w:rsid w:val="00A45C6D"/>
    <w:rsid w:val="00A45D22"/>
    <w:rsid w:val="00A45F61"/>
    <w:rsid w:val="00A45F6D"/>
    <w:rsid w:val="00A45F9D"/>
    <w:rsid w:val="00A460D2"/>
    <w:rsid w:val="00A4613B"/>
    <w:rsid w:val="00A46189"/>
    <w:rsid w:val="00A4629A"/>
    <w:rsid w:val="00A46339"/>
    <w:rsid w:val="00A4633F"/>
    <w:rsid w:val="00A463FB"/>
    <w:rsid w:val="00A4645A"/>
    <w:rsid w:val="00A46468"/>
    <w:rsid w:val="00A464E4"/>
    <w:rsid w:val="00A465FA"/>
    <w:rsid w:val="00A46661"/>
    <w:rsid w:val="00A46692"/>
    <w:rsid w:val="00A466E3"/>
    <w:rsid w:val="00A466E8"/>
    <w:rsid w:val="00A46742"/>
    <w:rsid w:val="00A4688E"/>
    <w:rsid w:val="00A469C4"/>
    <w:rsid w:val="00A46A85"/>
    <w:rsid w:val="00A46B50"/>
    <w:rsid w:val="00A46D16"/>
    <w:rsid w:val="00A46D8F"/>
    <w:rsid w:val="00A46F0A"/>
    <w:rsid w:val="00A46F14"/>
    <w:rsid w:val="00A46F61"/>
    <w:rsid w:val="00A4709D"/>
    <w:rsid w:val="00A470D9"/>
    <w:rsid w:val="00A4716A"/>
    <w:rsid w:val="00A471BF"/>
    <w:rsid w:val="00A47206"/>
    <w:rsid w:val="00A4720C"/>
    <w:rsid w:val="00A4735D"/>
    <w:rsid w:val="00A4737A"/>
    <w:rsid w:val="00A47418"/>
    <w:rsid w:val="00A474FE"/>
    <w:rsid w:val="00A47563"/>
    <w:rsid w:val="00A4759F"/>
    <w:rsid w:val="00A47774"/>
    <w:rsid w:val="00A477EE"/>
    <w:rsid w:val="00A47810"/>
    <w:rsid w:val="00A478F1"/>
    <w:rsid w:val="00A4798B"/>
    <w:rsid w:val="00A479CC"/>
    <w:rsid w:val="00A47A26"/>
    <w:rsid w:val="00A47A31"/>
    <w:rsid w:val="00A47A58"/>
    <w:rsid w:val="00A47B50"/>
    <w:rsid w:val="00A47CFE"/>
    <w:rsid w:val="00A47DB4"/>
    <w:rsid w:val="00A47E28"/>
    <w:rsid w:val="00A47E4D"/>
    <w:rsid w:val="00A47F8D"/>
    <w:rsid w:val="00A47FAE"/>
    <w:rsid w:val="00A50050"/>
    <w:rsid w:val="00A50094"/>
    <w:rsid w:val="00A50102"/>
    <w:rsid w:val="00A50128"/>
    <w:rsid w:val="00A50143"/>
    <w:rsid w:val="00A501AA"/>
    <w:rsid w:val="00A501C4"/>
    <w:rsid w:val="00A501EF"/>
    <w:rsid w:val="00A50317"/>
    <w:rsid w:val="00A5036F"/>
    <w:rsid w:val="00A50371"/>
    <w:rsid w:val="00A503B7"/>
    <w:rsid w:val="00A503BF"/>
    <w:rsid w:val="00A503F2"/>
    <w:rsid w:val="00A50444"/>
    <w:rsid w:val="00A50510"/>
    <w:rsid w:val="00A5054D"/>
    <w:rsid w:val="00A505FC"/>
    <w:rsid w:val="00A5064F"/>
    <w:rsid w:val="00A506B6"/>
    <w:rsid w:val="00A50840"/>
    <w:rsid w:val="00A508DB"/>
    <w:rsid w:val="00A50A32"/>
    <w:rsid w:val="00A50A37"/>
    <w:rsid w:val="00A50A54"/>
    <w:rsid w:val="00A50A82"/>
    <w:rsid w:val="00A50AE0"/>
    <w:rsid w:val="00A50B9E"/>
    <w:rsid w:val="00A50C07"/>
    <w:rsid w:val="00A50C1B"/>
    <w:rsid w:val="00A50C48"/>
    <w:rsid w:val="00A50C71"/>
    <w:rsid w:val="00A50CC3"/>
    <w:rsid w:val="00A50D2A"/>
    <w:rsid w:val="00A50DC3"/>
    <w:rsid w:val="00A50DE6"/>
    <w:rsid w:val="00A50E07"/>
    <w:rsid w:val="00A50E37"/>
    <w:rsid w:val="00A50E89"/>
    <w:rsid w:val="00A50F40"/>
    <w:rsid w:val="00A50F9F"/>
    <w:rsid w:val="00A51043"/>
    <w:rsid w:val="00A510E3"/>
    <w:rsid w:val="00A51126"/>
    <w:rsid w:val="00A51286"/>
    <w:rsid w:val="00A512DB"/>
    <w:rsid w:val="00A513A0"/>
    <w:rsid w:val="00A513B0"/>
    <w:rsid w:val="00A515F4"/>
    <w:rsid w:val="00A51600"/>
    <w:rsid w:val="00A51692"/>
    <w:rsid w:val="00A51718"/>
    <w:rsid w:val="00A517D2"/>
    <w:rsid w:val="00A5190A"/>
    <w:rsid w:val="00A51917"/>
    <w:rsid w:val="00A51AC1"/>
    <w:rsid w:val="00A51AF6"/>
    <w:rsid w:val="00A51B58"/>
    <w:rsid w:val="00A51B96"/>
    <w:rsid w:val="00A51C3E"/>
    <w:rsid w:val="00A51E52"/>
    <w:rsid w:val="00A51E56"/>
    <w:rsid w:val="00A51ED0"/>
    <w:rsid w:val="00A5202C"/>
    <w:rsid w:val="00A52077"/>
    <w:rsid w:val="00A52225"/>
    <w:rsid w:val="00A523B8"/>
    <w:rsid w:val="00A5240F"/>
    <w:rsid w:val="00A524F6"/>
    <w:rsid w:val="00A52537"/>
    <w:rsid w:val="00A52649"/>
    <w:rsid w:val="00A52740"/>
    <w:rsid w:val="00A52882"/>
    <w:rsid w:val="00A528B2"/>
    <w:rsid w:val="00A5293C"/>
    <w:rsid w:val="00A5294C"/>
    <w:rsid w:val="00A529C6"/>
    <w:rsid w:val="00A52A20"/>
    <w:rsid w:val="00A52A58"/>
    <w:rsid w:val="00A52A7F"/>
    <w:rsid w:val="00A52ABE"/>
    <w:rsid w:val="00A52B54"/>
    <w:rsid w:val="00A52B98"/>
    <w:rsid w:val="00A52BFE"/>
    <w:rsid w:val="00A52D1D"/>
    <w:rsid w:val="00A52D23"/>
    <w:rsid w:val="00A52DC5"/>
    <w:rsid w:val="00A52E5E"/>
    <w:rsid w:val="00A52EFD"/>
    <w:rsid w:val="00A52F45"/>
    <w:rsid w:val="00A53002"/>
    <w:rsid w:val="00A5305E"/>
    <w:rsid w:val="00A53148"/>
    <w:rsid w:val="00A53175"/>
    <w:rsid w:val="00A53188"/>
    <w:rsid w:val="00A5324C"/>
    <w:rsid w:val="00A5327B"/>
    <w:rsid w:val="00A5327C"/>
    <w:rsid w:val="00A5340F"/>
    <w:rsid w:val="00A53417"/>
    <w:rsid w:val="00A534C9"/>
    <w:rsid w:val="00A534D4"/>
    <w:rsid w:val="00A534F7"/>
    <w:rsid w:val="00A535A8"/>
    <w:rsid w:val="00A5373C"/>
    <w:rsid w:val="00A53864"/>
    <w:rsid w:val="00A53A10"/>
    <w:rsid w:val="00A53A26"/>
    <w:rsid w:val="00A53B56"/>
    <w:rsid w:val="00A53C06"/>
    <w:rsid w:val="00A53C09"/>
    <w:rsid w:val="00A53C14"/>
    <w:rsid w:val="00A53D4C"/>
    <w:rsid w:val="00A53DE1"/>
    <w:rsid w:val="00A53DEC"/>
    <w:rsid w:val="00A53E36"/>
    <w:rsid w:val="00A53F95"/>
    <w:rsid w:val="00A53FF6"/>
    <w:rsid w:val="00A54014"/>
    <w:rsid w:val="00A5401F"/>
    <w:rsid w:val="00A54093"/>
    <w:rsid w:val="00A54114"/>
    <w:rsid w:val="00A541FD"/>
    <w:rsid w:val="00A54359"/>
    <w:rsid w:val="00A5436D"/>
    <w:rsid w:val="00A543D5"/>
    <w:rsid w:val="00A5444A"/>
    <w:rsid w:val="00A5445D"/>
    <w:rsid w:val="00A544F7"/>
    <w:rsid w:val="00A54561"/>
    <w:rsid w:val="00A54614"/>
    <w:rsid w:val="00A546F0"/>
    <w:rsid w:val="00A54705"/>
    <w:rsid w:val="00A5471B"/>
    <w:rsid w:val="00A547C7"/>
    <w:rsid w:val="00A54810"/>
    <w:rsid w:val="00A548A0"/>
    <w:rsid w:val="00A549D1"/>
    <w:rsid w:val="00A54AAF"/>
    <w:rsid w:val="00A54AC7"/>
    <w:rsid w:val="00A54B0E"/>
    <w:rsid w:val="00A54B7D"/>
    <w:rsid w:val="00A54BE5"/>
    <w:rsid w:val="00A54BF1"/>
    <w:rsid w:val="00A54C18"/>
    <w:rsid w:val="00A54C46"/>
    <w:rsid w:val="00A54C9F"/>
    <w:rsid w:val="00A54CC7"/>
    <w:rsid w:val="00A54DC7"/>
    <w:rsid w:val="00A54E57"/>
    <w:rsid w:val="00A54E80"/>
    <w:rsid w:val="00A54F14"/>
    <w:rsid w:val="00A54F2E"/>
    <w:rsid w:val="00A54F4C"/>
    <w:rsid w:val="00A54F8F"/>
    <w:rsid w:val="00A54F96"/>
    <w:rsid w:val="00A55064"/>
    <w:rsid w:val="00A5514D"/>
    <w:rsid w:val="00A55169"/>
    <w:rsid w:val="00A55193"/>
    <w:rsid w:val="00A551BC"/>
    <w:rsid w:val="00A55251"/>
    <w:rsid w:val="00A553CF"/>
    <w:rsid w:val="00A553D2"/>
    <w:rsid w:val="00A5551A"/>
    <w:rsid w:val="00A556C2"/>
    <w:rsid w:val="00A557C3"/>
    <w:rsid w:val="00A557D7"/>
    <w:rsid w:val="00A5583C"/>
    <w:rsid w:val="00A5586D"/>
    <w:rsid w:val="00A558BD"/>
    <w:rsid w:val="00A55A14"/>
    <w:rsid w:val="00A55B0A"/>
    <w:rsid w:val="00A55B19"/>
    <w:rsid w:val="00A55B35"/>
    <w:rsid w:val="00A55C86"/>
    <w:rsid w:val="00A55D42"/>
    <w:rsid w:val="00A55DD0"/>
    <w:rsid w:val="00A55E5C"/>
    <w:rsid w:val="00A55F89"/>
    <w:rsid w:val="00A55FD1"/>
    <w:rsid w:val="00A55FF7"/>
    <w:rsid w:val="00A56048"/>
    <w:rsid w:val="00A56126"/>
    <w:rsid w:val="00A56198"/>
    <w:rsid w:val="00A56258"/>
    <w:rsid w:val="00A562A5"/>
    <w:rsid w:val="00A562CE"/>
    <w:rsid w:val="00A56368"/>
    <w:rsid w:val="00A563F6"/>
    <w:rsid w:val="00A56496"/>
    <w:rsid w:val="00A564B0"/>
    <w:rsid w:val="00A565A2"/>
    <w:rsid w:val="00A565E3"/>
    <w:rsid w:val="00A56611"/>
    <w:rsid w:val="00A566DB"/>
    <w:rsid w:val="00A56722"/>
    <w:rsid w:val="00A56879"/>
    <w:rsid w:val="00A568E7"/>
    <w:rsid w:val="00A5696B"/>
    <w:rsid w:val="00A569BD"/>
    <w:rsid w:val="00A569C4"/>
    <w:rsid w:val="00A56A4A"/>
    <w:rsid w:val="00A56A65"/>
    <w:rsid w:val="00A56A7D"/>
    <w:rsid w:val="00A56A90"/>
    <w:rsid w:val="00A56BEE"/>
    <w:rsid w:val="00A56C46"/>
    <w:rsid w:val="00A56D10"/>
    <w:rsid w:val="00A56D1D"/>
    <w:rsid w:val="00A56D2E"/>
    <w:rsid w:val="00A56E25"/>
    <w:rsid w:val="00A56E6D"/>
    <w:rsid w:val="00A56F6F"/>
    <w:rsid w:val="00A570B4"/>
    <w:rsid w:val="00A570C8"/>
    <w:rsid w:val="00A570D2"/>
    <w:rsid w:val="00A570D6"/>
    <w:rsid w:val="00A57100"/>
    <w:rsid w:val="00A5720D"/>
    <w:rsid w:val="00A5721A"/>
    <w:rsid w:val="00A57221"/>
    <w:rsid w:val="00A57222"/>
    <w:rsid w:val="00A57246"/>
    <w:rsid w:val="00A5727A"/>
    <w:rsid w:val="00A573C9"/>
    <w:rsid w:val="00A57439"/>
    <w:rsid w:val="00A57449"/>
    <w:rsid w:val="00A57525"/>
    <w:rsid w:val="00A5755A"/>
    <w:rsid w:val="00A575C4"/>
    <w:rsid w:val="00A576AE"/>
    <w:rsid w:val="00A576E2"/>
    <w:rsid w:val="00A5776E"/>
    <w:rsid w:val="00A5792E"/>
    <w:rsid w:val="00A579BB"/>
    <w:rsid w:val="00A57A2A"/>
    <w:rsid w:val="00A57AEE"/>
    <w:rsid w:val="00A57BB3"/>
    <w:rsid w:val="00A57C85"/>
    <w:rsid w:val="00A57C88"/>
    <w:rsid w:val="00A57C8D"/>
    <w:rsid w:val="00A57D3D"/>
    <w:rsid w:val="00A57DBD"/>
    <w:rsid w:val="00A57DE0"/>
    <w:rsid w:val="00A57E26"/>
    <w:rsid w:val="00A57F13"/>
    <w:rsid w:val="00A57FE8"/>
    <w:rsid w:val="00A6011D"/>
    <w:rsid w:val="00A60176"/>
    <w:rsid w:val="00A60418"/>
    <w:rsid w:val="00A604D8"/>
    <w:rsid w:val="00A6050F"/>
    <w:rsid w:val="00A6051D"/>
    <w:rsid w:val="00A60651"/>
    <w:rsid w:val="00A606A0"/>
    <w:rsid w:val="00A607C8"/>
    <w:rsid w:val="00A607E6"/>
    <w:rsid w:val="00A607FC"/>
    <w:rsid w:val="00A607FF"/>
    <w:rsid w:val="00A608A1"/>
    <w:rsid w:val="00A60A3A"/>
    <w:rsid w:val="00A60AE6"/>
    <w:rsid w:val="00A60C08"/>
    <w:rsid w:val="00A60C0C"/>
    <w:rsid w:val="00A60C3D"/>
    <w:rsid w:val="00A60D53"/>
    <w:rsid w:val="00A60E69"/>
    <w:rsid w:val="00A60E83"/>
    <w:rsid w:val="00A60F03"/>
    <w:rsid w:val="00A60F26"/>
    <w:rsid w:val="00A60FDF"/>
    <w:rsid w:val="00A61038"/>
    <w:rsid w:val="00A6103A"/>
    <w:rsid w:val="00A61049"/>
    <w:rsid w:val="00A610BC"/>
    <w:rsid w:val="00A61101"/>
    <w:rsid w:val="00A6110B"/>
    <w:rsid w:val="00A61119"/>
    <w:rsid w:val="00A61246"/>
    <w:rsid w:val="00A61326"/>
    <w:rsid w:val="00A614D4"/>
    <w:rsid w:val="00A6156D"/>
    <w:rsid w:val="00A61580"/>
    <w:rsid w:val="00A615AB"/>
    <w:rsid w:val="00A61608"/>
    <w:rsid w:val="00A6168E"/>
    <w:rsid w:val="00A61693"/>
    <w:rsid w:val="00A616EB"/>
    <w:rsid w:val="00A617FF"/>
    <w:rsid w:val="00A61837"/>
    <w:rsid w:val="00A61863"/>
    <w:rsid w:val="00A618A9"/>
    <w:rsid w:val="00A6197D"/>
    <w:rsid w:val="00A619A9"/>
    <w:rsid w:val="00A61AC2"/>
    <w:rsid w:val="00A61BA3"/>
    <w:rsid w:val="00A61BE4"/>
    <w:rsid w:val="00A61C18"/>
    <w:rsid w:val="00A61C9F"/>
    <w:rsid w:val="00A61CEA"/>
    <w:rsid w:val="00A61CF4"/>
    <w:rsid w:val="00A61D7C"/>
    <w:rsid w:val="00A61E2F"/>
    <w:rsid w:val="00A61E3C"/>
    <w:rsid w:val="00A61E6C"/>
    <w:rsid w:val="00A61EFC"/>
    <w:rsid w:val="00A61F67"/>
    <w:rsid w:val="00A62121"/>
    <w:rsid w:val="00A6223F"/>
    <w:rsid w:val="00A6229E"/>
    <w:rsid w:val="00A622BE"/>
    <w:rsid w:val="00A6230D"/>
    <w:rsid w:val="00A62341"/>
    <w:rsid w:val="00A6236F"/>
    <w:rsid w:val="00A62381"/>
    <w:rsid w:val="00A624A5"/>
    <w:rsid w:val="00A625B6"/>
    <w:rsid w:val="00A62632"/>
    <w:rsid w:val="00A62669"/>
    <w:rsid w:val="00A626C4"/>
    <w:rsid w:val="00A627DB"/>
    <w:rsid w:val="00A62822"/>
    <w:rsid w:val="00A62963"/>
    <w:rsid w:val="00A6299D"/>
    <w:rsid w:val="00A629C6"/>
    <w:rsid w:val="00A62A28"/>
    <w:rsid w:val="00A62ACC"/>
    <w:rsid w:val="00A62B40"/>
    <w:rsid w:val="00A62B8A"/>
    <w:rsid w:val="00A62C88"/>
    <w:rsid w:val="00A62E48"/>
    <w:rsid w:val="00A62EE5"/>
    <w:rsid w:val="00A62F4D"/>
    <w:rsid w:val="00A62FAF"/>
    <w:rsid w:val="00A63035"/>
    <w:rsid w:val="00A6309D"/>
    <w:rsid w:val="00A631C1"/>
    <w:rsid w:val="00A631CE"/>
    <w:rsid w:val="00A6321E"/>
    <w:rsid w:val="00A6325E"/>
    <w:rsid w:val="00A632BA"/>
    <w:rsid w:val="00A633F7"/>
    <w:rsid w:val="00A6340A"/>
    <w:rsid w:val="00A63445"/>
    <w:rsid w:val="00A63465"/>
    <w:rsid w:val="00A637BB"/>
    <w:rsid w:val="00A637C0"/>
    <w:rsid w:val="00A637CB"/>
    <w:rsid w:val="00A6396B"/>
    <w:rsid w:val="00A63998"/>
    <w:rsid w:val="00A639FB"/>
    <w:rsid w:val="00A63B08"/>
    <w:rsid w:val="00A63B9B"/>
    <w:rsid w:val="00A63C51"/>
    <w:rsid w:val="00A63C97"/>
    <w:rsid w:val="00A63DE9"/>
    <w:rsid w:val="00A63E5E"/>
    <w:rsid w:val="00A63F67"/>
    <w:rsid w:val="00A63F97"/>
    <w:rsid w:val="00A63FFA"/>
    <w:rsid w:val="00A64016"/>
    <w:rsid w:val="00A640BB"/>
    <w:rsid w:val="00A640D0"/>
    <w:rsid w:val="00A64226"/>
    <w:rsid w:val="00A6422F"/>
    <w:rsid w:val="00A6432D"/>
    <w:rsid w:val="00A643CF"/>
    <w:rsid w:val="00A64433"/>
    <w:rsid w:val="00A6453C"/>
    <w:rsid w:val="00A645D6"/>
    <w:rsid w:val="00A64648"/>
    <w:rsid w:val="00A6464F"/>
    <w:rsid w:val="00A646A6"/>
    <w:rsid w:val="00A646E8"/>
    <w:rsid w:val="00A64721"/>
    <w:rsid w:val="00A648AC"/>
    <w:rsid w:val="00A648CB"/>
    <w:rsid w:val="00A64910"/>
    <w:rsid w:val="00A6494D"/>
    <w:rsid w:val="00A64992"/>
    <w:rsid w:val="00A649CE"/>
    <w:rsid w:val="00A649EB"/>
    <w:rsid w:val="00A64A3B"/>
    <w:rsid w:val="00A64A47"/>
    <w:rsid w:val="00A64B13"/>
    <w:rsid w:val="00A64BCC"/>
    <w:rsid w:val="00A64C46"/>
    <w:rsid w:val="00A64C9B"/>
    <w:rsid w:val="00A64CA7"/>
    <w:rsid w:val="00A64CFA"/>
    <w:rsid w:val="00A64D92"/>
    <w:rsid w:val="00A64DB0"/>
    <w:rsid w:val="00A64DB4"/>
    <w:rsid w:val="00A64DCC"/>
    <w:rsid w:val="00A64E17"/>
    <w:rsid w:val="00A64E30"/>
    <w:rsid w:val="00A64E9D"/>
    <w:rsid w:val="00A64EA5"/>
    <w:rsid w:val="00A64F12"/>
    <w:rsid w:val="00A6505D"/>
    <w:rsid w:val="00A65080"/>
    <w:rsid w:val="00A650B3"/>
    <w:rsid w:val="00A650E1"/>
    <w:rsid w:val="00A65105"/>
    <w:rsid w:val="00A6516E"/>
    <w:rsid w:val="00A65171"/>
    <w:rsid w:val="00A6528B"/>
    <w:rsid w:val="00A65345"/>
    <w:rsid w:val="00A65349"/>
    <w:rsid w:val="00A65355"/>
    <w:rsid w:val="00A653A6"/>
    <w:rsid w:val="00A653D2"/>
    <w:rsid w:val="00A654E2"/>
    <w:rsid w:val="00A65673"/>
    <w:rsid w:val="00A656E2"/>
    <w:rsid w:val="00A65742"/>
    <w:rsid w:val="00A6577E"/>
    <w:rsid w:val="00A657F9"/>
    <w:rsid w:val="00A6582E"/>
    <w:rsid w:val="00A6588D"/>
    <w:rsid w:val="00A658CD"/>
    <w:rsid w:val="00A6590A"/>
    <w:rsid w:val="00A6597A"/>
    <w:rsid w:val="00A65A80"/>
    <w:rsid w:val="00A65B29"/>
    <w:rsid w:val="00A65B2C"/>
    <w:rsid w:val="00A65BE6"/>
    <w:rsid w:val="00A65D53"/>
    <w:rsid w:val="00A65D89"/>
    <w:rsid w:val="00A65E01"/>
    <w:rsid w:val="00A65E07"/>
    <w:rsid w:val="00A65F1E"/>
    <w:rsid w:val="00A66009"/>
    <w:rsid w:val="00A66010"/>
    <w:rsid w:val="00A660A8"/>
    <w:rsid w:val="00A66218"/>
    <w:rsid w:val="00A66392"/>
    <w:rsid w:val="00A663FC"/>
    <w:rsid w:val="00A665D8"/>
    <w:rsid w:val="00A66613"/>
    <w:rsid w:val="00A66785"/>
    <w:rsid w:val="00A66882"/>
    <w:rsid w:val="00A66951"/>
    <w:rsid w:val="00A6699F"/>
    <w:rsid w:val="00A66B11"/>
    <w:rsid w:val="00A66B5D"/>
    <w:rsid w:val="00A66C78"/>
    <w:rsid w:val="00A66C99"/>
    <w:rsid w:val="00A66D9F"/>
    <w:rsid w:val="00A66DC1"/>
    <w:rsid w:val="00A66DC8"/>
    <w:rsid w:val="00A66EB9"/>
    <w:rsid w:val="00A67147"/>
    <w:rsid w:val="00A67198"/>
    <w:rsid w:val="00A67249"/>
    <w:rsid w:val="00A67320"/>
    <w:rsid w:val="00A673B7"/>
    <w:rsid w:val="00A673BC"/>
    <w:rsid w:val="00A6749B"/>
    <w:rsid w:val="00A675A2"/>
    <w:rsid w:val="00A675A3"/>
    <w:rsid w:val="00A67606"/>
    <w:rsid w:val="00A676E8"/>
    <w:rsid w:val="00A67783"/>
    <w:rsid w:val="00A677DE"/>
    <w:rsid w:val="00A67845"/>
    <w:rsid w:val="00A67878"/>
    <w:rsid w:val="00A678A4"/>
    <w:rsid w:val="00A678C1"/>
    <w:rsid w:val="00A67925"/>
    <w:rsid w:val="00A679D2"/>
    <w:rsid w:val="00A67A7A"/>
    <w:rsid w:val="00A67A95"/>
    <w:rsid w:val="00A67AAB"/>
    <w:rsid w:val="00A67AB2"/>
    <w:rsid w:val="00A67AC4"/>
    <w:rsid w:val="00A67B94"/>
    <w:rsid w:val="00A67BC2"/>
    <w:rsid w:val="00A67BC9"/>
    <w:rsid w:val="00A67C2A"/>
    <w:rsid w:val="00A67CCB"/>
    <w:rsid w:val="00A67CE7"/>
    <w:rsid w:val="00A67D48"/>
    <w:rsid w:val="00A67D74"/>
    <w:rsid w:val="00A67F3F"/>
    <w:rsid w:val="00A67FA1"/>
    <w:rsid w:val="00A67FBD"/>
    <w:rsid w:val="00A67FE7"/>
    <w:rsid w:val="00A70060"/>
    <w:rsid w:val="00A70062"/>
    <w:rsid w:val="00A7010F"/>
    <w:rsid w:val="00A70119"/>
    <w:rsid w:val="00A70232"/>
    <w:rsid w:val="00A702EF"/>
    <w:rsid w:val="00A7035A"/>
    <w:rsid w:val="00A703BA"/>
    <w:rsid w:val="00A703D3"/>
    <w:rsid w:val="00A70411"/>
    <w:rsid w:val="00A704B1"/>
    <w:rsid w:val="00A70533"/>
    <w:rsid w:val="00A705C8"/>
    <w:rsid w:val="00A705D1"/>
    <w:rsid w:val="00A705F3"/>
    <w:rsid w:val="00A705F7"/>
    <w:rsid w:val="00A70629"/>
    <w:rsid w:val="00A70684"/>
    <w:rsid w:val="00A70741"/>
    <w:rsid w:val="00A707DA"/>
    <w:rsid w:val="00A7080F"/>
    <w:rsid w:val="00A70850"/>
    <w:rsid w:val="00A7092A"/>
    <w:rsid w:val="00A70942"/>
    <w:rsid w:val="00A70944"/>
    <w:rsid w:val="00A70A41"/>
    <w:rsid w:val="00A70ACB"/>
    <w:rsid w:val="00A70CA3"/>
    <w:rsid w:val="00A70D48"/>
    <w:rsid w:val="00A70E42"/>
    <w:rsid w:val="00A70E60"/>
    <w:rsid w:val="00A70F2E"/>
    <w:rsid w:val="00A70F51"/>
    <w:rsid w:val="00A7123D"/>
    <w:rsid w:val="00A71532"/>
    <w:rsid w:val="00A7165A"/>
    <w:rsid w:val="00A716C4"/>
    <w:rsid w:val="00A716F0"/>
    <w:rsid w:val="00A71812"/>
    <w:rsid w:val="00A7186A"/>
    <w:rsid w:val="00A71939"/>
    <w:rsid w:val="00A71A1D"/>
    <w:rsid w:val="00A71A3B"/>
    <w:rsid w:val="00A71AC7"/>
    <w:rsid w:val="00A71C38"/>
    <w:rsid w:val="00A71C3E"/>
    <w:rsid w:val="00A71C82"/>
    <w:rsid w:val="00A71D2E"/>
    <w:rsid w:val="00A71D36"/>
    <w:rsid w:val="00A71D6D"/>
    <w:rsid w:val="00A71EFB"/>
    <w:rsid w:val="00A720AD"/>
    <w:rsid w:val="00A72103"/>
    <w:rsid w:val="00A7212D"/>
    <w:rsid w:val="00A72447"/>
    <w:rsid w:val="00A72455"/>
    <w:rsid w:val="00A724DB"/>
    <w:rsid w:val="00A724EF"/>
    <w:rsid w:val="00A724FC"/>
    <w:rsid w:val="00A725C0"/>
    <w:rsid w:val="00A72613"/>
    <w:rsid w:val="00A72619"/>
    <w:rsid w:val="00A72654"/>
    <w:rsid w:val="00A72844"/>
    <w:rsid w:val="00A728C8"/>
    <w:rsid w:val="00A728E9"/>
    <w:rsid w:val="00A7290E"/>
    <w:rsid w:val="00A72934"/>
    <w:rsid w:val="00A729FF"/>
    <w:rsid w:val="00A72B28"/>
    <w:rsid w:val="00A72B30"/>
    <w:rsid w:val="00A72BAD"/>
    <w:rsid w:val="00A72BC7"/>
    <w:rsid w:val="00A72C5D"/>
    <w:rsid w:val="00A72CED"/>
    <w:rsid w:val="00A72F04"/>
    <w:rsid w:val="00A72F7C"/>
    <w:rsid w:val="00A72FF2"/>
    <w:rsid w:val="00A72FFD"/>
    <w:rsid w:val="00A73122"/>
    <w:rsid w:val="00A731AA"/>
    <w:rsid w:val="00A73240"/>
    <w:rsid w:val="00A732D1"/>
    <w:rsid w:val="00A73379"/>
    <w:rsid w:val="00A734D7"/>
    <w:rsid w:val="00A73500"/>
    <w:rsid w:val="00A73585"/>
    <w:rsid w:val="00A735B0"/>
    <w:rsid w:val="00A7364C"/>
    <w:rsid w:val="00A7374A"/>
    <w:rsid w:val="00A73779"/>
    <w:rsid w:val="00A737CC"/>
    <w:rsid w:val="00A737CE"/>
    <w:rsid w:val="00A73816"/>
    <w:rsid w:val="00A739CF"/>
    <w:rsid w:val="00A73B04"/>
    <w:rsid w:val="00A73B3C"/>
    <w:rsid w:val="00A73C51"/>
    <w:rsid w:val="00A73D70"/>
    <w:rsid w:val="00A73DCE"/>
    <w:rsid w:val="00A73E8A"/>
    <w:rsid w:val="00A73F55"/>
    <w:rsid w:val="00A73F80"/>
    <w:rsid w:val="00A73F97"/>
    <w:rsid w:val="00A74087"/>
    <w:rsid w:val="00A74236"/>
    <w:rsid w:val="00A7423B"/>
    <w:rsid w:val="00A7432B"/>
    <w:rsid w:val="00A7435C"/>
    <w:rsid w:val="00A74390"/>
    <w:rsid w:val="00A74395"/>
    <w:rsid w:val="00A74484"/>
    <w:rsid w:val="00A746E0"/>
    <w:rsid w:val="00A746E1"/>
    <w:rsid w:val="00A746F8"/>
    <w:rsid w:val="00A7471F"/>
    <w:rsid w:val="00A747BD"/>
    <w:rsid w:val="00A747D7"/>
    <w:rsid w:val="00A747EA"/>
    <w:rsid w:val="00A7485C"/>
    <w:rsid w:val="00A748C7"/>
    <w:rsid w:val="00A749B9"/>
    <w:rsid w:val="00A749C5"/>
    <w:rsid w:val="00A74AE5"/>
    <w:rsid w:val="00A74B19"/>
    <w:rsid w:val="00A74B48"/>
    <w:rsid w:val="00A74BF0"/>
    <w:rsid w:val="00A74C2C"/>
    <w:rsid w:val="00A74D26"/>
    <w:rsid w:val="00A74E62"/>
    <w:rsid w:val="00A74F3A"/>
    <w:rsid w:val="00A74FEB"/>
    <w:rsid w:val="00A7506D"/>
    <w:rsid w:val="00A752BC"/>
    <w:rsid w:val="00A752E0"/>
    <w:rsid w:val="00A752E7"/>
    <w:rsid w:val="00A75384"/>
    <w:rsid w:val="00A753A4"/>
    <w:rsid w:val="00A75512"/>
    <w:rsid w:val="00A7570C"/>
    <w:rsid w:val="00A757FE"/>
    <w:rsid w:val="00A7586C"/>
    <w:rsid w:val="00A758D4"/>
    <w:rsid w:val="00A758E8"/>
    <w:rsid w:val="00A75A12"/>
    <w:rsid w:val="00A75A50"/>
    <w:rsid w:val="00A75AB1"/>
    <w:rsid w:val="00A75AF0"/>
    <w:rsid w:val="00A75B2F"/>
    <w:rsid w:val="00A75C0F"/>
    <w:rsid w:val="00A75D3E"/>
    <w:rsid w:val="00A75D46"/>
    <w:rsid w:val="00A75D75"/>
    <w:rsid w:val="00A75E0C"/>
    <w:rsid w:val="00A75E84"/>
    <w:rsid w:val="00A75E85"/>
    <w:rsid w:val="00A75E95"/>
    <w:rsid w:val="00A75EAA"/>
    <w:rsid w:val="00A763E0"/>
    <w:rsid w:val="00A7642D"/>
    <w:rsid w:val="00A7643C"/>
    <w:rsid w:val="00A76522"/>
    <w:rsid w:val="00A76534"/>
    <w:rsid w:val="00A76616"/>
    <w:rsid w:val="00A7664C"/>
    <w:rsid w:val="00A7671E"/>
    <w:rsid w:val="00A767E5"/>
    <w:rsid w:val="00A76909"/>
    <w:rsid w:val="00A76910"/>
    <w:rsid w:val="00A76A54"/>
    <w:rsid w:val="00A76A7B"/>
    <w:rsid w:val="00A76AD4"/>
    <w:rsid w:val="00A76AF5"/>
    <w:rsid w:val="00A76B39"/>
    <w:rsid w:val="00A76B92"/>
    <w:rsid w:val="00A76D0C"/>
    <w:rsid w:val="00A76D76"/>
    <w:rsid w:val="00A76D7C"/>
    <w:rsid w:val="00A76DBF"/>
    <w:rsid w:val="00A76DF6"/>
    <w:rsid w:val="00A76E3F"/>
    <w:rsid w:val="00A76E53"/>
    <w:rsid w:val="00A76E5E"/>
    <w:rsid w:val="00A76EB7"/>
    <w:rsid w:val="00A7702C"/>
    <w:rsid w:val="00A77059"/>
    <w:rsid w:val="00A770B0"/>
    <w:rsid w:val="00A770FC"/>
    <w:rsid w:val="00A7723C"/>
    <w:rsid w:val="00A7733B"/>
    <w:rsid w:val="00A7736D"/>
    <w:rsid w:val="00A773BE"/>
    <w:rsid w:val="00A7741E"/>
    <w:rsid w:val="00A77442"/>
    <w:rsid w:val="00A775AD"/>
    <w:rsid w:val="00A775DB"/>
    <w:rsid w:val="00A775F1"/>
    <w:rsid w:val="00A775FB"/>
    <w:rsid w:val="00A7770F"/>
    <w:rsid w:val="00A77880"/>
    <w:rsid w:val="00A77A62"/>
    <w:rsid w:val="00A77C94"/>
    <w:rsid w:val="00A77D25"/>
    <w:rsid w:val="00A77D5C"/>
    <w:rsid w:val="00A77DAA"/>
    <w:rsid w:val="00A77DFF"/>
    <w:rsid w:val="00A77E24"/>
    <w:rsid w:val="00A77E33"/>
    <w:rsid w:val="00A77E8A"/>
    <w:rsid w:val="00A77E8D"/>
    <w:rsid w:val="00A77EF4"/>
    <w:rsid w:val="00A77F58"/>
    <w:rsid w:val="00A77FCE"/>
    <w:rsid w:val="00A80082"/>
    <w:rsid w:val="00A80151"/>
    <w:rsid w:val="00A801CD"/>
    <w:rsid w:val="00A802DD"/>
    <w:rsid w:val="00A80354"/>
    <w:rsid w:val="00A80366"/>
    <w:rsid w:val="00A80499"/>
    <w:rsid w:val="00A8051D"/>
    <w:rsid w:val="00A80763"/>
    <w:rsid w:val="00A80809"/>
    <w:rsid w:val="00A808E1"/>
    <w:rsid w:val="00A808EB"/>
    <w:rsid w:val="00A80A00"/>
    <w:rsid w:val="00A80A2D"/>
    <w:rsid w:val="00A80AB8"/>
    <w:rsid w:val="00A80ABE"/>
    <w:rsid w:val="00A80ADC"/>
    <w:rsid w:val="00A80B19"/>
    <w:rsid w:val="00A80B32"/>
    <w:rsid w:val="00A80B4A"/>
    <w:rsid w:val="00A80B70"/>
    <w:rsid w:val="00A80B74"/>
    <w:rsid w:val="00A80B88"/>
    <w:rsid w:val="00A80CDA"/>
    <w:rsid w:val="00A80D7F"/>
    <w:rsid w:val="00A80DEE"/>
    <w:rsid w:val="00A80E68"/>
    <w:rsid w:val="00A80E9D"/>
    <w:rsid w:val="00A80EF7"/>
    <w:rsid w:val="00A80F51"/>
    <w:rsid w:val="00A80F72"/>
    <w:rsid w:val="00A80F84"/>
    <w:rsid w:val="00A80FFE"/>
    <w:rsid w:val="00A81082"/>
    <w:rsid w:val="00A81143"/>
    <w:rsid w:val="00A81188"/>
    <w:rsid w:val="00A81255"/>
    <w:rsid w:val="00A81381"/>
    <w:rsid w:val="00A8138C"/>
    <w:rsid w:val="00A813C1"/>
    <w:rsid w:val="00A813F7"/>
    <w:rsid w:val="00A814D7"/>
    <w:rsid w:val="00A814DC"/>
    <w:rsid w:val="00A814FB"/>
    <w:rsid w:val="00A81665"/>
    <w:rsid w:val="00A816BC"/>
    <w:rsid w:val="00A81753"/>
    <w:rsid w:val="00A81757"/>
    <w:rsid w:val="00A8178C"/>
    <w:rsid w:val="00A8186E"/>
    <w:rsid w:val="00A818AB"/>
    <w:rsid w:val="00A818BD"/>
    <w:rsid w:val="00A818D3"/>
    <w:rsid w:val="00A8194B"/>
    <w:rsid w:val="00A81A58"/>
    <w:rsid w:val="00A81AF9"/>
    <w:rsid w:val="00A81BFD"/>
    <w:rsid w:val="00A81C70"/>
    <w:rsid w:val="00A81D32"/>
    <w:rsid w:val="00A81D6F"/>
    <w:rsid w:val="00A81E64"/>
    <w:rsid w:val="00A8202A"/>
    <w:rsid w:val="00A820AB"/>
    <w:rsid w:val="00A820C4"/>
    <w:rsid w:val="00A82132"/>
    <w:rsid w:val="00A82170"/>
    <w:rsid w:val="00A821C6"/>
    <w:rsid w:val="00A82316"/>
    <w:rsid w:val="00A82388"/>
    <w:rsid w:val="00A82418"/>
    <w:rsid w:val="00A8242F"/>
    <w:rsid w:val="00A824D6"/>
    <w:rsid w:val="00A824EF"/>
    <w:rsid w:val="00A8256B"/>
    <w:rsid w:val="00A825BB"/>
    <w:rsid w:val="00A8270D"/>
    <w:rsid w:val="00A82739"/>
    <w:rsid w:val="00A8280A"/>
    <w:rsid w:val="00A8291C"/>
    <w:rsid w:val="00A829C9"/>
    <w:rsid w:val="00A82A38"/>
    <w:rsid w:val="00A82AB6"/>
    <w:rsid w:val="00A82ACF"/>
    <w:rsid w:val="00A82B07"/>
    <w:rsid w:val="00A82B4D"/>
    <w:rsid w:val="00A82C0E"/>
    <w:rsid w:val="00A82CD6"/>
    <w:rsid w:val="00A82D38"/>
    <w:rsid w:val="00A82DBA"/>
    <w:rsid w:val="00A82E19"/>
    <w:rsid w:val="00A82F1A"/>
    <w:rsid w:val="00A82F9D"/>
    <w:rsid w:val="00A82FA3"/>
    <w:rsid w:val="00A82FD2"/>
    <w:rsid w:val="00A82FF5"/>
    <w:rsid w:val="00A82FF7"/>
    <w:rsid w:val="00A83022"/>
    <w:rsid w:val="00A830D0"/>
    <w:rsid w:val="00A8315A"/>
    <w:rsid w:val="00A8318F"/>
    <w:rsid w:val="00A831C7"/>
    <w:rsid w:val="00A8322B"/>
    <w:rsid w:val="00A83264"/>
    <w:rsid w:val="00A832A1"/>
    <w:rsid w:val="00A83397"/>
    <w:rsid w:val="00A833E1"/>
    <w:rsid w:val="00A8342C"/>
    <w:rsid w:val="00A834ED"/>
    <w:rsid w:val="00A8357E"/>
    <w:rsid w:val="00A835A9"/>
    <w:rsid w:val="00A83604"/>
    <w:rsid w:val="00A8360C"/>
    <w:rsid w:val="00A83619"/>
    <w:rsid w:val="00A83648"/>
    <w:rsid w:val="00A83665"/>
    <w:rsid w:val="00A836F7"/>
    <w:rsid w:val="00A83719"/>
    <w:rsid w:val="00A8374A"/>
    <w:rsid w:val="00A837E1"/>
    <w:rsid w:val="00A83806"/>
    <w:rsid w:val="00A8381C"/>
    <w:rsid w:val="00A8382B"/>
    <w:rsid w:val="00A8383C"/>
    <w:rsid w:val="00A83879"/>
    <w:rsid w:val="00A838B2"/>
    <w:rsid w:val="00A839A7"/>
    <w:rsid w:val="00A839D6"/>
    <w:rsid w:val="00A83A59"/>
    <w:rsid w:val="00A83A5D"/>
    <w:rsid w:val="00A83AD7"/>
    <w:rsid w:val="00A83B37"/>
    <w:rsid w:val="00A83B69"/>
    <w:rsid w:val="00A83C33"/>
    <w:rsid w:val="00A83C39"/>
    <w:rsid w:val="00A83C8A"/>
    <w:rsid w:val="00A83DF8"/>
    <w:rsid w:val="00A83EAD"/>
    <w:rsid w:val="00A83F51"/>
    <w:rsid w:val="00A83FF0"/>
    <w:rsid w:val="00A84173"/>
    <w:rsid w:val="00A841E5"/>
    <w:rsid w:val="00A84231"/>
    <w:rsid w:val="00A8423A"/>
    <w:rsid w:val="00A8423E"/>
    <w:rsid w:val="00A843F3"/>
    <w:rsid w:val="00A84529"/>
    <w:rsid w:val="00A846EA"/>
    <w:rsid w:val="00A8477E"/>
    <w:rsid w:val="00A847BB"/>
    <w:rsid w:val="00A847F0"/>
    <w:rsid w:val="00A84833"/>
    <w:rsid w:val="00A84876"/>
    <w:rsid w:val="00A848FB"/>
    <w:rsid w:val="00A84912"/>
    <w:rsid w:val="00A84993"/>
    <w:rsid w:val="00A849BA"/>
    <w:rsid w:val="00A849E0"/>
    <w:rsid w:val="00A849F0"/>
    <w:rsid w:val="00A84C59"/>
    <w:rsid w:val="00A84EC9"/>
    <w:rsid w:val="00A84FC7"/>
    <w:rsid w:val="00A850B6"/>
    <w:rsid w:val="00A85177"/>
    <w:rsid w:val="00A85179"/>
    <w:rsid w:val="00A8519A"/>
    <w:rsid w:val="00A85202"/>
    <w:rsid w:val="00A852A5"/>
    <w:rsid w:val="00A85407"/>
    <w:rsid w:val="00A8540E"/>
    <w:rsid w:val="00A85418"/>
    <w:rsid w:val="00A85459"/>
    <w:rsid w:val="00A8548D"/>
    <w:rsid w:val="00A8550C"/>
    <w:rsid w:val="00A85531"/>
    <w:rsid w:val="00A85532"/>
    <w:rsid w:val="00A85595"/>
    <w:rsid w:val="00A8573D"/>
    <w:rsid w:val="00A857B4"/>
    <w:rsid w:val="00A85826"/>
    <w:rsid w:val="00A859A6"/>
    <w:rsid w:val="00A85BEE"/>
    <w:rsid w:val="00A85BF1"/>
    <w:rsid w:val="00A85CB9"/>
    <w:rsid w:val="00A85D46"/>
    <w:rsid w:val="00A85DD4"/>
    <w:rsid w:val="00A85E0C"/>
    <w:rsid w:val="00A85E40"/>
    <w:rsid w:val="00A85F04"/>
    <w:rsid w:val="00A85F72"/>
    <w:rsid w:val="00A86060"/>
    <w:rsid w:val="00A86072"/>
    <w:rsid w:val="00A860B8"/>
    <w:rsid w:val="00A860C8"/>
    <w:rsid w:val="00A86152"/>
    <w:rsid w:val="00A861BE"/>
    <w:rsid w:val="00A8628D"/>
    <w:rsid w:val="00A864B3"/>
    <w:rsid w:val="00A864BD"/>
    <w:rsid w:val="00A865CD"/>
    <w:rsid w:val="00A865D7"/>
    <w:rsid w:val="00A86668"/>
    <w:rsid w:val="00A8666E"/>
    <w:rsid w:val="00A866D8"/>
    <w:rsid w:val="00A86756"/>
    <w:rsid w:val="00A867A5"/>
    <w:rsid w:val="00A86803"/>
    <w:rsid w:val="00A868FB"/>
    <w:rsid w:val="00A86984"/>
    <w:rsid w:val="00A86A22"/>
    <w:rsid w:val="00A86B93"/>
    <w:rsid w:val="00A86C57"/>
    <w:rsid w:val="00A86C89"/>
    <w:rsid w:val="00A86D3E"/>
    <w:rsid w:val="00A86D87"/>
    <w:rsid w:val="00A86DDA"/>
    <w:rsid w:val="00A86E87"/>
    <w:rsid w:val="00A86F2A"/>
    <w:rsid w:val="00A86F61"/>
    <w:rsid w:val="00A86F87"/>
    <w:rsid w:val="00A8719F"/>
    <w:rsid w:val="00A87440"/>
    <w:rsid w:val="00A8744F"/>
    <w:rsid w:val="00A8745B"/>
    <w:rsid w:val="00A875A0"/>
    <w:rsid w:val="00A87860"/>
    <w:rsid w:val="00A8790C"/>
    <w:rsid w:val="00A879BE"/>
    <w:rsid w:val="00A87A8B"/>
    <w:rsid w:val="00A87AFD"/>
    <w:rsid w:val="00A87B02"/>
    <w:rsid w:val="00A87C08"/>
    <w:rsid w:val="00A87C92"/>
    <w:rsid w:val="00A87EC1"/>
    <w:rsid w:val="00A90084"/>
    <w:rsid w:val="00A90091"/>
    <w:rsid w:val="00A9009C"/>
    <w:rsid w:val="00A901E7"/>
    <w:rsid w:val="00A9030D"/>
    <w:rsid w:val="00A90380"/>
    <w:rsid w:val="00A9046E"/>
    <w:rsid w:val="00A90485"/>
    <w:rsid w:val="00A904AF"/>
    <w:rsid w:val="00A90509"/>
    <w:rsid w:val="00A9054E"/>
    <w:rsid w:val="00A90682"/>
    <w:rsid w:val="00A90696"/>
    <w:rsid w:val="00A90763"/>
    <w:rsid w:val="00A907CF"/>
    <w:rsid w:val="00A907E6"/>
    <w:rsid w:val="00A908A6"/>
    <w:rsid w:val="00A90907"/>
    <w:rsid w:val="00A90A1E"/>
    <w:rsid w:val="00A90A3E"/>
    <w:rsid w:val="00A90A48"/>
    <w:rsid w:val="00A90A88"/>
    <w:rsid w:val="00A90AE4"/>
    <w:rsid w:val="00A90B86"/>
    <w:rsid w:val="00A90BC8"/>
    <w:rsid w:val="00A90BC9"/>
    <w:rsid w:val="00A90D13"/>
    <w:rsid w:val="00A90D94"/>
    <w:rsid w:val="00A90E01"/>
    <w:rsid w:val="00A90E15"/>
    <w:rsid w:val="00A90F8C"/>
    <w:rsid w:val="00A91022"/>
    <w:rsid w:val="00A91078"/>
    <w:rsid w:val="00A910A3"/>
    <w:rsid w:val="00A91161"/>
    <w:rsid w:val="00A9116E"/>
    <w:rsid w:val="00A91215"/>
    <w:rsid w:val="00A91237"/>
    <w:rsid w:val="00A913FF"/>
    <w:rsid w:val="00A91432"/>
    <w:rsid w:val="00A914E3"/>
    <w:rsid w:val="00A91514"/>
    <w:rsid w:val="00A9153F"/>
    <w:rsid w:val="00A91566"/>
    <w:rsid w:val="00A915D1"/>
    <w:rsid w:val="00A91613"/>
    <w:rsid w:val="00A91923"/>
    <w:rsid w:val="00A91BA4"/>
    <w:rsid w:val="00A91BF7"/>
    <w:rsid w:val="00A91CB6"/>
    <w:rsid w:val="00A91D8B"/>
    <w:rsid w:val="00A91E3E"/>
    <w:rsid w:val="00A91F65"/>
    <w:rsid w:val="00A91F7A"/>
    <w:rsid w:val="00A91FD7"/>
    <w:rsid w:val="00A920CB"/>
    <w:rsid w:val="00A921BB"/>
    <w:rsid w:val="00A921E8"/>
    <w:rsid w:val="00A9227B"/>
    <w:rsid w:val="00A9238B"/>
    <w:rsid w:val="00A9243E"/>
    <w:rsid w:val="00A92480"/>
    <w:rsid w:val="00A924B4"/>
    <w:rsid w:val="00A92526"/>
    <w:rsid w:val="00A92534"/>
    <w:rsid w:val="00A9253C"/>
    <w:rsid w:val="00A9262F"/>
    <w:rsid w:val="00A9263C"/>
    <w:rsid w:val="00A9270C"/>
    <w:rsid w:val="00A9291F"/>
    <w:rsid w:val="00A92920"/>
    <w:rsid w:val="00A92974"/>
    <w:rsid w:val="00A92A3F"/>
    <w:rsid w:val="00A92B09"/>
    <w:rsid w:val="00A92B18"/>
    <w:rsid w:val="00A92D01"/>
    <w:rsid w:val="00A92DC1"/>
    <w:rsid w:val="00A92EC7"/>
    <w:rsid w:val="00A92F58"/>
    <w:rsid w:val="00A93168"/>
    <w:rsid w:val="00A931CF"/>
    <w:rsid w:val="00A931D2"/>
    <w:rsid w:val="00A931DA"/>
    <w:rsid w:val="00A931FA"/>
    <w:rsid w:val="00A93210"/>
    <w:rsid w:val="00A932BD"/>
    <w:rsid w:val="00A9334C"/>
    <w:rsid w:val="00A9339C"/>
    <w:rsid w:val="00A93486"/>
    <w:rsid w:val="00A93515"/>
    <w:rsid w:val="00A9351A"/>
    <w:rsid w:val="00A9368F"/>
    <w:rsid w:val="00A937C9"/>
    <w:rsid w:val="00A937E6"/>
    <w:rsid w:val="00A93872"/>
    <w:rsid w:val="00A93941"/>
    <w:rsid w:val="00A93A78"/>
    <w:rsid w:val="00A93B09"/>
    <w:rsid w:val="00A93B15"/>
    <w:rsid w:val="00A93B50"/>
    <w:rsid w:val="00A93C17"/>
    <w:rsid w:val="00A93CE7"/>
    <w:rsid w:val="00A93D38"/>
    <w:rsid w:val="00A93E04"/>
    <w:rsid w:val="00A93E39"/>
    <w:rsid w:val="00A93E58"/>
    <w:rsid w:val="00A93F78"/>
    <w:rsid w:val="00A940C8"/>
    <w:rsid w:val="00A940E5"/>
    <w:rsid w:val="00A94359"/>
    <w:rsid w:val="00A94375"/>
    <w:rsid w:val="00A943BF"/>
    <w:rsid w:val="00A94419"/>
    <w:rsid w:val="00A94429"/>
    <w:rsid w:val="00A94489"/>
    <w:rsid w:val="00A944E7"/>
    <w:rsid w:val="00A94547"/>
    <w:rsid w:val="00A94765"/>
    <w:rsid w:val="00A9478B"/>
    <w:rsid w:val="00A947A7"/>
    <w:rsid w:val="00A947AE"/>
    <w:rsid w:val="00A94816"/>
    <w:rsid w:val="00A948D8"/>
    <w:rsid w:val="00A94972"/>
    <w:rsid w:val="00A949A4"/>
    <w:rsid w:val="00A94A85"/>
    <w:rsid w:val="00A94A90"/>
    <w:rsid w:val="00A94AD1"/>
    <w:rsid w:val="00A94B83"/>
    <w:rsid w:val="00A94C66"/>
    <w:rsid w:val="00A94C6B"/>
    <w:rsid w:val="00A94D94"/>
    <w:rsid w:val="00A94E10"/>
    <w:rsid w:val="00A94EF3"/>
    <w:rsid w:val="00A94F84"/>
    <w:rsid w:val="00A94F8D"/>
    <w:rsid w:val="00A94FCC"/>
    <w:rsid w:val="00A94FE1"/>
    <w:rsid w:val="00A95026"/>
    <w:rsid w:val="00A9528C"/>
    <w:rsid w:val="00A95393"/>
    <w:rsid w:val="00A953E9"/>
    <w:rsid w:val="00A954B6"/>
    <w:rsid w:val="00A954BF"/>
    <w:rsid w:val="00A95524"/>
    <w:rsid w:val="00A955B8"/>
    <w:rsid w:val="00A9562D"/>
    <w:rsid w:val="00A9576E"/>
    <w:rsid w:val="00A957CE"/>
    <w:rsid w:val="00A9582D"/>
    <w:rsid w:val="00A95858"/>
    <w:rsid w:val="00A9589E"/>
    <w:rsid w:val="00A958CE"/>
    <w:rsid w:val="00A95972"/>
    <w:rsid w:val="00A959C5"/>
    <w:rsid w:val="00A95A03"/>
    <w:rsid w:val="00A95A75"/>
    <w:rsid w:val="00A95A8D"/>
    <w:rsid w:val="00A95A9E"/>
    <w:rsid w:val="00A95AB7"/>
    <w:rsid w:val="00A95AED"/>
    <w:rsid w:val="00A95B0F"/>
    <w:rsid w:val="00A95B5A"/>
    <w:rsid w:val="00A95C03"/>
    <w:rsid w:val="00A95C15"/>
    <w:rsid w:val="00A95C31"/>
    <w:rsid w:val="00A95C99"/>
    <w:rsid w:val="00A95CAE"/>
    <w:rsid w:val="00A95EFA"/>
    <w:rsid w:val="00A95F2A"/>
    <w:rsid w:val="00A95F7C"/>
    <w:rsid w:val="00A95F9E"/>
    <w:rsid w:val="00A9600E"/>
    <w:rsid w:val="00A96066"/>
    <w:rsid w:val="00A9608A"/>
    <w:rsid w:val="00A961DA"/>
    <w:rsid w:val="00A962C6"/>
    <w:rsid w:val="00A96348"/>
    <w:rsid w:val="00A9639C"/>
    <w:rsid w:val="00A96428"/>
    <w:rsid w:val="00A9654E"/>
    <w:rsid w:val="00A9664D"/>
    <w:rsid w:val="00A9665F"/>
    <w:rsid w:val="00A9668B"/>
    <w:rsid w:val="00A96711"/>
    <w:rsid w:val="00A96754"/>
    <w:rsid w:val="00A96863"/>
    <w:rsid w:val="00A9686B"/>
    <w:rsid w:val="00A968A0"/>
    <w:rsid w:val="00A968AE"/>
    <w:rsid w:val="00A968FA"/>
    <w:rsid w:val="00A9696F"/>
    <w:rsid w:val="00A9697E"/>
    <w:rsid w:val="00A969D5"/>
    <w:rsid w:val="00A96A36"/>
    <w:rsid w:val="00A96B09"/>
    <w:rsid w:val="00A96B20"/>
    <w:rsid w:val="00A96B5D"/>
    <w:rsid w:val="00A96CC6"/>
    <w:rsid w:val="00A96D71"/>
    <w:rsid w:val="00A96D8E"/>
    <w:rsid w:val="00A96DA1"/>
    <w:rsid w:val="00A96E14"/>
    <w:rsid w:val="00A96E5E"/>
    <w:rsid w:val="00A96E90"/>
    <w:rsid w:val="00A96F0A"/>
    <w:rsid w:val="00A96F75"/>
    <w:rsid w:val="00A96FA2"/>
    <w:rsid w:val="00A96FF8"/>
    <w:rsid w:val="00A96FF9"/>
    <w:rsid w:val="00A97042"/>
    <w:rsid w:val="00A97103"/>
    <w:rsid w:val="00A9711C"/>
    <w:rsid w:val="00A971FE"/>
    <w:rsid w:val="00A9721F"/>
    <w:rsid w:val="00A97368"/>
    <w:rsid w:val="00A973DB"/>
    <w:rsid w:val="00A973ED"/>
    <w:rsid w:val="00A9743A"/>
    <w:rsid w:val="00A974B7"/>
    <w:rsid w:val="00A97504"/>
    <w:rsid w:val="00A97511"/>
    <w:rsid w:val="00A9754A"/>
    <w:rsid w:val="00A97590"/>
    <w:rsid w:val="00A97591"/>
    <w:rsid w:val="00A9763D"/>
    <w:rsid w:val="00A9775A"/>
    <w:rsid w:val="00A97799"/>
    <w:rsid w:val="00A977F7"/>
    <w:rsid w:val="00A97838"/>
    <w:rsid w:val="00A9784D"/>
    <w:rsid w:val="00A978A5"/>
    <w:rsid w:val="00A97B01"/>
    <w:rsid w:val="00A97B07"/>
    <w:rsid w:val="00A97B09"/>
    <w:rsid w:val="00A97B60"/>
    <w:rsid w:val="00A97B77"/>
    <w:rsid w:val="00A97D06"/>
    <w:rsid w:val="00A97D52"/>
    <w:rsid w:val="00A97DC1"/>
    <w:rsid w:val="00A97DEE"/>
    <w:rsid w:val="00A97EFA"/>
    <w:rsid w:val="00A97FD6"/>
    <w:rsid w:val="00AA0012"/>
    <w:rsid w:val="00AA0030"/>
    <w:rsid w:val="00AA00E9"/>
    <w:rsid w:val="00AA00F7"/>
    <w:rsid w:val="00AA0116"/>
    <w:rsid w:val="00AA01C3"/>
    <w:rsid w:val="00AA021F"/>
    <w:rsid w:val="00AA0225"/>
    <w:rsid w:val="00AA02E3"/>
    <w:rsid w:val="00AA030A"/>
    <w:rsid w:val="00AA0376"/>
    <w:rsid w:val="00AA05B5"/>
    <w:rsid w:val="00AA061D"/>
    <w:rsid w:val="00AA061F"/>
    <w:rsid w:val="00AA064E"/>
    <w:rsid w:val="00AA06AB"/>
    <w:rsid w:val="00AA074F"/>
    <w:rsid w:val="00AA0778"/>
    <w:rsid w:val="00AA07C6"/>
    <w:rsid w:val="00AA07EB"/>
    <w:rsid w:val="00AA0956"/>
    <w:rsid w:val="00AA0A07"/>
    <w:rsid w:val="00AA0A1F"/>
    <w:rsid w:val="00AA0A5B"/>
    <w:rsid w:val="00AA0ADC"/>
    <w:rsid w:val="00AA0B9F"/>
    <w:rsid w:val="00AA0C1C"/>
    <w:rsid w:val="00AA0C99"/>
    <w:rsid w:val="00AA0D8A"/>
    <w:rsid w:val="00AA0D94"/>
    <w:rsid w:val="00AA0DC3"/>
    <w:rsid w:val="00AA0E16"/>
    <w:rsid w:val="00AA0E77"/>
    <w:rsid w:val="00AA0E98"/>
    <w:rsid w:val="00AA1031"/>
    <w:rsid w:val="00AA10DF"/>
    <w:rsid w:val="00AA1150"/>
    <w:rsid w:val="00AA12B3"/>
    <w:rsid w:val="00AA12F4"/>
    <w:rsid w:val="00AA13E1"/>
    <w:rsid w:val="00AA153C"/>
    <w:rsid w:val="00AA1567"/>
    <w:rsid w:val="00AA15B9"/>
    <w:rsid w:val="00AA1692"/>
    <w:rsid w:val="00AA16F4"/>
    <w:rsid w:val="00AA1786"/>
    <w:rsid w:val="00AA1799"/>
    <w:rsid w:val="00AA179C"/>
    <w:rsid w:val="00AA1829"/>
    <w:rsid w:val="00AA18EC"/>
    <w:rsid w:val="00AA1980"/>
    <w:rsid w:val="00AA1A0B"/>
    <w:rsid w:val="00AA1AE9"/>
    <w:rsid w:val="00AA1B87"/>
    <w:rsid w:val="00AA1BA9"/>
    <w:rsid w:val="00AA1C9C"/>
    <w:rsid w:val="00AA1CC4"/>
    <w:rsid w:val="00AA1D64"/>
    <w:rsid w:val="00AA1DA3"/>
    <w:rsid w:val="00AA1E50"/>
    <w:rsid w:val="00AA1F50"/>
    <w:rsid w:val="00AA1FB5"/>
    <w:rsid w:val="00AA2021"/>
    <w:rsid w:val="00AA2047"/>
    <w:rsid w:val="00AA20AF"/>
    <w:rsid w:val="00AA2131"/>
    <w:rsid w:val="00AA21FC"/>
    <w:rsid w:val="00AA2424"/>
    <w:rsid w:val="00AA2432"/>
    <w:rsid w:val="00AA24B5"/>
    <w:rsid w:val="00AA2525"/>
    <w:rsid w:val="00AA2529"/>
    <w:rsid w:val="00AA2533"/>
    <w:rsid w:val="00AA2534"/>
    <w:rsid w:val="00AA25A0"/>
    <w:rsid w:val="00AA25D8"/>
    <w:rsid w:val="00AA25F2"/>
    <w:rsid w:val="00AA2643"/>
    <w:rsid w:val="00AA266A"/>
    <w:rsid w:val="00AA2706"/>
    <w:rsid w:val="00AA274B"/>
    <w:rsid w:val="00AA2824"/>
    <w:rsid w:val="00AA2836"/>
    <w:rsid w:val="00AA28A1"/>
    <w:rsid w:val="00AA2905"/>
    <w:rsid w:val="00AA2A42"/>
    <w:rsid w:val="00AA2A95"/>
    <w:rsid w:val="00AA2ABE"/>
    <w:rsid w:val="00AA2B3C"/>
    <w:rsid w:val="00AA2BCC"/>
    <w:rsid w:val="00AA2BCF"/>
    <w:rsid w:val="00AA2BE9"/>
    <w:rsid w:val="00AA2C1F"/>
    <w:rsid w:val="00AA2C74"/>
    <w:rsid w:val="00AA2D41"/>
    <w:rsid w:val="00AA2D5A"/>
    <w:rsid w:val="00AA2E5F"/>
    <w:rsid w:val="00AA2EEA"/>
    <w:rsid w:val="00AA2FF2"/>
    <w:rsid w:val="00AA3144"/>
    <w:rsid w:val="00AA3177"/>
    <w:rsid w:val="00AA322D"/>
    <w:rsid w:val="00AA327D"/>
    <w:rsid w:val="00AA34B8"/>
    <w:rsid w:val="00AA3504"/>
    <w:rsid w:val="00AA3576"/>
    <w:rsid w:val="00AA357B"/>
    <w:rsid w:val="00AA3585"/>
    <w:rsid w:val="00AA35E2"/>
    <w:rsid w:val="00AA36BB"/>
    <w:rsid w:val="00AA3862"/>
    <w:rsid w:val="00AA394B"/>
    <w:rsid w:val="00AA3953"/>
    <w:rsid w:val="00AA3A65"/>
    <w:rsid w:val="00AA3ADA"/>
    <w:rsid w:val="00AA3ADD"/>
    <w:rsid w:val="00AA3B21"/>
    <w:rsid w:val="00AA3B35"/>
    <w:rsid w:val="00AA3B92"/>
    <w:rsid w:val="00AA3C5A"/>
    <w:rsid w:val="00AA3C88"/>
    <w:rsid w:val="00AA3CC7"/>
    <w:rsid w:val="00AA3D8A"/>
    <w:rsid w:val="00AA3E07"/>
    <w:rsid w:val="00AA3F45"/>
    <w:rsid w:val="00AA3F47"/>
    <w:rsid w:val="00AA3FB5"/>
    <w:rsid w:val="00AA3FE2"/>
    <w:rsid w:val="00AA4095"/>
    <w:rsid w:val="00AA40DD"/>
    <w:rsid w:val="00AA40F0"/>
    <w:rsid w:val="00AA410E"/>
    <w:rsid w:val="00AA419D"/>
    <w:rsid w:val="00AA4270"/>
    <w:rsid w:val="00AA428B"/>
    <w:rsid w:val="00AA44CF"/>
    <w:rsid w:val="00AA44D5"/>
    <w:rsid w:val="00AA4593"/>
    <w:rsid w:val="00AA45A2"/>
    <w:rsid w:val="00AA45D1"/>
    <w:rsid w:val="00AA45E9"/>
    <w:rsid w:val="00AA46AB"/>
    <w:rsid w:val="00AA474F"/>
    <w:rsid w:val="00AA4766"/>
    <w:rsid w:val="00AA4775"/>
    <w:rsid w:val="00AA47AC"/>
    <w:rsid w:val="00AA47FC"/>
    <w:rsid w:val="00AA4813"/>
    <w:rsid w:val="00AA4855"/>
    <w:rsid w:val="00AA48D2"/>
    <w:rsid w:val="00AA491A"/>
    <w:rsid w:val="00AA492A"/>
    <w:rsid w:val="00AA49D0"/>
    <w:rsid w:val="00AA4ADD"/>
    <w:rsid w:val="00AA4BA8"/>
    <w:rsid w:val="00AA4BD0"/>
    <w:rsid w:val="00AA4BEC"/>
    <w:rsid w:val="00AA4C47"/>
    <w:rsid w:val="00AA4CEE"/>
    <w:rsid w:val="00AA4D24"/>
    <w:rsid w:val="00AA4D41"/>
    <w:rsid w:val="00AA4D5F"/>
    <w:rsid w:val="00AA4DD5"/>
    <w:rsid w:val="00AA4F2C"/>
    <w:rsid w:val="00AA4FE5"/>
    <w:rsid w:val="00AA5012"/>
    <w:rsid w:val="00AA50EC"/>
    <w:rsid w:val="00AA5163"/>
    <w:rsid w:val="00AA51A2"/>
    <w:rsid w:val="00AA532F"/>
    <w:rsid w:val="00AA5369"/>
    <w:rsid w:val="00AA541E"/>
    <w:rsid w:val="00AA5421"/>
    <w:rsid w:val="00AA551E"/>
    <w:rsid w:val="00AA5532"/>
    <w:rsid w:val="00AA557F"/>
    <w:rsid w:val="00AA5629"/>
    <w:rsid w:val="00AA5695"/>
    <w:rsid w:val="00AA56A3"/>
    <w:rsid w:val="00AA5722"/>
    <w:rsid w:val="00AA5738"/>
    <w:rsid w:val="00AA5756"/>
    <w:rsid w:val="00AA576C"/>
    <w:rsid w:val="00AA5850"/>
    <w:rsid w:val="00AA5B35"/>
    <w:rsid w:val="00AA5C61"/>
    <w:rsid w:val="00AA5C6A"/>
    <w:rsid w:val="00AA5E21"/>
    <w:rsid w:val="00AA5E27"/>
    <w:rsid w:val="00AA5E3D"/>
    <w:rsid w:val="00AA5E7C"/>
    <w:rsid w:val="00AA5F6E"/>
    <w:rsid w:val="00AA609E"/>
    <w:rsid w:val="00AA6102"/>
    <w:rsid w:val="00AA6123"/>
    <w:rsid w:val="00AA6138"/>
    <w:rsid w:val="00AA6146"/>
    <w:rsid w:val="00AA6236"/>
    <w:rsid w:val="00AA639D"/>
    <w:rsid w:val="00AA641D"/>
    <w:rsid w:val="00AA644B"/>
    <w:rsid w:val="00AA6451"/>
    <w:rsid w:val="00AA6648"/>
    <w:rsid w:val="00AA668E"/>
    <w:rsid w:val="00AA6818"/>
    <w:rsid w:val="00AA6968"/>
    <w:rsid w:val="00AA698A"/>
    <w:rsid w:val="00AA69F7"/>
    <w:rsid w:val="00AA6B90"/>
    <w:rsid w:val="00AA6BE6"/>
    <w:rsid w:val="00AA6BFB"/>
    <w:rsid w:val="00AA6D0B"/>
    <w:rsid w:val="00AA6D1C"/>
    <w:rsid w:val="00AA6D52"/>
    <w:rsid w:val="00AA6DEC"/>
    <w:rsid w:val="00AA6E89"/>
    <w:rsid w:val="00AA6E9A"/>
    <w:rsid w:val="00AA6F7E"/>
    <w:rsid w:val="00AA7107"/>
    <w:rsid w:val="00AA71BC"/>
    <w:rsid w:val="00AA752B"/>
    <w:rsid w:val="00AA7685"/>
    <w:rsid w:val="00AA76F8"/>
    <w:rsid w:val="00AA770E"/>
    <w:rsid w:val="00AA7773"/>
    <w:rsid w:val="00AA77BA"/>
    <w:rsid w:val="00AA77D8"/>
    <w:rsid w:val="00AA780A"/>
    <w:rsid w:val="00AA7866"/>
    <w:rsid w:val="00AA7883"/>
    <w:rsid w:val="00AA78D3"/>
    <w:rsid w:val="00AA78FD"/>
    <w:rsid w:val="00AA7973"/>
    <w:rsid w:val="00AA79F5"/>
    <w:rsid w:val="00AA7A28"/>
    <w:rsid w:val="00AA7A78"/>
    <w:rsid w:val="00AA7AF6"/>
    <w:rsid w:val="00AA7B18"/>
    <w:rsid w:val="00AA7B93"/>
    <w:rsid w:val="00AA7BD8"/>
    <w:rsid w:val="00AA7D0C"/>
    <w:rsid w:val="00AA7DF4"/>
    <w:rsid w:val="00AA7DF9"/>
    <w:rsid w:val="00AA7E1C"/>
    <w:rsid w:val="00AA7E65"/>
    <w:rsid w:val="00AA7E72"/>
    <w:rsid w:val="00AA7E9A"/>
    <w:rsid w:val="00AA7F4A"/>
    <w:rsid w:val="00AB00DC"/>
    <w:rsid w:val="00AB010B"/>
    <w:rsid w:val="00AB0125"/>
    <w:rsid w:val="00AB017E"/>
    <w:rsid w:val="00AB0322"/>
    <w:rsid w:val="00AB047C"/>
    <w:rsid w:val="00AB0515"/>
    <w:rsid w:val="00AB057E"/>
    <w:rsid w:val="00AB05FA"/>
    <w:rsid w:val="00AB0653"/>
    <w:rsid w:val="00AB077F"/>
    <w:rsid w:val="00AB0914"/>
    <w:rsid w:val="00AB092D"/>
    <w:rsid w:val="00AB098F"/>
    <w:rsid w:val="00AB09AF"/>
    <w:rsid w:val="00AB0B0B"/>
    <w:rsid w:val="00AB0B45"/>
    <w:rsid w:val="00AB0B52"/>
    <w:rsid w:val="00AB0B54"/>
    <w:rsid w:val="00AB0BD0"/>
    <w:rsid w:val="00AB0D3A"/>
    <w:rsid w:val="00AB0DA6"/>
    <w:rsid w:val="00AB0DB6"/>
    <w:rsid w:val="00AB0FCF"/>
    <w:rsid w:val="00AB1013"/>
    <w:rsid w:val="00AB1016"/>
    <w:rsid w:val="00AB109D"/>
    <w:rsid w:val="00AB10AB"/>
    <w:rsid w:val="00AB11CA"/>
    <w:rsid w:val="00AB126C"/>
    <w:rsid w:val="00AB1338"/>
    <w:rsid w:val="00AB1447"/>
    <w:rsid w:val="00AB1506"/>
    <w:rsid w:val="00AB151F"/>
    <w:rsid w:val="00AB154F"/>
    <w:rsid w:val="00AB1597"/>
    <w:rsid w:val="00AB15B1"/>
    <w:rsid w:val="00AB17AC"/>
    <w:rsid w:val="00AB189E"/>
    <w:rsid w:val="00AB18FE"/>
    <w:rsid w:val="00AB1902"/>
    <w:rsid w:val="00AB19DE"/>
    <w:rsid w:val="00AB1A8F"/>
    <w:rsid w:val="00AB1B3A"/>
    <w:rsid w:val="00AB1BE4"/>
    <w:rsid w:val="00AB1C1E"/>
    <w:rsid w:val="00AB1C9B"/>
    <w:rsid w:val="00AB1D15"/>
    <w:rsid w:val="00AB1D18"/>
    <w:rsid w:val="00AB1D26"/>
    <w:rsid w:val="00AB1D2C"/>
    <w:rsid w:val="00AB1D83"/>
    <w:rsid w:val="00AB1F13"/>
    <w:rsid w:val="00AB203F"/>
    <w:rsid w:val="00AB207A"/>
    <w:rsid w:val="00AB2214"/>
    <w:rsid w:val="00AB229D"/>
    <w:rsid w:val="00AB22D6"/>
    <w:rsid w:val="00AB2469"/>
    <w:rsid w:val="00AB247B"/>
    <w:rsid w:val="00AB24EC"/>
    <w:rsid w:val="00AB24F7"/>
    <w:rsid w:val="00AB24FE"/>
    <w:rsid w:val="00AB2552"/>
    <w:rsid w:val="00AB2646"/>
    <w:rsid w:val="00AB2732"/>
    <w:rsid w:val="00AB2740"/>
    <w:rsid w:val="00AB283D"/>
    <w:rsid w:val="00AB2848"/>
    <w:rsid w:val="00AB2864"/>
    <w:rsid w:val="00AB28A0"/>
    <w:rsid w:val="00AB28B8"/>
    <w:rsid w:val="00AB29C9"/>
    <w:rsid w:val="00AB29E6"/>
    <w:rsid w:val="00AB2AB3"/>
    <w:rsid w:val="00AB2AE6"/>
    <w:rsid w:val="00AB2B0E"/>
    <w:rsid w:val="00AB2B66"/>
    <w:rsid w:val="00AB2B84"/>
    <w:rsid w:val="00AB2B94"/>
    <w:rsid w:val="00AB2BB4"/>
    <w:rsid w:val="00AB2C22"/>
    <w:rsid w:val="00AB2CF6"/>
    <w:rsid w:val="00AB2D7E"/>
    <w:rsid w:val="00AB2E09"/>
    <w:rsid w:val="00AB2E2B"/>
    <w:rsid w:val="00AB2E30"/>
    <w:rsid w:val="00AB2E33"/>
    <w:rsid w:val="00AB2E3C"/>
    <w:rsid w:val="00AB2E67"/>
    <w:rsid w:val="00AB2EB7"/>
    <w:rsid w:val="00AB2EEC"/>
    <w:rsid w:val="00AB2F42"/>
    <w:rsid w:val="00AB2F8A"/>
    <w:rsid w:val="00AB305E"/>
    <w:rsid w:val="00AB3112"/>
    <w:rsid w:val="00AB3114"/>
    <w:rsid w:val="00AB3251"/>
    <w:rsid w:val="00AB329A"/>
    <w:rsid w:val="00AB3306"/>
    <w:rsid w:val="00AB332F"/>
    <w:rsid w:val="00AB367C"/>
    <w:rsid w:val="00AB3783"/>
    <w:rsid w:val="00AB37D9"/>
    <w:rsid w:val="00AB37E7"/>
    <w:rsid w:val="00AB385E"/>
    <w:rsid w:val="00AB3889"/>
    <w:rsid w:val="00AB3936"/>
    <w:rsid w:val="00AB3998"/>
    <w:rsid w:val="00AB39F3"/>
    <w:rsid w:val="00AB39FA"/>
    <w:rsid w:val="00AB3B63"/>
    <w:rsid w:val="00AB3BAA"/>
    <w:rsid w:val="00AB3D33"/>
    <w:rsid w:val="00AB3DEC"/>
    <w:rsid w:val="00AB3EA6"/>
    <w:rsid w:val="00AB3F01"/>
    <w:rsid w:val="00AB3FA6"/>
    <w:rsid w:val="00AB3FA7"/>
    <w:rsid w:val="00AB3FCE"/>
    <w:rsid w:val="00AB402A"/>
    <w:rsid w:val="00AB4038"/>
    <w:rsid w:val="00AB409C"/>
    <w:rsid w:val="00AB40E5"/>
    <w:rsid w:val="00AB411F"/>
    <w:rsid w:val="00AB4251"/>
    <w:rsid w:val="00AB4288"/>
    <w:rsid w:val="00AB42C5"/>
    <w:rsid w:val="00AB4482"/>
    <w:rsid w:val="00AB4703"/>
    <w:rsid w:val="00AB477F"/>
    <w:rsid w:val="00AB4781"/>
    <w:rsid w:val="00AB4A21"/>
    <w:rsid w:val="00AB4B8D"/>
    <w:rsid w:val="00AB4BE6"/>
    <w:rsid w:val="00AB4C26"/>
    <w:rsid w:val="00AB4C60"/>
    <w:rsid w:val="00AB4C75"/>
    <w:rsid w:val="00AB4C92"/>
    <w:rsid w:val="00AB4D28"/>
    <w:rsid w:val="00AB4D4F"/>
    <w:rsid w:val="00AB4EC0"/>
    <w:rsid w:val="00AB4EFB"/>
    <w:rsid w:val="00AB50C2"/>
    <w:rsid w:val="00AB50CB"/>
    <w:rsid w:val="00AB51F6"/>
    <w:rsid w:val="00AB5337"/>
    <w:rsid w:val="00AB5421"/>
    <w:rsid w:val="00AB5469"/>
    <w:rsid w:val="00AB54B0"/>
    <w:rsid w:val="00AB5588"/>
    <w:rsid w:val="00AB558D"/>
    <w:rsid w:val="00AB55A6"/>
    <w:rsid w:val="00AB5637"/>
    <w:rsid w:val="00AB57A4"/>
    <w:rsid w:val="00AB593E"/>
    <w:rsid w:val="00AB5964"/>
    <w:rsid w:val="00AB5995"/>
    <w:rsid w:val="00AB5A32"/>
    <w:rsid w:val="00AB5A6C"/>
    <w:rsid w:val="00AB5B31"/>
    <w:rsid w:val="00AB5CBB"/>
    <w:rsid w:val="00AB5CDD"/>
    <w:rsid w:val="00AB5D43"/>
    <w:rsid w:val="00AB5F20"/>
    <w:rsid w:val="00AB5F23"/>
    <w:rsid w:val="00AB5F61"/>
    <w:rsid w:val="00AB60FC"/>
    <w:rsid w:val="00AB6174"/>
    <w:rsid w:val="00AB61D9"/>
    <w:rsid w:val="00AB620B"/>
    <w:rsid w:val="00AB6226"/>
    <w:rsid w:val="00AB6295"/>
    <w:rsid w:val="00AB62C3"/>
    <w:rsid w:val="00AB62FC"/>
    <w:rsid w:val="00AB633F"/>
    <w:rsid w:val="00AB641F"/>
    <w:rsid w:val="00AB648D"/>
    <w:rsid w:val="00AB64D7"/>
    <w:rsid w:val="00AB65A6"/>
    <w:rsid w:val="00AB65F3"/>
    <w:rsid w:val="00AB6701"/>
    <w:rsid w:val="00AB6702"/>
    <w:rsid w:val="00AB6809"/>
    <w:rsid w:val="00AB683A"/>
    <w:rsid w:val="00AB699C"/>
    <w:rsid w:val="00AB69C6"/>
    <w:rsid w:val="00AB6DE1"/>
    <w:rsid w:val="00AB6E1D"/>
    <w:rsid w:val="00AB6EC3"/>
    <w:rsid w:val="00AB70A0"/>
    <w:rsid w:val="00AB70D0"/>
    <w:rsid w:val="00AB717D"/>
    <w:rsid w:val="00AB7215"/>
    <w:rsid w:val="00AB73D9"/>
    <w:rsid w:val="00AB7464"/>
    <w:rsid w:val="00AB74AD"/>
    <w:rsid w:val="00AB74DC"/>
    <w:rsid w:val="00AB750F"/>
    <w:rsid w:val="00AB75A9"/>
    <w:rsid w:val="00AB75DC"/>
    <w:rsid w:val="00AB75E0"/>
    <w:rsid w:val="00AB76EB"/>
    <w:rsid w:val="00AB7722"/>
    <w:rsid w:val="00AB7812"/>
    <w:rsid w:val="00AB7862"/>
    <w:rsid w:val="00AB7AD3"/>
    <w:rsid w:val="00AB7B89"/>
    <w:rsid w:val="00AB7CFF"/>
    <w:rsid w:val="00AB7DAC"/>
    <w:rsid w:val="00AB7FAD"/>
    <w:rsid w:val="00AC012F"/>
    <w:rsid w:val="00AC0291"/>
    <w:rsid w:val="00AC0361"/>
    <w:rsid w:val="00AC03C5"/>
    <w:rsid w:val="00AC04A8"/>
    <w:rsid w:val="00AC04CA"/>
    <w:rsid w:val="00AC0549"/>
    <w:rsid w:val="00AC05F3"/>
    <w:rsid w:val="00AC0753"/>
    <w:rsid w:val="00AC0762"/>
    <w:rsid w:val="00AC07AE"/>
    <w:rsid w:val="00AC0815"/>
    <w:rsid w:val="00AC094C"/>
    <w:rsid w:val="00AC0957"/>
    <w:rsid w:val="00AC095E"/>
    <w:rsid w:val="00AC0A1D"/>
    <w:rsid w:val="00AC0A30"/>
    <w:rsid w:val="00AC0AD9"/>
    <w:rsid w:val="00AC0AE1"/>
    <w:rsid w:val="00AC0B9C"/>
    <w:rsid w:val="00AC0BBA"/>
    <w:rsid w:val="00AC0C36"/>
    <w:rsid w:val="00AC0C83"/>
    <w:rsid w:val="00AC0D26"/>
    <w:rsid w:val="00AC0D2D"/>
    <w:rsid w:val="00AC0D6B"/>
    <w:rsid w:val="00AC0D73"/>
    <w:rsid w:val="00AC0D7D"/>
    <w:rsid w:val="00AC0DEE"/>
    <w:rsid w:val="00AC0E24"/>
    <w:rsid w:val="00AC0F02"/>
    <w:rsid w:val="00AC1038"/>
    <w:rsid w:val="00AC128E"/>
    <w:rsid w:val="00AC12A6"/>
    <w:rsid w:val="00AC130E"/>
    <w:rsid w:val="00AC1335"/>
    <w:rsid w:val="00AC139D"/>
    <w:rsid w:val="00AC14E9"/>
    <w:rsid w:val="00AC151F"/>
    <w:rsid w:val="00AC1A3F"/>
    <w:rsid w:val="00AC1AA6"/>
    <w:rsid w:val="00AC1AD6"/>
    <w:rsid w:val="00AC1B90"/>
    <w:rsid w:val="00AC1BB4"/>
    <w:rsid w:val="00AC1CEE"/>
    <w:rsid w:val="00AC1D00"/>
    <w:rsid w:val="00AC1D03"/>
    <w:rsid w:val="00AC1E39"/>
    <w:rsid w:val="00AC1E43"/>
    <w:rsid w:val="00AC1E8E"/>
    <w:rsid w:val="00AC1F31"/>
    <w:rsid w:val="00AC1F70"/>
    <w:rsid w:val="00AC1FCD"/>
    <w:rsid w:val="00AC200A"/>
    <w:rsid w:val="00AC20F2"/>
    <w:rsid w:val="00AC213F"/>
    <w:rsid w:val="00AC21AF"/>
    <w:rsid w:val="00AC2309"/>
    <w:rsid w:val="00AC238C"/>
    <w:rsid w:val="00AC2397"/>
    <w:rsid w:val="00AC23C2"/>
    <w:rsid w:val="00AC2442"/>
    <w:rsid w:val="00AC24A8"/>
    <w:rsid w:val="00AC2563"/>
    <w:rsid w:val="00AC2667"/>
    <w:rsid w:val="00AC268D"/>
    <w:rsid w:val="00AC27E1"/>
    <w:rsid w:val="00AC281A"/>
    <w:rsid w:val="00AC28DD"/>
    <w:rsid w:val="00AC2A45"/>
    <w:rsid w:val="00AC2A89"/>
    <w:rsid w:val="00AC2BD7"/>
    <w:rsid w:val="00AC2C1A"/>
    <w:rsid w:val="00AC2C5D"/>
    <w:rsid w:val="00AC2C6F"/>
    <w:rsid w:val="00AC2DB3"/>
    <w:rsid w:val="00AC2DF2"/>
    <w:rsid w:val="00AC2E19"/>
    <w:rsid w:val="00AC2E3C"/>
    <w:rsid w:val="00AC2E7B"/>
    <w:rsid w:val="00AC301F"/>
    <w:rsid w:val="00AC30EC"/>
    <w:rsid w:val="00AC312E"/>
    <w:rsid w:val="00AC317A"/>
    <w:rsid w:val="00AC3249"/>
    <w:rsid w:val="00AC3290"/>
    <w:rsid w:val="00AC32CE"/>
    <w:rsid w:val="00AC3357"/>
    <w:rsid w:val="00AC33BB"/>
    <w:rsid w:val="00AC33D1"/>
    <w:rsid w:val="00AC33DE"/>
    <w:rsid w:val="00AC33EB"/>
    <w:rsid w:val="00AC3404"/>
    <w:rsid w:val="00AC34AD"/>
    <w:rsid w:val="00AC3528"/>
    <w:rsid w:val="00AC352F"/>
    <w:rsid w:val="00AC3550"/>
    <w:rsid w:val="00AC3553"/>
    <w:rsid w:val="00AC359B"/>
    <w:rsid w:val="00AC35CB"/>
    <w:rsid w:val="00AC36BF"/>
    <w:rsid w:val="00AC36C4"/>
    <w:rsid w:val="00AC3738"/>
    <w:rsid w:val="00AC3860"/>
    <w:rsid w:val="00AC389B"/>
    <w:rsid w:val="00AC3A80"/>
    <w:rsid w:val="00AC3A98"/>
    <w:rsid w:val="00AC3B4B"/>
    <w:rsid w:val="00AC3B99"/>
    <w:rsid w:val="00AC3C7E"/>
    <w:rsid w:val="00AC3D83"/>
    <w:rsid w:val="00AC3D87"/>
    <w:rsid w:val="00AC3E58"/>
    <w:rsid w:val="00AC3F28"/>
    <w:rsid w:val="00AC3F48"/>
    <w:rsid w:val="00AC3F8A"/>
    <w:rsid w:val="00AC3F96"/>
    <w:rsid w:val="00AC4139"/>
    <w:rsid w:val="00AC42A1"/>
    <w:rsid w:val="00AC44D4"/>
    <w:rsid w:val="00AC44DB"/>
    <w:rsid w:val="00AC464C"/>
    <w:rsid w:val="00AC46BC"/>
    <w:rsid w:val="00AC473F"/>
    <w:rsid w:val="00AC4822"/>
    <w:rsid w:val="00AC48BA"/>
    <w:rsid w:val="00AC4933"/>
    <w:rsid w:val="00AC4990"/>
    <w:rsid w:val="00AC4AE7"/>
    <w:rsid w:val="00AC4B13"/>
    <w:rsid w:val="00AC4C4D"/>
    <w:rsid w:val="00AC4C99"/>
    <w:rsid w:val="00AC4D4E"/>
    <w:rsid w:val="00AC4D57"/>
    <w:rsid w:val="00AC4D7B"/>
    <w:rsid w:val="00AC4DC8"/>
    <w:rsid w:val="00AC4E75"/>
    <w:rsid w:val="00AC4E8D"/>
    <w:rsid w:val="00AC4EE0"/>
    <w:rsid w:val="00AC4F5A"/>
    <w:rsid w:val="00AC4FE4"/>
    <w:rsid w:val="00AC503F"/>
    <w:rsid w:val="00AC5095"/>
    <w:rsid w:val="00AC513D"/>
    <w:rsid w:val="00AC5172"/>
    <w:rsid w:val="00AC52A1"/>
    <w:rsid w:val="00AC52D8"/>
    <w:rsid w:val="00AC53FE"/>
    <w:rsid w:val="00AC5497"/>
    <w:rsid w:val="00AC5525"/>
    <w:rsid w:val="00AC55B1"/>
    <w:rsid w:val="00AC5617"/>
    <w:rsid w:val="00AC5699"/>
    <w:rsid w:val="00AC56A0"/>
    <w:rsid w:val="00AC56C0"/>
    <w:rsid w:val="00AC57CB"/>
    <w:rsid w:val="00AC59E9"/>
    <w:rsid w:val="00AC5B7F"/>
    <w:rsid w:val="00AC5C87"/>
    <w:rsid w:val="00AC5CCE"/>
    <w:rsid w:val="00AC5D35"/>
    <w:rsid w:val="00AC5D70"/>
    <w:rsid w:val="00AC5D76"/>
    <w:rsid w:val="00AC5D99"/>
    <w:rsid w:val="00AC5DD4"/>
    <w:rsid w:val="00AC5E52"/>
    <w:rsid w:val="00AC5F37"/>
    <w:rsid w:val="00AC605C"/>
    <w:rsid w:val="00AC60C9"/>
    <w:rsid w:val="00AC612B"/>
    <w:rsid w:val="00AC61BB"/>
    <w:rsid w:val="00AC628B"/>
    <w:rsid w:val="00AC6313"/>
    <w:rsid w:val="00AC63F3"/>
    <w:rsid w:val="00AC64EF"/>
    <w:rsid w:val="00AC65C2"/>
    <w:rsid w:val="00AC66CD"/>
    <w:rsid w:val="00AC676E"/>
    <w:rsid w:val="00AC67BE"/>
    <w:rsid w:val="00AC6809"/>
    <w:rsid w:val="00AC682B"/>
    <w:rsid w:val="00AC6834"/>
    <w:rsid w:val="00AC684D"/>
    <w:rsid w:val="00AC6859"/>
    <w:rsid w:val="00AC687C"/>
    <w:rsid w:val="00AC6901"/>
    <w:rsid w:val="00AC6A0F"/>
    <w:rsid w:val="00AC6B40"/>
    <w:rsid w:val="00AC6B5B"/>
    <w:rsid w:val="00AC6C27"/>
    <w:rsid w:val="00AC6C35"/>
    <w:rsid w:val="00AC6CD6"/>
    <w:rsid w:val="00AC6EA5"/>
    <w:rsid w:val="00AC6F02"/>
    <w:rsid w:val="00AC7050"/>
    <w:rsid w:val="00AC71DE"/>
    <w:rsid w:val="00AC740E"/>
    <w:rsid w:val="00AC7494"/>
    <w:rsid w:val="00AC74DD"/>
    <w:rsid w:val="00AC7533"/>
    <w:rsid w:val="00AC7651"/>
    <w:rsid w:val="00AC7686"/>
    <w:rsid w:val="00AC76F4"/>
    <w:rsid w:val="00AC76FF"/>
    <w:rsid w:val="00AC771D"/>
    <w:rsid w:val="00AC7733"/>
    <w:rsid w:val="00AC7751"/>
    <w:rsid w:val="00AC7777"/>
    <w:rsid w:val="00AC7789"/>
    <w:rsid w:val="00AC77F4"/>
    <w:rsid w:val="00AC78DD"/>
    <w:rsid w:val="00AC7A20"/>
    <w:rsid w:val="00AC7AA5"/>
    <w:rsid w:val="00AC7B79"/>
    <w:rsid w:val="00AC7C31"/>
    <w:rsid w:val="00AC7DDF"/>
    <w:rsid w:val="00AC7DEC"/>
    <w:rsid w:val="00AC7DF4"/>
    <w:rsid w:val="00AC7DFA"/>
    <w:rsid w:val="00AC7F86"/>
    <w:rsid w:val="00AD0036"/>
    <w:rsid w:val="00AD0065"/>
    <w:rsid w:val="00AD0088"/>
    <w:rsid w:val="00AD0091"/>
    <w:rsid w:val="00AD00CD"/>
    <w:rsid w:val="00AD01E1"/>
    <w:rsid w:val="00AD020E"/>
    <w:rsid w:val="00AD025D"/>
    <w:rsid w:val="00AD0297"/>
    <w:rsid w:val="00AD02CD"/>
    <w:rsid w:val="00AD0322"/>
    <w:rsid w:val="00AD03B0"/>
    <w:rsid w:val="00AD03E6"/>
    <w:rsid w:val="00AD048B"/>
    <w:rsid w:val="00AD06D6"/>
    <w:rsid w:val="00AD074F"/>
    <w:rsid w:val="00AD075B"/>
    <w:rsid w:val="00AD077C"/>
    <w:rsid w:val="00AD07C4"/>
    <w:rsid w:val="00AD0925"/>
    <w:rsid w:val="00AD092D"/>
    <w:rsid w:val="00AD094C"/>
    <w:rsid w:val="00AD09D7"/>
    <w:rsid w:val="00AD0A27"/>
    <w:rsid w:val="00AD0A2E"/>
    <w:rsid w:val="00AD0A4C"/>
    <w:rsid w:val="00AD0B0C"/>
    <w:rsid w:val="00AD0B12"/>
    <w:rsid w:val="00AD0BAB"/>
    <w:rsid w:val="00AD0CB0"/>
    <w:rsid w:val="00AD0D0B"/>
    <w:rsid w:val="00AD0D5F"/>
    <w:rsid w:val="00AD0D69"/>
    <w:rsid w:val="00AD0E70"/>
    <w:rsid w:val="00AD0F62"/>
    <w:rsid w:val="00AD0FA4"/>
    <w:rsid w:val="00AD1058"/>
    <w:rsid w:val="00AD105E"/>
    <w:rsid w:val="00AD10DB"/>
    <w:rsid w:val="00AD1113"/>
    <w:rsid w:val="00AD1138"/>
    <w:rsid w:val="00AD1154"/>
    <w:rsid w:val="00AD123A"/>
    <w:rsid w:val="00AD137B"/>
    <w:rsid w:val="00AD13AB"/>
    <w:rsid w:val="00AD14EA"/>
    <w:rsid w:val="00AD154B"/>
    <w:rsid w:val="00AD15A8"/>
    <w:rsid w:val="00AD15ED"/>
    <w:rsid w:val="00AD181A"/>
    <w:rsid w:val="00AD18FF"/>
    <w:rsid w:val="00AD1917"/>
    <w:rsid w:val="00AD1B44"/>
    <w:rsid w:val="00AD1BAF"/>
    <w:rsid w:val="00AD1C73"/>
    <w:rsid w:val="00AD1C95"/>
    <w:rsid w:val="00AD1CBF"/>
    <w:rsid w:val="00AD1DA3"/>
    <w:rsid w:val="00AD1E1E"/>
    <w:rsid w:val="00AD1E95"/>
    <w:rsid w:val="00AD1F9C"/>
    <w:rsid w:val="00AD1FE4"/>
    <w:rsid w:val="00AD2068"/>
    <w:rsid w:val="00AD20A1"/>
    <w:rsid w:val="00AD20E6"/>
    <w:rsid w:val="00AD2145"/>
    <w:rsid w:val="00AD217F"/>
    <w:rsid w:val="00AD219C"/>
    <w:rsid w:val="00AD21BC"/>
    <w:rsid w:val="00AD224B"/>
    <w:rsid w:val="00AD228B"/>
    <w:rsid w:val="00AD2301"/>
    <w:rsid w:val="00AD2397"/>
    <w:rsid w:val="00AD23A3"/>
    <w:rsid w:val="00AD2499"/>
    <w:rsid w:val="00AD24CD"/>
    <w:rsid w:val="00AD254B"/>
    <w:rsid w:val="00AD25CE"/>
    <w:rsid w:val="00AD26FB"/>
    <w:rsid w:val="00AD271A"/>
    <w:rsid w:val="00AD2746"/>
    <w:rsid w:val="00AD2791"/>
    <w:rsid w:val="00AD279F"/>
    <w:rsid w:val="00AD27C4"/>
    <w:rsid w:val="00AD2941"/>
    <w:rsid w:val="00AD2B26"/>
    <w:rsid w:val="00AD2BD7"/>
    <w:rsid w:val="00AD2C50"/>
    <w:rsid w:val="00AD2EA7"/>
    <w:rsid w:val="00AD2EAB"/>
    <w:rsid w:val="00AD2EE2"/>
    <w:rsid w:val="00AD2EEF"/>
    <w:rsid w:val="00AD2F61"/>
    <w:rsid w:val="00AD3149"/>
    <w:rsid w:val="00AD3189"/>
    <w:rsid w:val="00AD3235"/>
    <w:rsid w:val="00AD32F9"/>
    <w:rsid w:val="00AD3302"/>
    <w:rsid w:val="00AD335A"/>
    <w:rsid w:val="00AD3413"/>
    <w:rsid w:val="00AD3455"/>
    <w:rsid w:val="00AD3656"/>
    <w:rsid w:val="00AD3657"/>
    <w:rsid w:val="00AD370D"/>
    <w:rsid w:val="00AD381E"/>
    <w:rsid w:val="00AD38E4"/>
    <w:rsid w:val="00AD3941"/>
    <w:rsid w:val="00AD39FA"/>
    <w:rsid w:val="00AD3A89"/>
    <w:rsid w:val="00AD3BF9"/>
    <w:rsid w:val="00AD3D5B"/>
    <w:rsid w:val="00AD3D65"/>
    <w:rsid w:val="00AD3EA0"/>
    <w:rsid w:val="00AD3F56"/>
    <w:rsid w:val="00AD3F98"/>
    <w:rsid w:val="00AD41BE"/>
    <w:rsid w:val="00AD41F6"/>
    <w:rsid w:val="00AD4287"/>
    <w:rsid w:val="00AD42D8"/>
    <w:rsid w:val="00AD42EF"/>
    <w:rsid w:val="00AD4353"/>
    <w:rsid w:val="00AD43AB"/>
    <w:rsid w:val="00AD443A"/>
    <w:rsid w:val="00AD4459"/>
    <w:rsid w:val="00AD44D6"/>
    <w:rsid w:val="00AD44D8"/>
    <w:rsid w:val="00AD458E"/>
    <w:rsid w:val="00AD45AC"/>
    <w:rsid w:val="00AD45FA"/>
    <w:rsid w:val="00AD4632"/>
    <w:rsid w:val="00AD477A"/>
    <w:rsid w:val="00AD4792"/>
    <w:rsid w:val="00AD47DE"/>
    <w:rsid w:val="00AD481C"/>
    <w:rsid w:val="00AD490F"/>
    <w:rsid w:val="00AD49EE"/>
    <w:rsid w:val="00AD4A30"/>
    <w:rsid w:val="00AD4AB5"/>
    <w:rsid w:val="00AD4AEB"/>
    <w:rsid w:val="00AD4BA0"/>
    <w:rsid w:val="00AD4CC2"/>
    <w:rsid w:val="00AD4D73"/>
    <w:rsid w:val="00AD4E7C"/>
    <w:rsid w:val="00AD4EB5"/>
    <w:rsid w:val="00AD4FDA"/>
    <w:rsid w:val="00AD5014"/>
    <w:rsid w:val="00AD5109"/>
    <w:rsid w:val="00AD5130"/>
    <w:rsid w:val="00AD51C3"/>
    <w:rsid w:val="00AD51CC"/>
    <w:rsid w:val="00AD5339"/>
    <w:rsid w:val="00AD537B"/>
    <w:rsid w:val="00AD5474"/>
    <w:rsid w:val="00AD54CA"/>
    <w:rsid w:val="00AD5564"/>
    <w:rsid w:val="00AD5567"/>
    <w:rsid w:val="00AD5727"/>
    <w:rsid w:val="00AD5751"/>
    <w:rsid w:val="00AD5785"/>
    <w:rsid w:val="00AD584B"/>
    <w:rsid w:val="00AD5853"/>
    <w:rsid w:val="00AD58BA"/>
    <w:rsid w:val="00AD594F"/>
    <w:rsid w:val="00AD59CB"/>
    <w:rsid w:val="00AD5A95"/>
    <w:rsid w:val="00AD5B1D"/>
    <w:rsid w:val="00AD5B5D"/>
    <w:rsid w:val="00AD5B72"/>
    <w:rsid w:val="00AD5BAB"/>
    <w:rsid w:val="00AD5C1E"/>
    <w:rsid w:val="00AD5C66"/>
    <w:rsid w:val="00AD5D52"/>
    <w:rsid w:val="00AD5DEC"/>
    <w:rsid w:val="00AD5E90"/>
    <w:rsid w:val="00AD5F43"/>
    <w:rsid w:val="00AD60F8"/>
    <w:rsid w:val="00AD6145"/>
    <w:rsid w:val="00AD61B3"/>
    <w:rsid w:val="00AD63D9"/>
    <w:rsid w:val="00AD646C"/>
    <w:rsid w:val="00AD65BF"/>
    <w:rsid w:val="00AD65D6"/>
    <w:rsid w:val="00AD66D5"/>
    <w:rsid w:val="00AD67B3"/>
    <w:rsid w:val="00AD6860"/>
    <w:rsid w:val="00AD6950"/>
    <w:rsid w:val="00AD6A98"/>
    <w:rsid w:val="00AD6BA2"/>
    <w:rsid w:val="00AD6BC3"/>
    <w:rsid w:val="00AD6D92"/>
    <w:rsid w:val="00AD6DB6"/>
    <w:rsid w:val="00AD6DF0"/>
    <w:rsid w:val="00AD6E73"/>
    <w:rsid w:val="00AD6EF7"/>
    <w:rsid w:val="00AD6F20"/>
    <w:rsid w:val="00AD6F25"/>
    <w:rsid w:val="00AD6F72"/>
    <w:rsid w:val="00AD6FB1"/>
    <w:rsid w:val="00AD70FB"/>
    <w:rsid w:val="00AD71C3"/>
    <w:rsid w:val="00AD71FD"/>
    <w:rsid w:val="00AD7252"/>
    <w:rsid w:val="00AD733A"/>
    <w:rsid w:val="00AD7347"/>
    <w:rsid w:val="00AD7385"/>
    <w:rsid w:val="00AD73A4"/>
    <w:rsid w:val="00AD73E0"/>
    <w:rsid w:val="00AD75B4"/>
    <w:rsid w:val="00AD75DA"/>
    <w:rsid w:val="00AD7637"/>
    <w:rsid w:val="00AD764D"/>
    <w:rsid w:val="00AD76A9"/>
    <w:rsid w:val="00AD76E4"/>
    <w:rsid w:val="00AD77B4"/>
    <w:rsid w:val="00AD7852"/>
    <w:rsid w:val="00AD7878"/>
    <w:rsid w:val="00AD7961"/>
    <w:rsid w:val="00AD7A03"/>
    <w:rsid w:val="00AD7A8F"/>
    <w:rsid w:val="00AD7AF8"/>
    <w:rsid w:val="00AD7B72"/>
    <w:rsid w:val="00AD7B8E"/>
    <w:rsid w:val="00AD7BA8"/>
    <w:rsid w:val="00AD7BAE"/>
    <w:rsid w:val="00AD7BCD"/>
    <w:rsid w:val="00AD7CAD"/>
    <w:rsid w:val="00AD7DF2"/>
    <w:rsid w:val="00AD7E62"/>
    <w:rsid w:val="00AD7F15"/>
    <w:rsid w:val="00AD7F71"/>
    <w:rsid w:val="00AD7F9B"/>
    <w:rsid w:val="00AE0039"/>
    <w:rsid w:val="00AE00F5"/>
    <w:rsid w:val="00AE00FF"/>
    <w:rsid w:val="00AE0132"/>
    <w:rsid w:val="00AE019C"/>
    <w:rsid w:val="00AE0250"/>
    <w:rsid w:val="00AE0299"/>
    <w:rsid w:val="00AE032F"/>
    <w:rsid w:val="00AE03F2"/>
    <w:rsid w:val="00AE0457"/>
    <w:rsid w:val="00AE05E7"/>
    <w:rsid w:val="00AE065A"/>
    <w:rsid w:val="00AE0664"/>
    <w:rsid w:val="00AE0671"/>
    <w:rsid w:val="00AE06C6"/>
    <w:rsid w:val="00AE06DA"/>
    <w:rsid w:val="00AE0750"/>
    <w:rsid w:val="00AE076E"/>
    <w:rsid w:val="00AE08FC"/>
    <w:rsid w:val="00AE0906"/>
    <w:rsid w:val="00AE0A95"/>
    <w:rsid w:val="00AE0AC3"/>
    <w:rsid w:val="00AE0AD7"/>
    <w:rsid w:val="00AE0BD4"/>
    <w:rsid w:val="00AE0C17"/>
    <w:rsid w:val="00AE0C58"/>
    <w:rsid w:val="00AE0CC8"/>
    <w:rsid w:val="00AE0CF5"/>
    <w:rsid w:val="00AE0D4C"/>
    <w:rsid w:val="00AE0E9B"/>
    <w:rsid w:val="00AE0F0F"/>
    <w:rsid w:val="00AE0FE1"/>
    <w:rsid w:val="00AE1064"/>
    <w:rsid w:val="00AE1073"/>
    <w:rsid w:val="00AE116E"/>
    <w:rsid w:val="00AE11E8"/>
    <w:rsid w:val="00AE132E"/>
    <w:rsid w:val="00AE133C"/>
    <w:rsid w:val="00AE1379"/>
    <w:rsid w:val="00AE13D0"/>
    <w:rsid w:val="00AE1516"/>
    <w:rsid w:val="00AE152F"/>
    <w:rsid w:val="00AE15A1"/>
    <w:rsid w:val="00AE1840"/>
    <w:rsid w:val="00AE18EE"/>
    <w:rsid w:val="00AE1922"/>
    <w:rsid w:val="00AE1935"/>
    <w:rsid w:val="00AE1968"/>
    <w:rsid w:val="00AE196E"/>
    <w:rsid w:val="00AE1978"/>
    <w:rsid w:val="00AE19BA"/>
    <w:rsid w:val="00AE1A65"/>
    <w:rsid w:val="00AE1A89"/>
    <w:rsid w:val="00AE1BB4"/>
    <w:rsid w:val="00AE1DAF"/>
    <w:rsid w:val="00AE1DBF"/>
    <w:rsid w:val="00AE1E85"/>
    <w:rsid w:val="00AE1F8E"/>
    <w:rsid w:val="00AE1FA5"/>
    <w:rsid w:val="00AE1FD2"/>
    <w:rsid w:val="00AE2013"/>
    <w:rsid w:val="00AE205F"/>
    <w:rsid w:val="00AE208D"/>
    <w:rsid w:val="00AE21B0"/>
    <w:rsid w:val="00AE21BC"/>
    <w:rsid w:val="00AE2305"/>
    <w:rsid w:val="00AE232A"/>
    <w:rsid w:val="00AE2348"/>
    <w:rsid w:val="00AE24B1"/>
    <w:rsid w:val="00AE24DE"/>
    <w:rsid w:val="00AE2545"/>
    <w:rsid w:val="00AE271E"/>
    <w:rsid w:val="00AE285B"/>
    <w:rsid w:val="00AE2977"/>
    <w:rsid w:val="00AE299A"/>
    <w:rsid w:val="00AE2A2D"/>
    <w:rsid w:val="00AE2C01"/>
    <w:rsid w:val="00AE2C9E"/>
    <w:rsid w:val="00AE2CB1"/>
    <w:rsid w:val="00AE2E00"/>
    <w:rsid w:val="00AE2E6E"/>
    <w:rsid w:val="00AE2E85"/>
    <w:rsid w:val="00AE2EA4"/>
    <w:rsid w:val="00AE2EFE"/>
    <w:rsid w:val="00AE2F34"/>
    <w:rsid w:val="00AE2FB7"/>
    <w:rsid w:val="00AE2FD6"/>
    <w:rsid w:val="00AE3089"/>
    <w:rsid w:val="00AE30A6"/>
    <w:rsid w:val="00AE31EC"/>
    <w:rsid w:val="00AE3251"/>
    <w:rsid w:val="00AE3266"/>
    <w:rsid w:val="00AE32F3"/>
    <w:rsid w:val="00AE32F7"/>
    <w:rsid w:val="00AE3302"/>
    <w:rsid w:val="00AE336C"/>
    <w:rsid w:val="00AE3439"/>
    <w:rsid w:val="00AE34B8"/>
    <w:rsid w:val="00AE35A5"/>
    <w:rsid w:val="00AE35B4"/>
    <w:rsid w:val="00AE3745"/>
    <w:rsid w:val="00AE37EF"/>
    <w:rsid w:val="00AE3955"/>
    <w:rsid w:val="00AE3A10"/>
    <w:rsid w:val="00AE3A2F"/>
    <w:rsid w:val="00AE3B19"/>
    <w:rsid w:val="00AE3B56"/>
    <w:rsid w:val="00AE3BCD"/>
    <w:rsid w:val="00AE3BDA"/>
    <w:rsid w:val="00AE3D3A"/>
    <w:rsid w:val="00AE3D47"/>
    <w:rsid w:val="00AE3EBD"/>
    <w:rsid w:val="00AE3ED0"/>
    <w:rsid w:val="00AE3EDE"/>
    <w:rsid w:val="00AE3F33"/>
    <w:rsid w:val="00AE3FBA"/>
    <w:rsid w:val="00AE412D"/>
    <w:rsid w:val="00AE4138"/>
    <w:rsid w:val="00AE41E9"/>
    <w:rsid w:val="00AE42FC"/>
    <w:rsid w:val="00AE433E"/>
    <w:rsid w:val="00AE43B7"/>
    <w:rsid w:val="00AE4567"/>
    <w:rsid w:val="00AE45B1"/>
    <w:rsid w:val="00AE462C"/>
    <w:rsid w:val="00AE4674"/>
    <w:rsid w:val="00AE46BA"/>
    <w:rsid w:val="00AE46F2"/>
    <w:rsid w:val="00AE471F"/>
    <w:rsid w:val="00AE4781"/>
    <w:rsid w:val="00AE493C"/>
    <w:rsid w:val="00AE4941"/>
    <w:rsid w:val="00AE49FB"/>
    <w:rsid w:val="00AE4B14"/>
    <w:rsid w:val="00AE4B98"/>
    <w:rsid w:val="00AE4B9A"/>
    <w:rsid w:val="00AE4E5C"/>
    <w:rsid w:val="00AE4EBC"/>
    <w:rsid w:val="00AE4F0F"/>
    <w:rsid w:val="00AE4F37"/>
    <w:rsid w:val="00AE4FD1"/>
    <w:rsid w:val="00AE509E"/>
    <w:rsid w:val="00AE50A2"/>
    <w:rsid w:val="00AE5157"/>
    <w:rsid w:val="00AE51F6"/>
    <w:rsid w:val="00AE534A"/>
    <w:rsid w:val="00AE535B"/>
    <w:rsid w:val="00AE5393"/>
    <w:rsid w:val="00AE54D2"/>
    <w:rsid w:val="00AE555D"/>
    <w:rsid w:val="00AE5575"/>
    <w:rsid w:val="00AE558F"/>
    <w:rsid w:val="00AE5711"/>
    <w:rsid w:val="00AE57A9"/>
    <w:rsid w:val="00AE5885"/>
    <w:rsid w:val="00AE58F6"/>
    <w:rsid w:val="00AE594B"/>
    <w:rsid w:val="00AE5B51"/>
    <w:rsid w:val="00AE5C0C"/>
    <w:rsid w:val="00AE5C42"/>
    <w:rsid w:val="00AE5C43"/>
    <w:rsid w:val="00AE5C94"/>
    <w:rsid w:val="00AE5CA8"/>
    <w:rsid w:val="00AE5CA9"/>
    <w:rsid w:val="00AE5CCF"/>
    <w:rsid w:val="00AE5D33"/>
    <w:rsid w:val="00AE5F26"/>
    <w:rsid w:val="00AE5F6A"/>
    <w:rsid w:val="00AE603D"/>
    <w:rsid w:val="00AE6043"/>
    <w:rsid w:val="00AE604F"/>
    <w:rsid w:val="00AE605D"/>
    <w:rsid w:val="00AE60F3"/>
    <w:rsid w:val="00AE6153"/>
    <w:rsid w:val="00AE6198"/>
    <w:rsid w:val="00AE61ED"/>
    <w:rsid w:val="00AE6282"/>
    <w:rsid w:val="00AE628F"/>
    <w:rsid w:val="00AE62F3"/>
    <w:rsid w:val="00AE632D"/>
    <w:rsid w:val="00AE6363"/>
    <w:rsid w:val="00AE6378"/>
    <w:rsid w:val="00AE63EA"/>
    <w:rsid w:val="00AE6406"/>
    <w:rsid w:val="00AE6510"/>
    <w:rsid w:val="00AE6537"/>
    <w:rsid w:val="00AE6553"/>
    <w:rsid w:val="00AE66B1"/>
    <w:rsid w:val="00AE6748"/>
    <w:rsid w:val="00AE6815"/>
    <w:rsid w:val="00AE68FB"/>
    <w:rsid w:val="00AE694A"/>
    <w:rsid w:val="00AE6AA0"/>
    <w:rsid w:val="00AE6AC6"/>
    <w:rsid w:val="00AE6B5C"/>
    <w:rsid w:val="00AE6B6F"/>
    <w:rsid w:val="00AE6BF1"/>
    <w:rsid w:val="00AE6C0C"/>
    <w:rsid w:val="00AE6D0F"/>
    <w:rsid w:val="00AE6DB0"/>
    <w:rsid w:val="00AE6DD4"/>
    <w:rsid w:val="00AE6EB1"/>
    <w:rsid w:val="00AE6F76"/>
    <w:rsid w:val="00AE6F7E"/>
    <w:rsid w:val="00AE71D9"/>
    <w:rsid w:val="00AE7286"/>
    <w:rsid w:val="00AE7296"/>
    <w:rsid w:val="00AE7306"/>
    <w:rsid w:val="00AE731C"/>
    <w:rsid w:val="00AE7342"/>
    <w:rsid w:val="00AE73C8"/>
    <w:rsid w:val="00AE7406"/>
    <w:rsid w:val="00AE74C9"/>
    <w:rsid w:val="00AE754A"/>
    <w:rsid w:val="00AE757F"/>
    <w:rsid w:val="00AE75A2"/>
    <w:rsid w:val="00AE762E"/>
    <w:rsid w:val="00AE7794"/>
    <w:rsid w:val="00AE77E7"/>
    <w:rsid w:val="00AE77F7"/>
    <w:rsid w:val="00AE7852"/>
    <w:rsid w:val="00AE79FA"/>
    <w:rsid w:val="00AE7AE1"/>
    <w:rsid w:val="00AE7CEF"/>
    <w:rsid w:val="00AE7D76"/>
    <w:rsid w:val="00AE7E20"/>
    <w:rsid w:val="00AE7F8D"/>
    <w:rsid w:val="00AE7FC2"/>
    <w:rsid w:val="00AF00A6"/>
    <w:rsid w:val="00AF00BD"/>
    <w:rsid w:val="00AF0169"/>
    <w:rsid w:val="00AF023E"/>
    <w:rsid w:val="00AF0267"/>
    <w:rsid w:val="00AF039E"/>
    <w:rsid w:val="00AF039F"/>
    <w:rsid w:val="00AF03C3"/>
    <w:rsid w:val="00AF03F5"/>
    <w:rsid w:val="00AF0430"/>
    <w:rsid w:val="00AF0658"/>
    <w:rsid w:val="00AF0735"/>
    <w:rsid w:val="00AF0764"/>
    <w:rsid w:val="00AF0794"/>
    <w:rsid w:val="00AF0837"/>
    <w:rsid w:val="00AF090C"/>
    <w:rsid w:val="00AF09CA"/>
    <w:rsid w:val="00AF0A91"/>
    <w:rsid w:val="00AF0BA6"/>
    <w:rsid w:val="00AF0C55"/>
    <w:rsid w:val="00AF0CBF"/>
    <w:rsid w:val="00AF0D82"/>
    <w:rsid w:val="00AF0DAF"/>
    <w:rsid w:val="00AF0DB2"/>
    <w:rsid w:val="00AF0E16"/>
    <w:rsid w:val="00AF0F38"/>
    <w:rsid w:val="00AF0F85"/>
    <w:rsid w:val="00AF106C"/>
    <w:rsid w:val="00AF10B2"/>
    <w:rsid w:val="00AF1237"/>
    <w:rsid w:val="00AF12DB"/>
    <w:rsid w:val="00AF139B"/>
    <w:rsid w:val="00AF13E4"/>
    <w:rsid w:val="00AF142A"/>
    <w:rsid w:val="00AF1439"/>
    <w:rsid w:val="00AF1499"/>
    <w:rsid w:val="00AF1668"/>
    <w:rsid w:val="00AF1674"/>
    <w:rsid w:val="00AF172A"/>
    <w:rsid w:val="00AF1763"/>
    <w:rsid w:val="00AF178C"/>
    <w:rsid w:val="00AF18CF"/>
    <w:rsid w:val="00AF18E7"/>
    <w:rsid w:val="00AF18FB"/>
    <w:rsid w:val="00AF195F"/>
    <w:rsid w:val="00AF1A50"/>
    <w:rsid w:val="00AF1B35"/>
    <w:rsid w:val="00AF1B82"/>
    <w:rsid w:val="00AF1BE0"/>
    <w:rsid w:val="00AF1C28"/>
    <w:rsid w:val="00AF1C4B"/>
    <w:rsid w:val="00AF1D6B"/>
    <w:rsid w:val="00AF1E6E"/>
    <w:rsid w:val="00AF1F80"/>
    <w:rsid w:val="00AF1FAB"/>
    <w:rsid w:val="00AF2093"/>
    <w:rsid w:val="00AF2191"/>
    <w:rsid w:val="00AF21E4"/>
    <w:rsid w:val="00AF2232"/>
    <w:rsid w:val="00AF22C4"/>
    <w:rsid w:val="00AF2403"/>
    <w:rsid w:val="00AF24B8"/>
    <w:rsid w:val="00AF24BF"/>
    <w:rsid w:val="00AF24D6"/>
    <w:rsid w:val="00AF2505"/>
    <w:rsid w:val="00AF2517"/>
    <w:rsid w:val="00AF2566"/>
    <w:rsid w:val="00AF2593"/>
    <w:rsid w:val="00AF25CB"/>
    <w:rsid w:val="00AF2638"/>
    <w:rsid w:val="00AF2691"/>
    <w:rsid w:val="00AF276A"/>
    <w:rsid w:val="00AF2826"/>
    <w:rsid w:val="00AF28B6"/>
    <w:rsid w:val="00AF2944"/>
    <w:rsid w:val="00AF2AA4"/>
    <w:rsid w:val="00AF2AFF"/>
    <w:rsid w:val="00AF2B16"/>
    <w:rsid w:val="00AF2B4D"/>
    <w:rsid w:val="00AF2B51"/>
    <w:rsid w:val="00AF2C1E"/>
    <w:rsid w:val="00AF2D22"/>
    <w:rsid w:val="00AF2DAE"/>
    <w:rsid w:val="00AF2E39"/>
    <w:rsid w:val="00AF2E6E"/>
    <w:rsid w:val="00AF2EA0"/>
    <w:rsid w:val="00AF2ED0"/>
    <w:rsid w:val="00AF2EE1"/>
    <w:rsid w:val="00AF2F08"/>
    <w:rsid w:val="00AF2F37"/>
    <w:rsid w:val="00AF2FF0"/>
    <w:rsid w:val="00AF301F"/>
    <w:rsid w:val="00AF30BA"/>
    <w:rsid w:val="00AF32D4"/>
    <w:rsid w:val="00AF337C"/>
    <w:rsid w:val="00AF33BE"/>
    <w:rsid w:val="00AF3429"/>
    <w:rsid w:val="00AF34C8"/>
    <w:rsid w:val="00AF34FC"/>
    <w:rsid w:val="00AF35A3"/>
    <w:rsid w:val="00AF35B0"/>
    <w:rsid w:val="00AF35D6"/>
    <w:rsid w:val="00AF3616"/>
    <w:rsid w:val="00AF366A"/>
    <w:rsid w:val="00AF36DC"/>
    <w:rsid w:val="00AF36F2"/>
    <w:rsid w:val="00AF375D"/>
    <w:rsid w:val="00AF3789"/>
    <w:rsid w:val="00AF379E"/>
    <w:rsid w:val="00AF37CF"/>
    <w:rsid w:val="00AF3973"/>
    <w:rsid w:val="00AF3ABE"/>
    <w:rsid w:val="00AF3BFB"/>
    <w:rsid w:val="00AF3CEF"/>
    <w:rsid w:val="00AF3D0D"/>
    <w:rsid w:val="00AF3D79"/>
    <w:rsid w:val="00AF3D93"/>
    <w:rsid w:val="00AF3DEE"/>
    <w:rsid w:val="00AF3E03"/>
    <w:rsid w:val="00AF3EC6"/>
    <w:rsid w:val="00AF3EFC"/>
    <w:rsid w:val="00AF4051"/>
    <w:rsid w:val="00AF40FF"/>
    <w:rsid w:val="00AF410E"/>
    <w:rsid w:val="00AF4235"/>
    <w:rsid w:val="00AF42AE"/>
    <w:rsid w:val="00AF4433"/>
    <w:rsid w:val="00AF44F6"/>
    <w:rsid w:val="00AF458D"/>
    <w:rsid w:val="00AF45AA"/>
    <w:rsid w:val="00AF4675"/>
    <w:rsid w:val="00AF46AC"/>
    <w:rsid w:val="00AF46AE"/>
    <w:rsid w:val="00AF47BE"/>
    <w:rsid w:val="00AF47F6"/>
    <w:rsid w:val="00AF484E"/>
    <w:rsid w:val="00AF4853"/>
    <w:rsid w:val="00AF4A22"/>
    <w:rsid w:val="00AF4A5B"/>
    <w:rsid w:val="00AF4CC3"/>
    <w:rsid w:val="00AF4DA2"/>
    <w:rsid w:val="00AF4DC4"/>
    <w:rsid w:val="00AF4E13"/>
    <w:rsid w:val="00AF4E59"/>
    <w:rsid w:val="00AF4F2E"/>
    <w:rsid w:val="00AF4F68"/>
    <w:rsid w:val="00AF50B3"/>
    <w:rsid w:val="00AF50EB"/>
    <w:rsid w:val="00AF5129"/>
    <w:rsid w:val="00AF518F"/>
    <w:rsid w:val="00AF5223"/>
    <w:rsid w:val="00AF52F1"/>
    <w:rsid w:val="00AF5389"/>
    <w:rsid w:val="00AF5451"/>
    <w:rsid w:val="00AF5488"/>
    <w:rsid w:val="00AF550D"/>
    <w:rsid w:val="00AF5549"/>
    <w:rsid w:val="00AF5621"/>
    <w:rsid w:val="00AF567A"/>
    <w:rsid w:val="00AF57A7"/>
    <w:rsid w:val="00AF57D8"/>
    <w:rsid w:val="00AF586A"/>
    <w:rsid w:val="00AF5901"/>
    <w:rsid w:val="00AF5902"/>
    <w:rsid w:val="00AF5A2F"/>
    <w:rsid w:val="00AF5B16"/>
    <w:rsid w:val="00AF5C9B"/>
    <w:rsid w:val="00AF5D53"/>
    <w:rsid w:val="00AF5DB0"/>
    <w:rsid w:val="00AF5E88"/>
    <w:rsid w:val="00AF5F43"/>
    <w:rsid w:val="00AF5FA2"/>
    <w:rsid w:val="00AF62A4"/>
    <w:rsid w:val="00AF62DB"/>
    <w:rsid w:val="00AF62F6"/>
    <w:rsid w:val="00AF6308"/>
    <w:rsid w:val="00AF636F"/>
    <w:rsid w:val="00AF63FE"/>
    <w:rsid w:val="00AF6506"/>
    <w:rsid w:val="00AF65C7"/>
    <w:rsid w:val="00AF660A"/>
    <w:rsid w:val="00AF662D"/>
    <w:rsid w:val="00AF662E"/>
    <w:rsid w:val="00AF666A"/>
    <w:rsid w:val="00AF66AA"/>
    <w:rsid w:val="00AF6716"/>
    <w:rsid w:val="00AF6726"/>
    <w:rsid w:val="00AF6822"/>
    <w:rsid w:val="00AF6863"/>
    <w:rsid w:val="00AF68DF"/>
    <w:rsid w:val="00AF68F9"/>
    <w:rsid w:val="00AF69BC"/>
    <w:rsid w:val="00AF6B50"/>
    <w:rsid w:val="00AF6B80"/>
    <w:rsid w:val="00AF6B83"/>
    <w:rsid w:val="00AF6BB8"/>
    <w:rsid w:val="00AF6BFC"/>
    <w:rsid w:val="00AF6CDF"/>
    <w:rsid w:val="00AF6CFE"/>
    <w:rsid w:val="00AF6DA5"/>
    <w:rsid w:val="00AF6E1D"/>
    <w:rsid w:val="00AF6EAB"/>
    <w:rsid w:val="00AF6EAC"/>
    <w:rsid w:val="00AF7062"/>
    <w:rsid w:val="00AF70C4"/>
    <w:rsid w:val="00AF71B7"/>
    <w:rsid w:val="00AF71CC"/>
    <w:rsid w:val="00AF71D5"/>
    <w:rsid w:val="00AF7351"/>
    <w:rsid w:val="00AF73B7"/>
    <w:rsid w:val="00AF73FE"/>
    <w:rsid w:val="00AF747D"/>
    <w:rsid w:val="00AF7497"/>
    <w:rsid w:val="00AF750B"/>
    <w:rsid w:val="00AF7526"/>
    <w:rsid w:val="00AF7581"/>
    <w:rsid w:val="00AF75C5"/>
    <w:rsid w:val="00AF764C"/>
    <w:rsid w:val="00AF76F5"/>
    <w:rsid w:val="00AF7834"/>
    <w:rsid w:val="00AF797A"/>
    <w:rsid w:val="00AF7A8E"/>
    <w:rsid w:val="00AF7CC3"/>
    <w:rsid w:val="00AF7CDB"/>
    <w:rsid w:val="00AF7CDD"/>
    <w:rsid w:val="00AF7D13"/>
    <w:rsid w:val="00AF7D6B"/>
    <w:rsid w:val="00AF7E57"/>
    <w:rsid w:val="00AF7F3D"/>
    <w:rsid w:val="00AF7FFA"/>
    <w:rsid w:val="00B000A4"/>
    <w:rsid w:val="00B00126"/>
    <w:rsid w:val="00B001F0"/>
    <w:rsid w:val="00B0020B"/>
    <w:rsid w:val="00B00275"/>
    <w:rsid w:val="00B00305"/>
    <w:rsid w:val="00B00307"/>
    <w:rsid w:val="00B00317"/>
    <w:rsid w:val="00B003B7"/>
    <w:rsid w:val="00B003DB"/>
    <w:rsid w:val="00B0041D"/>
    <w:rsid w:val="00B00428"/>
    <w:rsid w:val="00B004B1"/>
    <w:rsid w:val="00B00585"/>
    <w:rsid w:val="00B005B9"/>
    <w:rsid w:val="00B00752"/>
    <w:rsid w:val="00B00782"/>
    <w:rsid w:val="00B00885"/>
    <w:rsid w:val="00B00949"/>
    <w:rsid w:val="00B00963"/>
    <w:rsid w:val="00B00AC1"/>
    <w:rsid w:val="00B00B99"/>
    <w:rsid w:val="00B00C88"/>
    <w:rsid w:val="00B00D45"/>
    <w:rsid w:val="00B00D54"/>
    <w:rsid w:val="00B00E08"/>
    <w:rsid w:val="00B00EA9"/>
    <w:rsid w:val="00B00FF7"/>
    <w:rsid w:val="00B011E6"/>
    <w:rsid w:val="00B013C0"/>
    <w:rsid w:val="00B013EE"/>
    <w:rsid w:val="00B01405"/>
    <w:rsid w:val="00B01431"/>
    <w:rsid w:val="00B0148B"/>
    <w:rsid w:val="00B0149C"/>
    <w:rsid w:val="00B01554"/>
    <w:rsid w:val="00B0155C"/>
    <w:rsid w:val="00B016AC"/>
    <w:rsid w:val="00B016FB"/>
    <w:rsid w:val="00B0170B"/>
    <w:rsid w:val="00B018E6"/>
    <w:rsid w:val="00B01970"/>
    <w:rsid w:val="00B019AB"/>
    <w:rsid w:val="00B019ED"/>
    <w:rsid w:val="00B019FD"/>
    <w:rsid w:val="00B01AAA"/>
    <w:rsid w:val="00B01B2E"/>
    <w:rsid w:val="00B01B99"/>
    <w:rsid w:val="00B01C61"/>
    <w:rsid w:val="00B01D4C"/>
    <w:rsid w:val="00B01E51"/>
    <w:rsid w:val="00B01F1E"/>
    <w:rsid w:val="00B020FD"/>
    <w:rsid w:val="00B021E4"/>
    <w:rsid w:val="00B02278"/>
    <w:rsid w:val="00B0228E"/>
    <w:rsid w:val="00B02394"/>
    <w:rsid w:val="00B024A4"/>
    <w:rsid w:val="00B0251B"/>
    <w:rsid w:val="00B0251C"/>
    <w:rsid w:val="00B02605"/>
    <w:rsid w:val="00B02615"/>
    <w:rsid w:val="00B02794"/>
    <w:rsid w:val="00B02796"/>
    <w:rsid w:val="00B0285B"/>
    <w:rsid w:val="00B028AA"/>
    <w:rsid w:val="00B02C45"/>
    <w:rsid w:val="00B02C54"/>
    <w:rsid w:val="00B02C92"/>
    <w:rsid w:val="00B02C9C"/>
    <w:rsid w:val="00B02CA8"/>
    <w:rsid w:val="00B02CF7"/>
    <w:rsid w:val="00B02D36"/>
    <w:rsid w:val="00B02D5D"/>
    <w:rsid w:val="00B02DD5"/>
    <w:rsid w:val="00B02E74"/>
    <w:rsid w:val="00B02F4B"/>
    <w:rsid w:val="00B02F54"/>
    <w:rsid w:val="00B02FAE"/>
    <w:rsid w:val="00B02FCD"/>
    <w:rsid w:val="00B0307A"/>
    <w:rsid w:val="00B030BA"/>
    <w:rsid w:val="00B03117"/>
    <w:rsid w:val="00B03118"/>
    <w:rsid w:val="00B031DE"/>
    <w:rsid w:val="00B0325B"/>
    <w:rsid w:val="00B03261"/>
    <w:rsid w:val="00B03277"/>
    <w:rsid w:val="00B0330D"/>
    <w:rsid w:val="00B03388"/>
    <w:rsid w:val="00B033FB"/>
    <w:rsid w:val="00B0364D"/>
    <w:rsid w:val="00B0369F"/>
    <w:rsid w:val="00B03741"/>
    <w:rsid w:val="00B037E0"/>
    <w:rsid w:val="00B038EC"/>
    <w:rsid w:val="00B0391C"/>
    <w:rsid w:val="00B03945"/>
    <w:rsid w:val="00B03A43"/>
    <w:rsid w:val="00B03AE1"/>
    <w:rsid w:val="00B03C96"/>
    <w:rsid w:val="00B03D13"/>
    <w:rsid w:val="00B03D3C"/>
    <w:rsid w:val="00B03D7A"/>
    <w:rsid w:val="00B03D7D"/>
    <w:rsid w:val="00B03E71"/>
    <w:rsid w:val="00B03EA2"/>
    <w:rsid w:val="00B03F1F"/>
    <w:rsid w:val="00B03FA8"/>
    <w:rsid w:val="00B03FD1"/>
    <w:rsid w:val="00B0403B"/>
    <w:rsid w:val="00B0406A"/>
    <w:rsid w:val="00B0406E"/>
    <w:rsid w:val="00B04292"/>
    <w:rsid w:val="00B0437C"/>
    <w:rsid w:val="00B0438D"/>
    <w:rsid w:val="00B043C2"/>
    <w:rsid w:val="00B04435"/>
    <w:rsid w:val="00B04480"/>
    <w:rsid w:val="00B044A7"/>
    <w:rsid w:val="00B0456C"/>
    <w:rsid w:val="00B045A6"/>
    <w:rsid w:val="00B046AB"/>
    <w:rsid w:val="00B047AD"/>
    <w:rsid w:val="00B04868"/>
    <w:rsid w:val="00B049D4"/>
    <w:rsid w:val="00B04A9F"/>
    <w:rsid w:val="00B04C36"/>
    <w:rsid w:val="00B04CB6"/>
    <w:rsid w:val="00B04CF3"/>
    <w:rsid w:val="00B04D4A"/>
    <w:rsid w:val="00B04D9A"/>
    <w:rsid w:val="00B04E5D"/>
    <w:rsid w:val="00B04F26"/>
    <w:rsid w:val="00B04F74"/>
    <w:rsid w:val="00B04F91"/>
    <w:rsid w:val="00B0508D"/>
    <w:rsid w:val="00B051B4"/>
    <w:rsid w:val="00B051B5"/>
    <w:rsid w:val="00B051EA"/>
    <w:rsid w:val="00B0545E"/>
    <w:rsid w:val="00B054A8"/>
    <w:rsid w:val="00B054DA"/>
    <w:rsid w:val="00B054E6"/>
    <w:rsid w:val="00B0551C"/>
    <w:rsid w:val="00B05570"/>
    <w:rsid w:val="00B055B0"/>
    <w:rsid w:val="00B056B5"/>
    <w:rsid w:val="00B056BE"/>
    <w:rsid w:val="00B056E9"/>
    <w:rsid w:val="00B05708"/>
    <w:rsid w:val="00B057BC"/>
    <w:rsid w:val="00B05810"/>
    <w:rsid w:val="00B0592B"/>
    <w:rsid w:val="00B059F2"/>
    <w:rsid w:val="00B05A27"/>
    <w:rsid w:val="00B05A28"/>
    <w:rsid w:val="00B05A8A"/>
    <w:rsid w:val="00B05AB8"/>
    <w:rsid w:val="00B05AC4"/>
    <w:rsid w:val="00B05B05"/>
    <w:rsid w:val="00B05B26"/>
    <w:rsid w:val="00B05B58"/>
    <w:rsid w:val="00B05BB3"/>
    <w:rsid w:val="00B05C33"/>
    <w:rsid w:val="00B05CCF"/>
    <w:rsid w:val="00B05D13"/>
    <w:rsid w:val="00B05E22"/>
    <w:rsid w:val="00B05EFF"/>
    <w:rsid w:val="00B05FA2"/>
    <w:rsid w:val="00B0600F"/>
    <w:rsid w:val="00B0601B"/>
    <w:rsid w:val="00B06038"/>
    <w:rsid w:val="00B0616A"/>
    <w:rsid w:val="00B0617C"/>
    <w:rsid w:val="00B062C0"/>
    <w:rsid w:val="00B062E2"/>
    <w:rsid w:val="00B0639C"/>
    <w:rsid w:val="00B064E5"/>
    <w:rsid w:val="00B06551"/>
    <w:rsid w:val="00B065A5"/>
    <w:rsid w:val="00B0668F"/>
    <w:rsid w:val="00B067B2"/>
    <w:rsid w:val="00B067C6"/>
    <w:rsid w:val="00B067C8"/>
    <w:rsid w:val="00B067CF"/>
    <w:rsid w:val="00B067EA"/>
    <w:rsid w:val="00B0687C"/>
    <w:rsid w:val="00B069FE"/>
    <w:rsid w:val="00B06B01"/>
    <w:rsid w:val="00B06B49"/>
    <w:rsid w:val="00B06B94"/>
    <w:rsid w:val="00B06BDD"/>
    <w:rsid w:val="00B06C5D"/>
    <w:rsid w:val="00B06DA4"/>
    <w:rsid w:val="00B06E2A"/>
    <w:rsid w:val="00B06E49"/>
    <w:rsid w:val="00B06E96"/>
    <w:rsid w:val="00B06ED8"/>
    <w:rsid w:val="00B06F19"/>
    <w:rsid w:val="00B06FFC"/>
    <w:rsid w:val="00B0701C"/>
    <w:rsid w:val="00B07096"/>
    <w:rsid w:val="00B07178"/>
    <w:rsid w:val="00B071F6"/>
    <w:rsid w:val="00B0722E"/>
    <w:rsid w:val="00B072D0"/>
    <w:rsid w:val="00B07344"/>
    <w:rsid w:val="00B0734E"/>
    <w:rsid w:val="00B07408"/>
    <w:rsid w:val="00B0744C"/>
    <w:rsid w:val="00B076FA"/>
    <w:rsid w:val="00B07749"/>
    <w:rsid w:val="00B077C7"/>
    <w:rsid w:val="00B077E2"/>
    <w:rsid w:val="00B07807"/>
    <w:rsid w:val="00B07826"/>
    <w:rsid w:val="00B07867"/>
    <w:rsid w:val="00B078BB"/>
    <w:rsid w:val="00B079D9"/>
    <w:rsid w:val="00B079E7"/>
    <w:rsid w:val="00B07ADD"/>
    <w:rsid w:val="00B07B3F"/>
    <w:rsid w:val="00B07BEF"/>
    <w:rsid w:val="00B07CB3"/>
    <w:rsid w:val="00B07D1B"/>
    <w:rsid w:val="00B07D32"/>
    <w:rsid w:val="00B07DE9"/>
    <w:rsid w:val="00B07E00"/>
    <w:rsid w:val="00B07E12"/>
    <w:rsid w:val="00B07E18"/>
    <w:rsid w:val="00B07EFA"/>
    <w:rsid w:val="00B07F74"/>
    <w:rsid w:val="00B10032"/>
    <w:rsid w:val="00B10070"/>
    <w:rsid w:val="00B1009E"/>
    <w:rsid w:val="00B100D4"/>
    <w:rsid w:val="00B10175"/>
    <w:rsid w:val="00B101F5"/>
    <w:rsid w:val="00B102A2"/>
    <w:rsid w:val="00B102B9"/>
    <w:rsid w:val="00B10334"/>
    <w:rsid w:val="00B10340"/>
    <w:rsid w:val="00B1034C"/>
    <w:rsid w:val="00B10365"/>
    <w:rsid w:val="00B1038C"/>
    <w:rsid w:val="00B10465"/>
    <w:rsid w:val="00B1047B"/>
    <w:rsid w:val="00B104CA"/>
    <w:rsid w:val="00B10530"/>
    <w:rsid w:val="00B10604"/>
    <w:rsid w:val="00B1060D"/>
    <w:rsid w:val="00B10682"/>
    <w:rsid w:val="00B10684"/>
    <w:rsid w:val="00B1068B"/>
    <w:rsid w:val="00B10944"/>
    <w:rsid w:val="00B10976"/>
    <w:rsid w:val="00B1099C"/>
    <w:rsid w:val="00B109B4"/>
    <w:rsid w:val="00B10AA2"/>
    <w:rsid w:val="00B10CA8"/>
    <w:rsid w:val="00B10CEF"/>
    <w:rsid w:val="00B10E00"/>
    <w:rsid w:val="00B10EB8"/>
    <w:rsid w:val="00B10FD7"/>
    <w:rsid w:val="00B11016"/>
    <w:rsid w:val="00B1102D"/>
    <w:rsid w:val="00B1104D"/>
    <w:rsid w:val="00B1112B"/>
    <w:rsid w:val="00B11301"/>
    <w:rsid w:val="00B1130D"/>
    <w:rsid w:val="00B113EC"/>
    <w:rsid w:val="00B113F5"/>
    <w:rsid w:val="00B11466"/>
    <w:rsid w:val="00B11548"/>
    <w:rsid w:val="00B115BF"/>
    <w:rsid w:val="00B11692"/>
    <w:rsid w:val="00B116D6"/>
    <w:rsid w:val="00B116DD"/>
    <w:rsid w:val="00B11719"/>
    <w:rsid w:val="00B117AA"/>
    <w:rsid w:val="00B117BA"/>
    <w:rsid w:val="00B11830"/>
    <w:rsid w:val="00B1188A"/>
    <w:rsid w:val="00B118C7"/>
    <w:rsid w:val="00B1199A"/>
    <w:rsid w:val="00B11AC9"/>
    <w:rsid w:val="00B11B85"/>
    <w:rsid w:val="00B11BC8"/>
    <w:rsid w:val="00B11CC5"/>
    <w:rsid w:val="00B11CD2"/>
    <w:rsid w:val="00B11CE7"/>
    <w:rsid w:val="00B11D06"/>
    <w:rsid w:val="00B11E5A"/>
    <w:rsid w:val="00B11EB8"/>
    <w:rsid w:val="00B11F22"/>
    <w:rsid w:val="00B11F95"/>
    <w:rsid w:val="00B12059"/>
    <w:rsid w:val="00B121DD"/>
    <w:rsid w:val="00B12325"/>
    <w:rsid w:val="00B123E0"/>
    <w:rsid w:val="00B123F5"/>
    <w:rsid w:val="00B12464"/>
    <w:rsid w:val="00B12473"/>
    <w:rsid w:val="00B12525"/>
    <w:rsid w:val="00B126B1"/>
    <w:rsid w:val="00B12714"/>
    <w:rsid w:val="00B127D7"/>
    <w:rsid w:val="00B12988"/>
    <w:rsid w:val="00B129FF"/>
    <w:rsid w:val="00B12A89"/>
    <w:rsid w:val="00B12AD7"/>
    <w:rsid w:val="00B12AF4"/>
    <w:rsid w:val="00B12CAF"/>
    <w:rsid w:val="00B12D10"/>
    <w:rsid w:val="00B12D59"/>
    <w:rsid w:val="00B12D90"/>
    <w:rsid w:val="00B12DDF"/>
    <w:rsid w:val="00B12EA1"/>
    <w:rsid w:val="00B12F7F"/>
    <w:rsid w:val="00B1307E"/>
    <w:rsid w:val="00B130A4"/>
    <w:rsid w:val="00B130AF"/>
    <w:rsid w:val="00B130C6"/>
    <w:rsid w:val="00B1315F"/>
    <w:rsid w:val="00B13196"/>
    <w:rsid w:val="00B13213"/>
    <w:rsid w:val="00B13248"/>
    <w:rsid w:val="00B13317"/>
    <w:rsid w:val="00B1333E"/>
    <w:rsid w:val="00B133E3"/>
    <w:rsid w:val="00B13443"/>
    <w:rsid w:val="00B13462"/>
    <w:rsid w:val="00B1347B"/>
    <w:rsid w:val="00B1354D"/>
    <w:rsid w:val="00B135DC"/>
    <w:rsid w:val="00B13711"/>
    <w:rsid w:val="00B1376A"/>
    <w:rsid w:val="00B13869"/>
    <w:rsid w:val="00B138C0"/>
    <w:rsid w:val="00B13918"/>
    <w:rsid w:val="00B139AD"/>
    <w:rsid w:val="00B13A3B"/>
    <w:rsid w:val="00B13A48"/>
    <w:rsid w:val="00B13B4E"/>
    <w:rsid w:val="00B13B69"/>
    <w:rsid w:val="00B13C0A"/>
    <w:rsid w:val="00B13C0D"/>
    <w:rsid w:val="00B13C32"/>
    <w:rsid w:val="00B13C9D"/>
    <w:rsid w:val="00B13CDE"/>
    <w:rsid w:val="00B13D7A"/>
    <w:rsid w:val="00B13DE7"/>
    <w:rsid w:val="00B13DEA"/>
    <w:rsid w:val="00B13EFE"/>
    <w:rsid w:val="00B13FF3"/>
    <w:rsid w:val="00B1405A"/>
    <w:rsid w:val="00B1416B"/>
    <w:rsid w:val="00B1416D"/>
    <w:rsid w:val="00B1423F"/>
    <w:rsid w:val="00B14292"/>
    <w:rsid w:val="00B142BD"/>
    <w:rsid w:val="00B143BF"/>
    <w:rsid w:val="00B14496"/>
    <w:rsid w:val="00B14497"/>
    <w:rsid w:val="00B1449F"/>
    <w:rsid w:val="00B14561"/>
    <w:rsid w:val="00B145FA"/>
    <w:rsid w:val="00B14632"/>
    <w:rsid w:val="00B14678"/>
    <w:rsid w:val="00B1471D"/>
    <w:rsid w:val="00B147A0"/>
    <w:rsid w:val="00B148DB"/>
    <w:rsid w:val="00B1494D"/>
    <w:rsid w:val="00B14970"/>
    <w:rsid w:val="00B149D2"/>
    <w:rsid w:val="00B14A65"/>
    <w:rsid w:val="00B14A68"/>
    <w:rsid w:val="00B14B51"/>
    <w:rsid w:val="00B14B5A"/>
    <w:rsid w:val="00B14C04"/>
    <w:rsid w:val="00B14DA0"/>
    <w:rsid w:val="00B14DFA"/>
    <w:rsid w:val="00B14E8A"/>
    <w:rsid w:val="00B14F39"/>
    <w:rsid w:val="00B14F85"/>
    <w:rsid w:val="00B14FA1"/>
    <w:rsid w:val="00B14FC4"/>
    <w:rsid w:val="00B14FC8"/>
    <w:rsid w:val="00B14FF2"/>
    <w:rsid w:val="00B15052"/>
    <w:rsid w:val="00B15084"/>
    <w:rsid w:val="00B1508B"/>
    <w:rsid w:val="00B15186"/>
    <w:rsid w:val="00B151B3"/>
    <w:rsid w:val="00B151F6"/>
    <w:rsid w:val="00B151FE"/>
    <w:rsid w:val="00B152BA"/>
    <w:rsid w:val="00B152D4"/>
    <w:rsid w:val="00B152F5"/>
    <w:rsid w:val="00B154D9"/>
    <w:rsid w:val="00B1550A"/>
    <w:rsid w:val="00B1562D"/>
    <w:rsid w:val="00B15661"/>
    <w:rsid w:val="00B1569C"/>
    <w:rsid w:val="00B1571F"/>
    <w:rsid w:val="00B1573B"/>
    <w:rsid w:val="00B1574D"/>
    <w:rsid w:val="00B158D6"/>
    <w:rsid w:val="00B1590A"/>
    <w:rsid w:val="00B159C2"/>
    <w:rsid w:val="00B15A27"/>
    <w:rsid w:val="00B15AC8"/>
    <w:rsid w:val="00B15B1F"/>
    <w:rsid w:val="00B15B81"/>
    <w:rsid w:val="00B15C30"/>
    <w:rsid w:val="00B15C64"/>
    <w:rsid w:val="00B15EDA"/>
    <w:rsid w:val="00B15F4E"/>
    <w:rsid w:val="00B15F93"/>
    <w:rsid w:val="00B16053"/>
    <w:rsid w:val="00B16157"/>
    <w:rsid w:val="00B16214"/>
    <w:rsid w:val="00B16371"/>
    <w:rsid w:val="00B16392"/>
    <w:rsid w:val="00B1640D"/>
    <w:rsid w:val="00B16502"/>
    <w:rsid w:val="00B1654C"/>
    <w:rsid w:val="00B16679"/>
    <w:rsid w:val="00B166F8"/>
    <w:rsid w:val="00B16703"/>
    <w:rsid w:val="00B1672F"/>
    <w:rsid w:val="00B168AA"/>
    <w:rsid w:val="00B168AB"/>
    <w:rsid w:val="00B1699B"/>
    <w:rsid w:val="00B16A44"/>
    <w:rsid w:val="00B16A59"/>
    <w:rsid w:val="00B16A7F"/>
    <w:rsid w:val="00B16A8C"/>
    <w:rsid w:val="00B16B51"/>
    <w:rsid w:val="00B16BCC"/>
    <w:rsid w:val="00B16C89"/>
    <w:rsid w:val="00B16CD1"/>
    <w:rsid w:val="00B16D21"/>
    <w:rsid w:val="00B16D4C"/>
    <w:rsid w:val="00B16DF4"/>
    <w:rsid w:val="00B16E0D"/>
    <w:rsid w:val="00B16E7B"/>
    <w:rsid w:val="00B16EBA"/>
    <w:rsid w:val="00B16EF3"/>
    <w:rsid w:val="00B16F39"/>
    <w:rsid w:val="00B16F5E"/>
    <w:rsid w:val="00B17011"/>
    <w:rsid w:val="00B17134"/>
    <w:rsid w:val="00B1719B"/>
    <w:rsid w:val="00B171DF"/>
    <w:rsid w:val="00B1721E"/>
    <w:rsid w:val="00B17313"/>
    <w:rsid w:val="00B17394"/>
    <w:rsid w:val="00B174B0"/>
    <w:rsid w:val="00B174D2"/>
    <w:rsid w:val="00B17662"/>
    <w:rsid w:val="00B176EE"/>
    <w:rsid w:val="00B17703"/>
    <w:rsid w:val="00B1776A"/>
    <w:rsid w:val="00B17859"/>
    <w:rsid w:val="00B17896"/>
    <w:rsid w:val="00B17904"/>
    <w:rsid w:val="00B179BF"/>
    <w:rsid w:val="00B17B22"/>
    <w:rsid w:val="00B17B94"/>
    <w:rsid w:val="00B17CB2"/>
    <w:rsid w:val="00B17CDA"/>
    <w:rsid w:val="00B17DC1"/>
    <w:rsid w:val="00B17E95"/>
    <w:rsid w:val="00B17F05"/>
    <w:rsid w:val="00B17F4C"/>
    <w:rsid w:val="00B17FA8"/>
    <w:rsid w:val="00B200B1"/>
    <w:rsid w:val="00B2014D"/>
    <w:rsid w:val="00B20154"/>
    <w:rsid w:val="00B20168"/>
    <w:rsid w:val="00B20403"/>
    <w:rsid w:val="00B20445"/>
    <w:rsid w:val="00B2048E"/>
    <w:rsid w:val="00B204CF"/>
    <w:rsid w:val="00B205B5"/>
    <w:rsid w:val="00B206A3"/>
    <w:rsid w:val="00B20701"/>
    <w:rsid w:val="00B20707"/>
    <w:rsid w:val="00B20713"/>
    <w:rsid w:val="00B20790"/>
    <w:rsid w:val="00B20A73"/>
    <w:rsid w:val="00B20A93"/>
    <w:rsid w:val="00B20B4E"/>
    <w:rsid w:val="00B20C9B"/>
    <w:rsid w:val="00B20D74"/>
    <w:rsid w:val="00B20DD6"/>
    <w:rsid w:val="00B20DDC"/>
    <w:rsid w:val="00B20E28"/>
    <w:rsid w:val="00B20E4C"/>
    <w:rsid w:val="00B20F17"/>
    <w:rsid w:val="00B20F8C"/>
    <w:rsid w:val="00B20F9A"/>
    <w:rsid w:val="00B20FAF"/>
    <w:rsid w:val="00B210C7"/>
    <w:rsid w:val="00B21125"/>
    <w:rsid w:val="00B2115B"/>
    <w:rsid w:val="00B2123C"/>
    <w:rsid w:val="00B2131D"/>
    <w:rsid w:val="00B2132E"/>
    <w:rsid w:val="00B213C7"/>
    <w:rsid w:val="00B213E4"/>
    <w:rsid w:val="00B213ED"/>
    <w:rsid w:val="00B213FA"/>
    <w:rsid w:val="00B21408"/>
    <w:rsid w:val="00B2146A"/>
    <w:rsid w:val="00B216A2"/>
    <w:rsid w:val="00B21720"/>
    <w:rsid w:val="00B2174B"/>
    <w:rsid w:val="00B21775"/>
    <w:rsid w:val="00B217C4"/>
    <w:rsid w:val="00B2182C"/>
    <w:rsid w:val="00B2184B"/>
    <w:rsid w:val="00B21872"/>
    <w:rsid w:val="00B218CB"/>
    <w:rsid w:val="00B21A85"/>
    <w:rsid w:val="00B21B49"/>
    <w:rsid w:val="00B21B9B"/>
    <w:rsid w:val="00B21BA7"/>
    <w:rsid w:val="00B21CCE"/>
    <w:rsid w:val="00B21D1B"/>
    <w:rsid w:val="00B21D5E"/>
    <w:rsid w:val="00B21DD0"/>
    <w:rsid w:val="00B21E33"/>
    <w:rsid w:val="00B21F35"/>
    <w:rsid w:val="00B21FAB"/>
    <w:rsid w:val="00B2203F"/>
    <w:rsid w:val="00B220A0"/>
    <w:rsid w:val="00B220B4"/>
    <w:rsid w:val="00B2217C"/>
    <w:rsid w:val="00B221ED"/>
    <w:rsid w:val="00B2222E"/>
    <w:rsid w:val="00B2239C"/>
    <w:rsid w:val="00B223E3"/>
    <w:rsid w:val="00B224E5"/>
    <w:rsid w:val="00B225BD"/>
    <w:rsid w:val="00B225FA"/>
    <w:rsid w:val="00B2262A"/>
    <w:rsid w:val="00B22802"/>
    <w:rsid w:val="00B22998"/>
    <w:rsid w:val="00B22A9A"/>
    <w:rsid w:val="00B22AC5"/>
    <w:rsid w:val="00B22E4D"/>
    <w:rsid w:val="00B22EB4"/>
    <w:rsid w:val="00B2310D"/>
    <w:rsid w:val="00B231AE"/>
    <w:rsid w:val="00B231D8"/>
    <w:rsid w:val="00B2327C"/>
    <w:rsid w:val="00B2328F"/>
    <w:rsid w:val="00B233AA"/>
    <w:rsid w:val="00B233DA"/>
    <w:rsid w:val="00B233FA"/>
    <w:rsid w:val="00B2345B"/>
    <w:rsid w:val="00B23517"/>
    <w:rsid w:val="00B2360F"/>
    <w:rsid w:val="00B2363F"/>
    <w:rsid w:val="00B23761"/>
    <w:rsid w:val="00B23763"/>
    <w:rsid w:val="00B238C6"/>
    <w:rsid w:val="00B239EA"/>
    <w:rsid w:val="00B23C2E"/>
    <w:rsid w:val="00B23C84"/>
    <w:rsid w:val="00B23CBE"/>
    <w:rsid w:val="00B23D0C"/>
    <w:rsid w:val="00B23D40"/>
    <w:rsid w:val="00B23E93"/>
    <w:rsid w:val="00B23EF0"/>
    <w:rsid w:val="00B23F13"/>
    <w:rsid w:val="00B23FB2"/>
    <w:rsid w:val="00B24005"/>
    <w:rsid w:val="00B24207"/>
    <w:rsid w:val="00B24284"/>
    <w:rsid w:val="00B242EE"/>
    <w:rsid w:val="00B242FE"/>
    <w:rsid w:val="00B24327"/>
    <w:rsid w:val="00B2435C"/>
    <w:rsid w:val="00B2437F"/>
    <w:rsid w:val="00B243B8"/>
    <w:rsid w:val="00B24406"/>
    <w:rsid w:val="00B2473D"/>
    <w:rsid w:val="00B247ED"/>
    <w:rsid w:val="00B24835"/>
    <w:rsid w:val="00B2484F"/>
    <w:rsid w:val="00B2487B"/>
    <w:rsid w:val="00B248A9"/>
    <w:rsid w:val="00B24949"/>
    <w:rsid w:val="00B24960"/>
    <w:rsid w:val="00B24973"/>
    <w:rsid w:val="00B249FD"/>
    <w:rsid w:val="00B24A92"/>
    <w:rsid w:val="00B24AD2"/>
    <w:rsid w:val="00B24B05"/>
    <w:rsid w:val="00B24BC2"/>
    <w:rsid w:val="00B24BEF"/>
    <w:rsid w:val="00B24C52"/>
    <w:rsid w:val="00B24CA2"/>
    <w:rsid w:val="00B24CBD"/>
    <w:rsid w:val="00B24EBC"/>
    <w:rsid w:val="00B24EDA"/>
    <w:rsid w:val="00B24F12"/>
    <w:rsid w:val="00B24F68"/>
    <w:rsid w:val="00B25025"/>
    <w:rsid w:val="00B2518D"/>
    <w:rsid w:val="00B251A6"/>
    <w:rsid w:val="00B2528B"/>
    <w:rsid w:val="00B25430"/>
    <w:rsid w:val="00B25439"/>
    <w:rsid w:val="00B2553A"/>
    <w:rsid w:val="00B25574"/>
    <w:rsid w:val="00B25581"/>
    <w:rsid w:val="00B256D4"/>
    <w:rsid w:val="00B25710"/>
    <w:rsid w:val="00B25763"/>
    <w:rsid w:val="00B2576E"/>
    <w:rsid w:val="00B257BD"/>
    <w:rsid w:val="00B258A5"/>
    <w:rsid w:val="00B259A5"/>
    <w:rsid w:val="00B259CD"/>
    <w:rsid w:val="00B25A54"/>
    <w:rsid w:val="00B25AA0"/>
    <w:rsid w:val="00B25AD6"/>
    <w:rsid w:val="00B25ADD"/>
    <w:rsid w:val="00B25BD9"/>
    <w:rsid w:val="00B25D41"/>
    <w:rsid w:val="00B25D83"/>
    <w:rsid w:val="00B25EAD"/>
    <w:rsid w:val="00B25EFD"/>
    <w:rsid w:val="00B2613B"/>
    <w:rsid w:val="00B26146"/>
    <w:rsid w:val="00B26194"/>
    <w:rsid w:val="00B26213"/>
    <w:rsid w:val="00B2633F"/>
    <w:rsid w:val="00B2643E"/>
    <w:rsid w:val="00B26473"/>
    <w:rsid w:val="00B26524"/>
    <w:rsid w:val="00B2653B"/>
    <w:rsid w:val="00B26560"/>
    <w:rsid w:val="00B265CC"/>
    <w:rsid w:val="00B265F8"/>
    <w:rsid w:val="00B26631"/>
    <w:rsid w:val="00B266F4"/>
    <w:rsid w:val="00B2672D"/>
    <w:rsid w:val="00B2679E"/>
    <w:rsid w:val="00B267AC"/>
    <w:rsid w:val="00B267BD"/>
    <w:rsid w:val="00B268C9"/>
    <w:rsid w:val="00B26993"/>
    <w:rsid w:val="00B269F6"/>
    <w:rsid w:val="00B26AF0"/>
    <w:rsid w:val="00B26B24"/>
    <w:rsid w:val="00B26D9A"/>
    <w:rsid w:val="00B26DAD"/>
    <w:rsid w:val="00B26E3F"/>
    <w:rsid w:val="00B26FF8"/>
    <w:rsid w:val="00B27049"/>
    <w:rsid w:val="00B27070"/>
    <w:rsid w:val="00B27116"/>
    <w:rsid w:val="00B27129"/>
    <w:rsid w:val="00B2726B"/>
    <w:rsid w:val="00B272E5"/>
    <w:rsid w:val="00B272EE"/>
    <w:rsid w:val="00B2734C"/>
    <w:rsid w:val="00B274A7"/>
    <w:rsid w:val="00B2752F"/>
    <w:rsid w:val="00B27530"/>
    <w:rsid w:val="00B2757D"/>
    <w:rsid w:val="00B275B6"/>
    <w:rsid w:val="00B27645"/>
    <w:rsid w:val="00B2768A"/>
    <w:rsid w:val="00B27749"/>
    <w:rsid w:val="00B277FC"/>
    <w:rsid w:val="00B27850"/>
    <w:rsid w:val="00B27870"/>
    <w:rsid w:val="00B27984"/>
    <w:rsid w:val="00B279C9"/>
    <w:rsid w:val="00B27A14"/>
    <w:rsid w:val="00B27A52"/>
    <w:rsid w:val="00B27B73"/>
    <w:rsid w:val="00B27C21"/>
    <w:rsid w:val="00B27D21"/>
    <w:rsid w:val="00B27DDE"/>
    <w:rsid w:val="00B27E0E"/>
    <w:rsid w:val="00B27E9D"/>
    <w:rsid w:val="00B27EF0"/>
    <w:rsid w:val="00B27F02"/>
    <w:rsid w:val="00B27FB4"/>
    <w:rsid w:val="00B30028"/>
    <w:rsid w:val="00B3006E"/>
    <w:rsid w:val="00B30146"/>
    <w:rsid w:val="00B301FB"/>
    <w:rsid w:val="00B3024C"/>
    <w:rsid w:val="00B302BB"/>
    <w:rsid w:val="00B30343"/>
    <w:rsid w:val="00B30414"/>
    <w:rsid w:val="00B3046B"/>
    <w:rsid w:val="00B30515"/>
    <w:rsid w:val="00B3061F"/>
    <w:rsid w:val="00B30687"/>
    <w:rsid w:val="00B30748"/>
    <w:rsid w:val="00B307EF"/>
    <w:rsid w:val="00B3088D"/>
    <w:rsid w:val="00B3089A"/>
    <w:rsid w:val="00B308B9"/>
    <w:rsid w:val="00B308E7"/>
    <w:rsid w:val="00B309EA"/>
    <w:rsid w:val="00B30AA4"/>
    <w:rsid w:val="00B30AEC"/>
    <w:rsid w:val="00B30B10"/>
    <w:rsid w:val="00B30C35"/>
    <w:rsid w:val="00B30C3C"/>
    <w:rsid w:val="00B30C7F"/>
    <w:rsid w:val="00B30C8E"/>
    <w:rsid w:val="00B30CCF"/>
    <w:rsid w:val="00B30D2D"/>
    <w:rsid w:val="00B30D45"/>
    <w:rsid w:val="00B30D58"/>
    <w:rsid w:val="00B30E1C"/>
    <w:rsid w:val="00B30E21"/>
    <w:rsid w:val="00B30EE0"/>
    <w:rsid w:val="00B30F08"/>
    <w:rsid w:val="00B31066"/>
    <w:rsid w:val="00B3107C"/>
    <w:rsid w:val="00B310CB"/>
    <w:rsid w:val="00B3117C"/>
    <w:rsid w:val="00B312D7"/>
    <w:rsid w:val="00B3137E"/>
    <w:rsid w:val="00B313D3"/>
    <w:rsid w:val="00B31434"/>
    <w:rsid w:val="00B3148E"/>
    <w:rsid w:val="00B314D1"/>
    <w:rsid w:val="00B3162D"/>
    <w:rsid w:val="00B316A5"/>
    <w:rsid w:val="00B316C8"/>
    <w:rsid w:val="00B316FA"/>
    <w:rsid w:val="00B31776"/>
    <w:rsid w:val="00B31856"/>
    <w:rsid w:val="00B31882"/>
    <w:rsid w:val="00B318DE"/>
    <w:rsid w:val="00B31928"/>
    <w:rsid w:val="00B3194A"/>
    <w:rsid w:val="00B3197A"/>
    <w:rsid w:val="00B31AE6"/>
    <w:rsid w:val="00B31B3F"/>
    <w:rsid w:val="00B31BC7"/>
    <w:rsid w:val="00B31C91"/>
    <w:rsid w:val="00B31D03"/>
    <w:rsid w:val="00B31D3C"/>
    <w:rsid w:val="00B31D4C"/>
    <w:rsid w:val="00B31E23"/>
    <w:rsid w:val="00B31E3A"/>
    <w:rsid w:val="00B31EC6"/>
    <w:rsid w:val="00B31EC7"/>
    <w:rsid w:val="00B31EEC"/>
    <w:rsid w:val="00B31F81"/>
    <w:rsid w:val="00B31F89"/>
    <w:rsid w:val="00B31FD5"/>
    <w:rsid w:val="00B3215F"/>
    <w:rsid w:val="00B321B1"/>
    <w:rsid w:val="00B321EE"/>
    <w:rsid w:val="00B321F4"/>
    <w:rsid w:val="00B3228E"/>
    <w:rsid w:val="00B32311"/>
    <w:rsid w:val="00B32368"/>
    <w:rsid w:val="00B32414"/>
    <w:rsid w:val="00B32434"/>
    <w:rsid w:val="00B324D8"/>
    <w:rsid w:val="00B325B4"/>
    <w:rsid w:val="00B325D4"/>
    <w:rsid w:val="00B325EA"/>
    <w:rsid w:val="00B326A9"/>
    <w:rsid w:val="00B3277E"/>
    <w:rsid w:val="00B32821"/>
    <w:rsid w:val="00B32833"/>
    <w:rsid w:val="00B32849"/>
    <w:rsid w:val="00B3284C"/>
    <w:rsid w:val="00B32875"/>
    <w:rsid w:val="00B3287B"/>
    <w:rsid w:val="00B328CF"/>
    <w:rsid w:val="00B328F6"/>
    <w:rsid w:val="00B329AE"/>
    <w:rsid w:val="00B329F6"/>
    <w:rsid w:val="00B32A61"/>
    <w:rsid w:val="00B32B53"/>
    <w:rsid w:val="00B32B5F"/>
    <w:rsid w:val="00B32D7B"/>
    <w:rsid w:val="00B32E99"/>
    <w:rsid w:val="00B32FB5"/>
    <w:rsid w:val="00B33120"/>
    <w:rsid w:val="00B331B6"/>
    <w:rsid w:val="00B331C8"/>
    <w:rsid w:val="00B331DA"/>
    <w:rsid w:val="00B331E1"/>
    <w:rsid w:val="00B333B1"/>
    <w:rsid w:val="00B3358E"/>
    <w:rsid w:val="00B335A6"/>
    <w:rsid w:val="00B3363D"/>
    <w:rsid w:val="00B3364C"/>
    <w:rsid w:val="00B3367D"/>
    <w:rsid w:val="00B336FC"/>
    <w:rsid w:val="00B337EA"/>
    <w:rsid w:val="00B3386A"/>
    <w:rsid w:val="00B3389C"/>
    <w:rsid w:val="00B338FB"/>
    <w:rsid w:val="00B3396A"/>
    <w:rsid w:val="00B33A2E"/>
    <w:rsid w:val="00B33A50"/>
    <w:rsid w:val="00B33A9A"/>
    <w:rsid w:val="00B33B11"/>
    <w:rsid w:val="00B33BDD"/>
    <w:rsid w:val="00B33C3A"/>
    <w:rsid w:val="00B33CFE"/>
    <w:rsid w:val="00B33D1E"/>
    <w:rsid w:val="00B33F97"/>
    <w:rsid w:val="00B33FA5"/>
    <w:rsid w:val="00B3406F"/>
    <w:rsid w:val="00B340BF"/>
    <w:rsid w:val="00B340EC"/>
    <w:rsid w:val="00B3410A"/>
    <w:rsid w:val="00B34245"/>
    <w:rsid w:val="00B3428B"/>
    <w:rsid w:val="00B342F5"/>
    <w:rsid w:val="00B3432A"/>
    <w:rsid w:val="00B343BC"/>
    <w:rsid w:val="00B34540"/>
    <w:rsid w:val="00B345C7"/>
    <w:rsid w:val="00B34755"/>
    <w:rsid w:val="00B34770"/>
    <w:rsid w:val="00B34798"/>
    <w:rsid w:val="00B34839"/>
    <w:rsid w:val="00B34863"/>
    <w:rsid w:val="00B348C0"/>
    <w:rsid w:val="00B348F0"/>
    <w:rsid w:val="00B34923"/>
    <w:rsid w:val="00B3497D"/>
    <w:rsid w:val="00B34A4B"/>
    <w:rsid w:val="00B34B47"/>
    <w:rsid w:val="00B34B50"/>
    <w:rsid w:val="00B34B73"/>
    <w:rsid w:val="00B34BA1"/>
    <w:rsid w:val="00B34C1E"/>
    <w:rsid w:val="00B34C5C"/>
    <w:rsid w:val="00B34CEC"/>
    <w:rsid w:val="00B34D6B"/>
    <w:rsid w:val="00B34D6C"/>
    <w:rsid w:val="00B34D84"/>
    <w:rsid w:val="00B34DA9"/>
    <w:rsid w:val="00B34F04"/>
    <w:rsid w:val="00B34F70"/>
    <w:rsid w:val="00B34FC2"/>
    <w:rsid w:val="00B35016"/>
    <w:rsid w:val="00B350BA"/>
    <w:rsid w:val="00B351A5"/>
    <w:rsid w:val="00B351C8"/>
    <w:rsid w:val="00B351E2"/>
    <w:rsid w:val="00B3529E"/>
    <w:rsid w:val="00B352D9"/>
    <w:rsid w:val="00B35375"/>
    <w:rsid w:val="00B35436"/>
    <w:rsid w:val="00B3545B"/>
    <w:rsid w:val="00B354D4"/>
    <w:rsid w:val="00B354FD"/>
    <w:rsid w:val="00B3556D"/>
    <w:rsid w:val="00B35721"/>
    <w:rsid w:val="00B3580B"/>
    <w:rsid w:val="00B3583B"/>
    <w:rsid w:val="00B358B9"/>
    <w:rsid w:val="00B35944"/>
    <w:rsid w:val="00B35C23"/>
    <w:rsid w:val="00B35C63"/>
    <w:rsid w:val="00B35CA5"/>
    <w:rsid w:val="00B35CBB"/>
    <w:rsid w:val="00B35E22"/>
    <w:rsid w:val="00B36029"/>
    <w:rsid w:val="00B3602B"/>
    <w:rsid w:val="00B360CB"/>
    <w:rsid w:val="00B3611E"/>
    <w:rsid w:val="00B3616B"/>
    <w:rsid w:val="00B3621F"/>
    <w:rsid w:val="00B36244"/>
    <w:rsid w:val="00B362D1"/>
    <w:rsid w:val="00B36348"/>
    <w:rsid w:val="00B3638B"/>
    <w:rsid w:val="00B36570"/>
    <w:rsid w:val="00B365BD"/>
    <w:rsid w:val="00B365F2"/>
    <w:rsid w:val="00B3675A"/>
    <w:rsid w:val="00B36797"/>
    <w:rsid w:val="00B367C8"/>
    <w:rsid w:val="00B367EA"/>
    <w:rsid w:val="00B36820"/>
    <w:rsid w:val="00B36895"/>
    <w:rsid w:val="00B36986"/>
    <w:rsid w:val="00B369ED"/>
    <w:rsid w:val="00B36B8C"/>
    <w:rsid w:val="00B36BA1"/>
    <w:rsid w:val="00B36C3A"/>
    <w:rsid w:val="00B36E92"/>
    <w:rsid w:val="00B36FB2"/>
    <w:rsid w:val="00B37055"/>
    <w:rsid w:val="00B370CA"/>
    <w:rsid w:val="00B37140"/>
    <w:rsid w:val="00B37296"/>
    <w:rsid w:val="00B37313"/>
    <w:rsid w:val="00B373CD"/>
    <w:rsid w:val="00B373D9"/>
    <w:rsid w:val="00B3742D"/>
    <w:rsid w:val="00B374B4"/>
    <w:rsid w:val="00B374EF"/>
    <w:rsid w:val="00B3758C"/>
    <w:rsid w:val="00B37598"/>
    <w:rsid w:val="00B3766D"/>
    <w:rsid w:val="00B376A2"/>
    <w:rsid w:val="00B376EA"/>
    <w:rsid w:val="00B3771E"/>
    <w:rsid w:val="00B37778"/>
    <w:rsid w:val="00B37787"/>
    <w:rsid w:val="00B37820"/>
    <w:rsid w:val="00B37B76"/>
    <w:rsid w:val="00B37BBF"/>
    <w:rsid w:val="00B37C76"/>
    <w:rsid w:val="00B37CB4"/>
    <w:rsid w:val="00B37CB7"/>
    <w:rsid w:val="00B37DCB"/>
    <w:rsid w:val="00B37E16"/>
    <w:rsid w:val="00B37E61"/>
    <w:rsid w:val="00B37FD4"/>
    <w:rsid w:val="00B4008C"/>
    <w:rsid w:val="00B400FE"/>
    <w:rsid w:val="00B4011A"/>
    <w:rsid w:val="00B4011D"/>
    <w:rsid w:val="00B40146"/>
    <w:rsid w:val="00B40225"/>
    <w:rsid w:val="00B4036B"/>
    <w:rsid w:val="00B4041F"/>
    <w:rsid w:val="00B40451"/>
    <w:rsid w:val="00B40452"/>
    <w:rsid w:val="00B4054F"/>
    <w:rsid w:val="00B405D3"/>
    <w:rsid w:val="00B406F2"/>
    <w:rsid w:val="00B4073B"/>
    <w:rsid w:val="00B407D1"/>
    <w:rsid w:val="00B4084C"/>
    <w:rsid w:val="00B4089E"/>
    <w:rsid w:val="00B408A5"/>
    <w:rsid w:val="00B40906"/>
    <w:rsid w:val="00B409D9"/>
    <w:rsid w:val="00B40A0D"/>
    <w:rsid w:val="00B40A2B"/>
    <w:rsid w:val="00B40A7F"/>
    <w:rsid w:val="00B40B7D"/>
    <w:rsid w:val="00B40BB2"/>
    <w:rsid w:val="00B40D30"/>
    <w:rsid w:val="00B40D75"/>
    <w:rsid w:val="00B40E35"/>
    <w:rsid w:val="00B40E4E"/>
    <w:rsid w:val="00B40E76"/>
    <w:rsid w:val="00B40E98"/>
    <w:rsid w:val="00B40F43"/>
    <w:rsid w:val="00B40F77"/>
    <w:rsid w:val="00B40F8A"/>
    <w:rsid w:val="00B41015"/>
    <w:rsid w:val="00B411E8"/>
    <w:rsid w:val="00B411EA"/>
    <w:rsid w:val="00B41230"/>
    <w:rsid w:val="00B41275"/>
    <w:rsid w:val="00B4140A"/>
    <w:rsid w:val="00B41463"/>
    <w:rsid w:val="00B4148E"/>
    <w:rsid w:val="00B414A4"/>
    <w:rsid w:val="00B41529"/>
    <w:rsid w:val="00B415FC"/>
    <w:rsid w:val="00B41909"/>
    <w:rsid w:val="00B41959"/>
    <w:rsid w:val="00B41969"/>
    <w:rsid w:val="00B41A48"/>
    <w:rsid w:val="00B41A9B"/>
    <w:rsid w:val="00B41B60"/>
    <w:rsid w:val="00B41BCA"/>
    <w:rsid w:val="00B41CE0"/>
    <w:rsid w:val="00B41D36"/>
    <w:rsid w:val="00B41D63"/>
    <w:rsid w:val="00B41DBE"/>
    <w:rsid w:val="00B41DED"/>
    <w:rsid w:val="00B42154"/>
    <w:rsid w:val="00B42233"/>
    <w:rsid w:val="00B4231B"/>
    <w:rsid w:val="00B4236D"/>
    <w:rsid w:val="00B42392"/>
    <w:rsid w:val="00B424C8"/>
    <w:rsid w:val="00B4257B"/>
    <w:rsid w:val="00B4263A"/>
    <w:rsid w:val="00B427DC"/>
    <w:rsid w:val="00B4284E"/>
    <w:rsid w:val="00B4285D"/>
    <w:rsid w:val="00B42942"/>
    <w:rsid w:val="00B4294B"/>
    <w:rsid w:val="00B42A48"/>
    <w:rsid w:val="00B42A73"/>
    <w:rsid w:val="00B42A9A"/>
    <w:rsid w:val="00B42AD2"/>
    <w:rsid w:val="00B42AD5"/>
    <w:rsid w:val="00B42B53"/>
    <w:rsid w:val="00B42C1C"/>
    <w:rsid w:val="00B42C7E"/>
    <w:rsid w:val="00B42CB5"/>
    <w:rsid w:val="00B42D0B"/>
    <w:rsid w:val="00B42D0E"/>
    <w:rsid w:val="00B42D99"/>
    <w:rsid w:val="00B42E28"/>
    <w:rsid w:val="00B42E6F"/>
    <w:rsid w:val="00B42E9A"/>
    <w:rsid w:val="00B42F08"/>
    <w:rsid w:val="00B42F39"/>
    <w:rsid w:val="00B42FFB"/>
    <w:rsid w:val="00B4305F"/>
    <w:rsid w:val="00B43071"/>
    <w:rsid w:val="00B43085"/>
    <w:rsid w:val="00B430F6"/>
    <w:rsid w:val="00B43112"/>
    <w:rsid w:val="00B4316E"/>
    <w:rsid w:val="00B43279"/>
    <w:rsid w:val="00B43352"/>
    <w:rsid w:val="00B433A6"/>
    <w:rsid w:val="00B433B0"/>
    <w:rsid w:val="00B434F6"/>
    <w:rsid w:val="00B43576"/>
    <w:rsid w:val="00B4359E"/>
    <w:rsid w:val="00B435BD"/>
    <w:rsid w:val="00B43642"/>
    <w:rsid w:val="00B43674"/>
    <w:rsid w:val="00B43681"/>
    <w:rsid w:val="00B43915"/>
    <w:rsid w:val="00B43916"/>
    <w:rsid w:val="00B43919"/>
    <w:rsid w:val="00B43ADB"/>
    <w:rsid w:val="00B43B29"/>
    <w:rsid w:val="00B43BD9"/>
    <w:rsid w:val="00B43BE1"/>
    <w:rsid w:val="00B43C69"/>
    <w:rsid w:val="00B43CBD"/>
    <w:rsid w:val="00B43D83"/>
    <w:rsid w:val="00B43EFA"/>
    <w:rsid w:val="00B43FAB"/>
    <w:rsid w:val="00B43FCB"/>
    <w:rsid w:val="00B43FD6"/>
    <w:rsid w:val="00B44053"/>
    <w:rsid w:val="00B4413B"/>
    <w:rsid w:val="00B4426E"/>
    <w:rsid w:val="00B4427E"/>
    <w:rsid w:val="00B4429A"/>
    <w:rsid w:val="00B4435B"/>
    <w:rsid w:val="00B44489"/>
    <w:rsid w:val="00B444C5"/>
    <w:rsid w:val="00B44525"/>
    <w:rsid w:val="00B44563"/>
    <w:rsid w:val="00B44641"/>
    <w:rsid w:val="00B4464A"/>
    <w:rsid w:val="00B4472A"/>
    <w:rsid w:val="00B4473C"/>
    <w:rsid w:val="00B44750"/>
    <w:rsid w:val="00B44760"/>
    <w:rsid w:val="00B44876"/>
    <w:rsid w:val="00B448B9"/>
    <w:rsid w:val="00B448DC"/>
    <w:rsid w:val="00B4490E"/>
    <w:rsid w:val="00B44986"/>
    <w:rsid w:val="00B449CD"/>
    <w:rsid w:val="00B44A8B"/>
    <w:rsid w:val="00B44B04"/>
    <w:rsid w:val="00B44B62"/>
    <w:rsid w:val="00B44B9B"/>
    <w:rsid w:val="00B44BFB"/>
    <w:rsid w:val="00B44C0F"/>
    <w:rsid w:val="00B44C1E"/>
    <w:rsid w:val="00B44C4A"/>
    <w:rsid w:val="00B44C5F"/>
    <w:rsid w:val="00B44CC3"/>
    <w:rsid w:val="00B44D82"/>
    <w:rsid w:val="00B44D95"/>
    <w:rsid w:val="00B44E0A"/>
    <w:rsid w:val="00B44E42"/>
    <w:rsid w:val="00B44EB1"/>
    <w:rsid w:val="00B44F15"/>
    <w:rsid w:val="00B44F8E"/>
    <w:rsid w:val="00B450A8"/>
    <w:rsid w:val="00B4515B"/>
    <w:rsid w:val="00B45232"/>
    <w:rsid w:val="00B45357"/>
    <w:rsid w:val="00B45402"/>
    <w:rsid w:val="00B4541D"/>
    <w:rsid w:val="00B45478"/>
    <w:rsid w:val="00B454CF"/>
    <w:rsid w:val="00B454D3"/>
    <w:rsid w:val="00B455F8"/>
    <w:rsid w:val="00B45802"/>
    <w:rsid w:val="00B45853"/>
    <w:rsid w:val="00B4594B"/>
    <w:rsid w:val="00B45A12"/>
    <w:rsid w:val="00B45A15"/>
    <w:rsid w:val="00B45AB5"/>
    <w:rsid w:val="00B45B5A"/>
    <w:rsid w:val="00B45B7F"/>
    <w:rsid w:val="00B45C1D"/>
    <w:rsid w:val="00B45CA2"/>
    <w:rsid w:val="00B45D4A"/>
    <w:rsid w:val="00B45D53"/>
    <w:rsid w:val="00B45DA2"/>
    <w:rsid w:val="00B45DA5"/>
    <w:rsid w:val="00B45E34"/>
    <w:rsid w:val="00B45EF9"/>
    <w:rsid w:val="00B46024"/>
    <w:rsid w:val="00B4609D"/>
    <w:rsid w:val="00B4609E"/>
    <w:rsid w:val="00B460E2"/>
    <w:rsid w:val="00B46110"/>
    <w:rsid w:val="00B4614C"/>
    <w:rsid w:val="00B462BC"/>
    <w:rsid w:val="00B462E2"/>
    <w:rsid w:val="00B46357"/>
    <w:rsid w:val="00B46403"/>
    <w:rsid w:val="00B464B6"/>
    <w:rsid w:val="00B46568"/>
    <w:rsid w:val="00B46588"/>
    <w:rsid w:val="00B46589"/>
    <w:rsid w:val="00B465DC"/>
    <w:rsid w:val="00B4660E"/>
    <w:rsid w:val="00B46649"/>
    <w:rsid w:val="00B466A2"/>
    <w:rsid w:val="00B466E0"/>
    <w:rsid w:val="00B4670C"/>
    <w:rsid w:val="00B4679F"/>
    <w:rsid w:val="00B468A6"/>
    <w:rsid w:val="00B468DC"/>
    <w:rsid w:val="00B4694C"/>
    <w:rsid w:val="00B46971"/>
    <w:rsid w:val="00B469F5"/>
    <w:rsid w:val="00B46A2C"/>
    <w:rsid w:val="00B46B05"/>
    <w:rsid w:val="00B46BF5"/>
    <w:rsid w:val="00B46D4B"/>
    <w:rsid w:val="00B46DD1"/>
    <w:rsid w:val="00B46E11"/>
    <w:rsid w:val="00B46E17"/>
    <w:rsid w:val="00B47206"/>
    <w:rsid w:val="00B473E3"/>
    <w:rsid w:val="00B47458"/>
    <w:rsid w:val="00B474B2"/>
    <w:rsid w:val="00B474B3"/>
    <w:rsid w:val="00B4767C"/>
    <w:rsid w:val="00B47690"/>
    <w:rsid w:val="00B476A0"/>
    <w:rsid w:val="00B476FC"/>
    <w:rsid w:val="00B4773F"/>
    <w:rsid w:val="00B47798"/>
    <w:rsid w:val="00B4780E"/>
    <w:rsid w:val="00B478F7"/>
    <w:rsid w:val="00B479EB"/>
    <w:rsid w:val="00B47A3D"/>
    <w:rsid w:val="00B47ABD"/>
    <w:rsid w:val="00B47BCD"/>
    <w:rsid w:val="00B47CA4"/>
    <w:rsid w:val="00B47DE5"/>
    <w:rsid w:val="00B47E06"/>
    <w:rsid w:val="00B47ECD"/>
    <w:rsid w:val="00B47ECE"/>
    <w:rsid w:val="00B47F34"/>
    <w:rsid w:val="00B47FAF"/>
    <w:rsid w:val="00B50010"/>
    <w:rsid w:val="00B5002E"/>
    <w:rsid w:val="00B50128"/>
    <w:rsid w:val="00B50149"/>
    <w:rsid w:val="00B50188"/>
    <w:rsid w:val="00B5027D"/>
    <w:rsid w:val="00B50281"/>
    <w:rsid w:val="00B502EF"/>
    <w:rsid w:val="00B503BC"/>
    <w:rsid w:val="00B5041D"/>
    <w:rsid w:val="00B50525"/>
    <w:rsid w:val="00B50578"/>
    <w:rsid w:val="00B5057F"/>
    <w:rsid w:val="00B506CF"/>
    <w:rsid w:val="00B5073A"/>
    <w:rsid w:val="00B5079A"/>
    <w:rsid w:val="00B50AA0"/>
    <w:rsid w:val="00B50AC3"/>
    <w:rsid w:val="00B50B0D"/>
    <w:rsid w:val="00B50B5C"/>
    <w:rsid w:val="00B50B5F"/>
    <w:rsid w:val="00B50B95"/>
    <w:rsid w:val="00B50BB3"/>
    <w:rsid w:val="00B50BD8"/>
    <w:rsid w:val="00B50BF9"/>
    <w:rsid w:val="00B50BFA"/>
    <w:rsid w:val="00B50C57"/>
    <w:rsid w:val="00B50C7A"/>
    <w:rsid w:val="00B50C97"/>
    <w:rsid w:val="00B50CF0"/>
    <w:rsid w:val="00B50D05"/>
    <w:rsid w:val="00B50D3F"/>
    <w:rsid w:val="00B50DE8"/>
    <w:rsid w:val="00B51080"/>
    <w:rsid w:val="00B510DE"/>
    <w:rsid w:val="00B511C0"/>
    <w:rsid w:val="00B511EB"/>
    <w:rsid w:val="00B512FA"/>
    <w:rsid w:val="00B51321"/>
    <w:rsid w:val="00B51376"/>
    <w:rsid w:val="00B51395"/>
    <w:rsid w:val="00B513BC"/>
    <w:rsid w:val="00B513DE"/>
    <w:rsid w:val="00B51463"/>
    <w:rsid w:val="00B51479"/>
    <w:rsid w:val="00B514CA"/>
    <w:rsid w:val="00B51555"/>
    <w:rsid w:val="00B515C8"/>
    <w:rsid w:val="00B515FF"/>
    <w:rsid w:val="00B51613"/>
    <w:rsid w:val="00B5161C"/>
    <w:rsid w:val="00B5173C"/>
    <w:rsid w:val="00B51792"/>
    <w:rsid w:val="00B517E6"/>
    <w:rsid w:val="00B519C7"/>
    <w:rsid w:val="00B51A78"/>
    <w:rsid w:val="00B51AB7"/>
    <w:rsid w:val="00B51AF5"/>
    <w:rsid w:val="00B51B37"/>
    <w:rsid w:val="00B51BC1"/>
    <w:rsid w:val="00B51CBC"/>
    <w:rsid w:val="00B51DE5"/>
    <w:rsid w:val="00B51E63"/>
    <w:rsid w:val="00B51FAA"/>
    <w:rsid w:val="00B520BC"/>
    <w:rsid w:val="00B52296"/>
    <w:rsid w:val="00B522BD"/>
    <w:rsid w:val="00B52328"/>
    <w:rsid w:val="00B5235B"/>
    <w:rsid w:val="00B523BF"/>
    <w:rsid w:val="00B52400"/>
    <w:rsid w:val="00B5254D"/>
    <w:rsid w:val="00B52585"/>
    <w:rsid w:val="00B52687"/>
    <w:rsid w:val="00B527D5"/>
    <w:rsid w:val="00B5281C"/>
    <w:rsid w:val="00B52987"/>
    <w:rsid w:val="00B52A0A"/>
    <w:rsid w:val="00B52A19"/>
    <w:rsid w:val="00B52A4D"/>
    <w:rsid w:val="00B52B02"/>
    <w:rsid w:val="00B52B82"/>
    <w:rsid w:val="00B52C4F"/>
    <w:rsid w:val="00B52C86"/>
    <w:rsid w:val="00B52F52"/>
    <w:rsid w:val="00B52F6F"/>
    <w:rsid w:val="00B52F87"/>
    <w:rsid w:val="00B52F9A"/>
    <w:rsid w:val="00B52FB2"/>
    <w:rsid w:val="00B53072"/>
    <w:rsid w:val="00B530D1"/>
    <w:rsid w:val="00B53274"/>
    <w:rsid w:val="00B532E7"/>
    <w:rsid w:val="00B53301"/>
    <w:rsid w:val="00B53370"/>
    <w:rsid w:val="00B533FC"/>
    <w:rsid w:val="00B5348E"/>
    <w:rsid w:val="00B53502"/>
    <w:rsid w:val="00B5350D"/>
    <w:rsid w:val="00B53526"/>
    <w:rsid w:val="00B535C5"/>
    <w:rsid w:val="00B535D6"/>
    <w:rsid w:val="00B53634"/>
    <w:rsid w:val="00B53641"/>
    <w:rsid w:val="00B536C4"/>
    <w:rsid w:val="00B53917"/>
    <w:rsid w:val="00B53AF5"/>
    <w:rsid w:val="00B53B23"/>
    <w:rsid w:val="00B53B8F"/>
    <w:rsid w:val="00B53BC2"/>
    <w:rsid w:val="00B53CF2"/>
    <w:rsid w:val="00B53D6D"/>
    <w:rsid w:val="00B53D91"/>
    <w:rsid w:val="00B53EE8"/>
    <w:rsid w:val="00B53EF9"/>
    <w:rsid w:val="00B53F70"/>
    <w:rsid w:val="00B53FA3"/>
    <w:rsid w:val="00B54015"/>
    <w:rsid w:val="00B5408C"/>
    <w:rsid w:val="00B54104"/>
    <w:rsid w:val="00B5418C"/>
    <w:rsid w:val="00B541A3"/>
    <w:rsid w:val="00B541C0"/>
    <w:rsid w:val="00B542BF"/>
    <w:rsid w:val="00B542DC"/>
    <w:rsid w:val="00B54396"/>
    <w:rsid w:val="00B5454F"/>
    <w:rsid w:val="00B545D2"/>
    <w:rsid w:val="00B545EF"/>
    <w:rsid w:val="00B54747"/>
    <w:rsid w:val="00B5479E"/>
    <w:rsid w:val="00B547AE"/>
    <w:rsid w:val="00B547C8"/>
    <w:rsid w:val="00B547DC"/>
    <w:rsid w:val="00B54805"/>
    <w:rsid w:val="00B548D7"/>
    <w:rsid w:val="00B54964"/>
    <w:rsid w:val="00B549A3"/>
    <w:rsid w:val="00B54AB2"/>
    <w:rsid w:val="00B54ABF"/>
    <w:rsid w:val="00B54B46"/>
    <w:rsid w:val="00B54C0D"/>
    <w:rsid w:val="00B54C43"/>
    <w:rsid w:val="00B54C91"/>
    <w:rsid w:val="00B54CB0"/>
    <w:rsid w:val="00B54D50"/>
    <w:rsid w:val="00B54D91"/>
    <w:rsid w:val="00B54EFC"/>
    <w:rsid w:val="00B55052"/>
    <w:rsid w:val="00B550C6"/>
    <w:rsid w:val="00B552D0"/>
    <w:rsid w:val="00B553EF"/>
    <w:rsid w:val="00B55568"/>
    <w:rsid w:val="00B555E1"/>
    <w:rsid w:val="00B555E7"/>
    <w:rsid w:val="00B55617"/>
    <w:rsid w:val="00B5577B"/>
    <w:rsid w:val="00B5577F"/>
    <w:rsid w:val="00B5578E"/>
    <w:rsid w:val="00B55889"/>
    <w:rsid w:val="00B558E2"/>
    <w:rsid w:val="00B55917"/>
    <w:rsid w:val="00B55954"/>
    <w:rsid w:val="00B559AE"/>
    <w:rsid w:val="00B55B28"/>
    <w:rsid w:val="00B55B32"/>
    <w:rsid w:val="00B55B69"/>
    <w:rsid w:val="00B55B74"/>
    <w:rsid w:val="00B55BAB"/>
    <w:rsid w:val="00B55C81"/>
    <w:rsid w:val="00B55CA6"/>
    <w:rsid w:val="00B55CB9"/>
    <w:rsid w:val="00B55E3C"/>
    <w:rsid w:val="00B55F0B"/>
    <w:rsid w:val="00B55FD3"/>
    <w:rsid w:val="00B55FE4"/>
    <w:rsid w:val="00B56091"/>
    <w:rsid w:val="00B561A5"/>
    <w:rsid w:val="00B56492"/>
    <w:rsid w:val="00B5654C"/>
    <w:rsid w:val="00B56672"/>
    <w:rsid w:val="00B566FD"/>
    <w:rsid w:val="00B568BC"/>
    <w:rsid w:val="00B568E8"/>
    <w:rsid w:val="00B56907"/>
    <w:rsid w:val="00B56992"/>
    <w:rsid w:val="00B56A82"/>
    <w:rsid w:val="00B56AD1"/>
    <w:rsid w:val="00B56AD3"/>
    <w:rsid w:val="00B56C0F"/>
    <w:rsid w:val="00B56CBA"/>
    <w:rsid w:val="00B56CE6"/>
    <w:rsid w:val="00B56D94"/>
    <w:rsid w:val="00B571A8"/>
    <w:rsid w:val="00B572AA"/>
    <w:rsid w:val="00B5733F"/>
    <w:rsid w:val="00B57362"/>
    <w:rsid w:val="00B573A5"/>
    <w:rsid w:val="00B573EB"/>
    <w:rsid w:val="00B5744A"/>
    <w:rsid w:val="00B57485"/>
    <w:rsid w:val="00B57599"/>
    <w:rsid w:val="00B575E1"/>
    <w:rsid w:val="00B57619"/>
    <w:rsid w:val="00B57778"/>
    <w:rsid w:val="00B578CB"/>
    <w:rsid w:val="00B578D1"/>
    <w:rsid w:val="00B57A99"/>
    <w:rsid w:val="00B57BAF"/>
    <w:rsid w:val="00B57C29"/>
    <w:rsid w:val="00B57D7F"/>
    <w:rsid w:val="00B57DDA"/>
    <w:rsid w:val="00B57E7F"/>
    <w:rsid w:val="00B57ED1"/>
    <w:rsid w:val="00B57F61"/>
    <w:rsid w:val="00B57F6C"/>
    <w:rsid w:val="00B60019"/>
    <w:rsid w:val="00B6004D"/>
    <w:rsid w:val="00B60080"/>
    <w:rsid w:val="00B600EC"/>
    <w:rsid w:val="00B601B9"/>
    <w:rsid w:val="00B601D9"/>
    <w:rsid w:val="00B601F8"/>
    <w:rsid w:val="00B60248"/>
    <w:rsid w:val="00B60260"/>
    <w:rsid w:val="00B602FA"/>
    <w:rsid w:val="00B603AF"/>
    <w:rsid w:val="00B60521"/>
    <w:rsid w:val="00B60550"/>
    <w:rsid w:val="00B60594"/>
    <w:rsid w:val="00B605A0"/>
    <w:rsid w:val="00B60681"/>
    <w:rsid w:val="00B60696"/>
    <w:rsid w:val="00B606CC"/>
    <w:rsid w:val="00B607A7"/>
    <w:rsid w:val="00B607EB"/>
    <w:rsid w:val="00B60821"/>
    <w:rsid w:val="00B60828"/>
    <w:rsid w:val="00B60928"/>
    <w:rsid w:val="00B60998"/>
    <w:rsid w:val="00B60A1E"/>
    <w:rsid w:val="00B60A37"/>
    <w:rsid w:val="00B60A8D"/>
    <w:rsid w:val="00B60AB5"/>
    <w:rsid w:val="00B60B7B"/>
    <w:rsid w:val="00B60C2D"/>
    <w:rsid w:val="00B60C9B"/>
    <w:rsid w:val="00B60CCB"/>
    <w:rsid w:val="00B60D70"/>
    <w:rsid w:val="00B60D9C"/>
    <w:rsid w:val="00B60E25"/>
    <w:rsid w:val="00B60E78"/>
    <w:rsid w:val="00B60FD2"/>
    <w:rsid w:val="00B61043"/>
    <w:rsid w:val="00B61202"/>
    <w:rsid w:val="00B6121D"/>
    <w:rsid w:val="00B61256"/>
    <w:rsid w:val="00B61382"/>
    <w:rsid w:val="00B613F0"/>
    <w:rsid w:val="00B6140A"/>
    <w:rsid w:val="00B61466"/>
    <w:rsid w:val="00B614D1"/>
    <w:rsid w:val="00B614D8"/>
    <w:rsid w:val="00B61514"/>
    <w:rsid w:val="00B6152D"/>
    <w:rsid w:val="00B61537"/>
    <w:rsid w:val="00B61555"/>
    <w:rsid w:val="00B615E6"/>
    <w:rsid w:val="00B6166C"/>
    <w:rsid w:val="00B616DD"/>
    <w:rsid w:val="00B6173D"/>
    <w:rsid w:val="00B61744"/>
    <w:rsid w:val="00B617EC"/>
    <w:rsid w:val="00B61839"/>
    <w:rsid w:val="00B61932"/>
    <w:rsid w:val="00B61990"/>
    <w:rsid w:val="00B619CE"/>
    <w:rsid w:val="00B61BF6"/>
    <w:rsid w:val="00B61C66"/>
    <w:rsid w:val="00B61C7E"/>
    <w:rsid w:val="00B61D67"/>
    <w:rsid w:val="00B61DE2"/>
    <w:rsid w:val="00B61F87"/>
    <w:rsid w:val="00B61FC8"/>
    <w:rsid w:val="00B6200C"/>
    <w:rsid w:val="00B6205A"/>
    <w:rsid w:val="00B62130"/>
    <w:rsid w:val="00B621C6"/>
    <w:rsid w:val="00B621F4"/>
    <w:rsid w:val="00B622B0"/>
    <w:rsid w:val="00B6238F"/>
    <w:rsid w:val="00B6241A"/>
    <w:rsid w:val="00B62499"/>
    <w:rsid w:val="00B62835"/>
    <w:rsid w:val="00B628A8"/>
    <w:rsid w:val="00B628D8"/>
    <w:rsid w:val="00B62932"/>
    <w:rsid w:val="00B62990"/>
    <w:rsid w:val="00B629B9"/>
    <w:rsid w:val="00B62A08"/>
    <w:rsid w:val="00B62A5F"/>
    <w:rsid w:val="00B62C32"/>
    <w:rsid w:val="00B62C40"/>
    <w:rsid w:val="00B62C4F"/>
    <w:rsid w:val="00B62C9C"/>
    <w:rsid w:val="00B62CA6"/>
    <w:rsid w:val="00B62CB3"/>
    <w:rsid w:val="00B62CEB"/>
    <w:rsid w:val="00B62D0B"/>
    <w:rsid w:val="00B62E0A"/>
    <w:rsid w:val="00B62F39"/>
    <w:rsid w:val="00B62F3B"/>
    <w:rsid w:val="00B62F58"/>
    <w:rsid w:val="00B62F76"/>
    <w:rsid w:val="00B62F96"/>
    <w:rsid w:val="00B62FB9"/>
    <w:rsid w:val="00B62FE0"/>
    <w:rsid w:val="00B63075"/>
    <w:rsid w:val="00B630CB"/>
    <w:rsid w:val="00B632EA"/>
    <w:rsid w:val="00B632FF"/>
    <w:rsid w:val="00B63348"/>
    <w:rsid w:val="00B633DA"/>
    <w:rsid w:val="00B6344D"/>
    <w:rsid w:val="00B6365A"/>
    <w:rsid w:val="00B63675"/>
    <w:rsid w:val="00B637A9"/>
    <w:rsid w:val="00B6380A"/>
    <w:rsid w:val="00B63933"/>
    <w:rsid w:val="00B63976"/>
    <w:rsid w:val="00B63A78"/>
    <w:rsid w:val="00B63ACD"/>
    <w:rsid w:val="00B63B3B"/>
    <w:rsid w:val="00B63C70"/>
    <w:rsid w:val="00B63C9A"/>
    <w:rsid w:val="00B63CD4"/>
    <w:rsid w:val="00B63D0E"/>
    <w:rsid w:val="00B63DA0"/>
    <w:rsid w:val="00B63E1B"/>
    <w:rsid w:val="00B63E97"/>
    <w:rsid w:val="00B63F18"/>
    <w:rsid w:val="00B63F39"/>
    <w:rsid w:val="00B63FA0"/>
    <w:rsid w:val="00B6403B"/>
    <w:rsid w:val="00B64058"/>
    <w:rsid w:val="00B640FC"/>
    <w:rsid w:val="00B64131"/>
    <w:rsid w:val="00B6415B"/>
    <w:rsid w:val="00B6415C"/>
    <w:rsid w:val="00B641AC"/>
    <w:rsid w:val="00B64214"/>
    <w:rsid w:val="00B64315"/>
    <w:rsid w:val="00B643FF"/>
    <w:rsid w:val="00B64448"/>
    <w:rsid w:val="00B64473"/>
    <w:rsid w:val="00B644C0"/>
    <w:rsid w:val="00B644C5"/>
    <w:rsid w:val="00B6453C"/>
    <w:rsid w:val="00B64733"/>
    <w:rsid w:val="00B6492A"/>
    <w:rsid w:val="00B6499C"/>
    <w:rsid w:val="00B64A08"/>
    <w:rsid w:val="00B64A54"/>
    <w:rsid w:val="00B64AA1"/>
    <w:rsid w:val="00B64AC6"/>
    <w:rsid w:val="00B64B2D"/>
    <w:rsid w:val="00B64B61"/>
    <w:rsid w:val="00B64BF7"/>
    <w:rsid w:val="00B64BFA"/>
    <w:rsid w:val="00B64BFE"/>
    <w:rsid w:val="00B64C77"/>
    <w:rsid w:val="00B64D68"/>
    <w:rsid w:val="00B64DA6"/>
    <w:rsid w:val="00B64DD2"/>
    <w:rsid w:val="00B64E9F"/>
    <w:rsid w:val="00B65002"/>
    <w:rsid w:val="00B65121"/>
    <w:rsid w:val="00B65130"/>
    <w:rsid w:val="00B6514B"/>
    <w:rsid w:val="00B651C4"/>
    <w:rsid w:val="00B6520B"/>
    <w:rsid w:val="00B65244"/>
    <w:rsid w:val="00B6524E"/>
    <w:rsid w:val="00B65263"/>
    <w:rsid w:val="00B654B5"/>
    <w:rsid w:val="00B654CB"/>
    <w:rsid w:val="00B6554A"/>
    <w:rsid w:val="00B655A9"/>
    <w:rsid w:val="00B65656"/>
    <w:rsid w:val="00B65692"/>
    <w:rsid w:val="00B656AA"/>
    <w:rsid w:val="00B656E8"/>
    <w:rsid w:val="00B65701"/>
    <w:rsid w:val="00B65731"/>
    <w:rsid w:val="00B657A6"/>
    <w:rsid w:val="00B657E7"/>
    <w:rsid w:val="00B658B6"/>
    <w:rsid w:val="00B658D2"/>
    <w:rsid w:val="00B658F7"/>
    <w:rsid w:val="00B65A1E"/>
    <w:rsid w:val="00B65AC7"/>
    <w:rsid w:val="00B65B25"/>
    <w:rsid w:val="00B65B32"/>
    <w:rsid w:val="00B65BC2"/>
    <w:rsid w:val="00B65BD6"/>
    <w:rsid w:val="00B65C43"/>
    <w:rsid w:val="00B65C75"/>
    <w:rsid w:val="00B65DFA"/>
    <w:rsid w:val="00B65EBB"/>
    <w:rsid w:val="00B65EDF"/>
    <w:rsid w:val="00B65F15"/>
    <w:rsid w:val="00B65F70"/>
    <w:rsid w:val="00B65F85"/>
    <w:rsid w:val="00B65FE3"/>
    <w:rsid w:val="00B66014"/>
    <w:rsid w:val="00B66036"/>
    <w:rsid w:val="00B660A3"/>
    <w:rsid w:val="00B660AC"/>
    <w:rsid w:val="00B660F6"/>
    <w:rsid w:val="00B66132"/>
    <w:rsid w:val="00B66237"/>
    <w:rsid w:val="00B662B6"/>
    <w:rsid w:val="00B6634A"/>
    <w:rsid w:val="00B663DB"/>
    <w:rsid w:val="00B66406"/>
    <w:rsid w:val="00B664DE"/>
    <w:rsid w:val="00B66571"/>
    <w:rsid w:val="00B66594"/>
    <w:rsid w:val="00B66741"/>
    <w:rsid w:val="00B6675C"/>
    <w:rsid w:val="00B66957"/>
    <w:rsid w:val="00B669DD"/>
    <w:rsid w:val="00B66A8E"/>
    <w:rsid w:val="00B66AD5"/>
    <w:rsid w:val="00B66B22"/>
    <w:rsid w:val="00B66B9D"/>
    <w:rsid w:val="00B66C57"/>
    <w:rsid w:val="00B66CEB"/>
    <w:rsid w:val="00B66D61"/>
    <w:rsid w:val="00B66DF0"/>
    <w:rsid w:val="00B66EC2"/>
    <w:rsid w:val="00B67025"/>
    <w:rsid w:val="00B672AC"/>
    <w:rsid w:val="00B672E1"/>
    <w:rsid w:val="00B67398"/>
    <w:rsid w:val="00B67400"/>
    <w:rsid w:val="00B67511"/>
    <w:rsid w:val="00B6774E"/>
    <w:rsid w:val="00B677EB"/>
    <w:rsid w:val="00B67935"/>
    <w:rsid w:val="00B67A60"/>
    <w:rsid w:val="00B67B38"/>
    <w:rsid w:val="00B67BAB"/>
    <w:rsid w:val="00B67D09"/>
    <w:rsid w:val="00B67D71"/>
    <w:rsid w:val="00B701E9"/>
    <w:rsid w:val="00B702AE"/>
    <w:rsid w:val="00B70505"/>
    <w:rsid w:val="00B70632"/>
    <w:rsid w:val="00B70759"/>
    <w:rsid w:val="00B707C6"/>
    <w:rsid w:val="00B70813"/>
    <w:rsid w:val="00B7087E"/>
    <w:rsid w:val="00B70893"/>
    <w:rsid w:val="00B70899"/>
    <w:rsid w:val="00B708BD"/>
    <w:rsid w:val="00B709B6"/>
    <w:rsid w:val="00B709D7"/>
    <w:rsid w:val="00B70A12"/>
    <w:rsid w:val="00B70A2D"/>
    <w:rsid w:val="00B70B17"/>
    <w:rsid w:val="00B70B57"/>
    <w:rsid w:val="00B70B71"/>
    <w:rsid w:val="00B70C42"/>
    <w:rsid w:val="00B70F58"/>
    <w:rsid w:val="00B70F67"/>
    <w:rsid w:val="00B710A0"/>
    <w:rsid w:val="00B710F6"/>
    <w:rsid w:val="00B7110D"/>
    <w:rsid w:val="00B7117B"/>
    <w:rsid w:val="00B711D3"/>
    <w:rsid w:val="00B71202"/>
    <w:rsid w:val="00B7137E"/>
    <w:rsid w:val="00B713F7"/>
    <w:rsid w:val="00B71418"/>
    <w:rsid w:val="00B7142A"/>
    <w:rsid w:val="00B714EE"/>
    <w:rsid w:val="00B714FF"/>
    <w:rsid w:val="00B7153A"/>
    <w:rsid w:val="00B71556"/>
    <w:rsid w:val="00B7165C"/>
    <w:rsid w:val="00B71864"/>
    <w:rsid w:val="00B718A1"/>
    <w:rsid w:val="00B718FA"/>
    <w:rsid w:val="00B7197D"/>
    <w:rsid w:val="00B719EA"/>
    <w:rsid w:val="00B71A57"/>
    <w:rsid w:val="00B71AC8"/>
    <w:rsid w:val="00B71B8C"/>
    <w:rsid w:val="00B71C62"/>
    <w:rsid w:val="00B71CFA"/>
    <w:rsid w:val="00B71CFF"/>
    <w:rsid w:val="00B71D5E"/>
    <w:rsid w:val="00B71E1E"/>
    <w:rsid w:val="00B71EA5"/>
    <w:rsid w:val="00B71EC0"/>
    <w:rsid w:val="00B71F56"/>
    <w:rsid w:val="00B71FE1"/>
    <w:rsid w:val="00B720A9"/>
    <w:rsid w:val="00B720BB"/>
    <w:rsid w:val="00B721E5"/>
    <w:rsid w:val="00B7220B"/>
    <w:rsid w:val="00B72213"/>
    <w:rsid w:val="00B72225"/>
    <w:rsid w:val="00B7237F"/>
    <w:rsid w:val="00B72427"/>
    <w:rsid w:val="00B7252A"/>
    <w:rsid w:val="00B726BE"/>
    <w:rsid w:val="00B727EE"/>
    <w:rsid w:val="00B72878"/>
    <w:rsid w:val="00B72887"/>
    <w:rsid w:val="00B728D5"/>
    <w:rsid w:val="00B72923"/>
    <w:rsid w:val="00B72994"/>
    <w:rsid w:val="00B729A9"/>
    <w:rsid w:val="00B729EE"/>
    <w:rsid w:val="00B729F7"/>
    <w:rsid w:val="00B72AB4"/>
    <w:rsid w:val="00B72AC2"/>
    <w:rsid w:val="00B72B6D"/>
    <w:rsid w:val="00B72B76"/>
    <w:rsid w:val="00B72B90"/>
    <w:rsid w:val="00B72BC6"/>
    <w:rsid w:val="00B72C51"/>
    <w:rsid w:val="00B72C84"/>
    <w:rsid w:val="00B72C9A"/>
    <w:rsid w:val="00B72CAE"/>
    <w:rsid w:val="00B72D97"/>
    <w:rsid w:val="00B72DED"/>
    <w:rsid w:val="00B72E8A"/>
    <w:rsid w:val="00B72EB8"/>
    <w:rsid w:val="00B72EFB"/>
    <w:rsid w:val="00B72F30"/>
    <w:rsid w:val="00B72F41"/>
    <w:rsid w:val="00B73163"/>
    <w:rsid w:val="00B73177"/>
    <w:rsid w:val="00B73253"/>
    <w:rsid w:val="00B7333A"/>
    <w:rsid w:val="00B73458"/>
    <w:rsid w:val="00B735C8"/>
    <w:rsid w:val="00B73626"/>
    <w:rsid w:val="00B7367A"/>
    <w:rsid w:val="00B736D0"/>
    <w:rsid w:val="00B73701"/>
    <w:rsid w:val="00B737F1"/>
    <w:rsid w:val="00B7389A"/>
    <w:rsid w:val="00B738F7"/>
    <w:rsid w:val="00B73929"/>
    <w:rsid w:val="00B739E5"/>
    <w:rsid w:val="00B73A4C"/>
    <w:rsid w:val="00B73B30"/>
    <w:rsid w:val="00B73C41"/>
    <w:rsid w:val="00B73C9B"/>
    <w:rsid w:val="00B73D76"/>
    <w:rsid w:val="00B73E00"/>
    <w:rsid w:val="00B73EC3"/>
    <w:rsid w:val="00B73F65"/>
    <w:rsid w:val="00B74197"/>
    <w:rsid w:val="00B741F0"/>
    <w:rsid w:val="00B742BA"/>
    <w:rsid w:val="00B742C9"/>
    <w:rsid w:val="00B74320"/>
    <w:rsid w:val="00B7444E"/>
    <w:rsid w:val="00B74464"/>
    <w:rsid w:val="00B7446A"/>
    <w:rsid w:val="00B7446F"/>
    <w:rsid w:val="00B744B0"/>
    <w:rsid w:val="00B745D1"/>
    <w:rsid w:val="00B74686"/>
    <w:rsid w:val="00B746C7"/>
    <w:rsid w:val="00B74738"/>
    <w:rsid w:val="00B74778"/>
    <w:rsid w:val="00B747EB"/>
    <w:rsid w:val="00B747ED"/>
    <w:rsid w:val="00B748E6"/>
    <w:rsid w:val="00B74902"/>
    <w:rsid w:val="00B74932"/>
    <w:rsid w:val="00B74964"/>
    <w:rsid w:val="00B74BAC"/>
    <w:rsid w:val="00B74E3A"/>
    <w:rsid w:val="00B74EB5"/>
    <w:rsid w:val="00B74F36"/>
    <w:rsid w:val="00B75064"/>
    <w:rsid w:val="00B750AC"/>
    <w:rsid w:val="00B75106"/>
    <w:rsid w:val="00B75111"/>
    <w:rsid w:val="00B7511C"/>
    <w:rsid w:val="00B75282"/>
    <w:rsid w:val="00B752F2"/>
    <w:rsid w:val="00B7534F"/>
    <w:rsid w:val="00B7537A"/>
    <w:rsid w:val="00B753B7"/>
    <w:rsid w:val="00B75588"/>
    <w:rsid w:val="00B7572C"/>
    <w:rsid w:val="00B75838"/>
    <w:rsid w:val="00B75910"/>
    <w:rsid w:val="00B7595C"/>
    <w:rsid w:val="00B75A02"/>
    <w:rsid w:val="00B75AA4"/>
    <w:rsid w:val="00B75BB1"/>
    <w:rsid w:val="00B75C68"/>
    <w:rsid w:val="00B75CBC"/>
    <w:rsid w:val="00B75D1F"/>
    <w:rsid w:val="00B75D87"/>
    <w:rsid w:val="00B75DA5"/>
    <w:rsid w:val="00B75DD7"/>
    <w:rsid w:val="00B75DF3"/>
    <w:rsid w:val="00B75E00"/>
    <w:rsid w:val="00B75E0D"/>
    <w:rsid w:val="00B75E57"/>
    <w:rsid w:val="00B75ED3"/>
    <w:rsid w:val="00B75EE0"/>
    <w:rsid w:val="00B75F3B"/>
    <w:rsid w:val="00B75F80"/>
    <w:rsid w:val="00B760AE"/>
    <w:rsid w:val="00B760AF"/>
    <w:rsid w:val="00B76139"/>
    <w:rsid w:val="00B7615A"/>
    <w:rsid w:val="00B76254"/>
    <w:rsid w:val="00B76281"/>
    <w:rsid w:val="00B762A0"/>
    <w:rsid w:val="00B762FD"/>
    <w:rsid w:val="00B7637C"/>
    <w:rsid w:val="00B7638A"/>
    <w:rsid w:val="00B763DD"/>
    <w:rsid w:val="00B76431"/>
    <w:rsid w:val="00B764C5"/>
    <w:rsid w:val="00B766FC"/>
    <w:rsid w:val="00B7685E"/>
    <w:rsid w:val="00B768F5"/>
    <w:rsid w:val="00B76954"/>
    <w:rsid w:val="00B76A3D"/>
    <w:rsid w:val="00B76B3B"/>
    <w:rsid w:val="00B76BE1"/>
    <w:rsid w:val="00B76C6A"/>
    <w:rsid w:val="00B76C7E"/>
    <w:rsid w:val="00B76CD1"/>
    <w:rsid w:val="00B76D31"/>
    <w:rsid w:val="00B76D66"/>
    <w:rsid w:val="00B76E10"/>
    <w:rsid w:val="00B76F59"/>
    <w:rsid w:val="00B76F8B"/>
    <w:rsid w:val="00B76FA1"/>
    <w:rsid w:val="00B76FF0"/>
    <w:rsid w:val="00B7706E"/>
    <w:rsid w:val="00B770DB"/>
    <w:rsid w:val="00B77148"/>
    <w:rsid w:val="00B771CD"/>
    <w:rsid w:val="00B772F1"/>
    <w:rsid w:val="00B7749D"/>
    <w:rsid w:val="00B774B7"/>
    <w:rsid w:val="00B774CC"/>
    <w:rsid w:val="00B77500"/>
    <w:rsid w:val="00B775B9"/>
    <w:rsid w:val="00B7764D"/>
    <w:rsid w:val="00B77689"/>
    <w:rsid w:val="00B77710"/>
    <w:rsid w:val="00B777A3"/>
    <w:rsid w:val="00B7780A"/>
    <w:rsid w:val="00B77827"/>
    <w:rsid w:val="00B77854"/>
    <w:rsid w:val="00B77977"/>
    <w:rsid w:val="00B77A4F"/>
    <w:rsid w:val="00B77ACF"/>
    <w:rsid w:val="00B77BAF"/>
    <w:rsid w:val="00B77BB7"/>
    <w:rsid w:val="00B77CF4"/>
    <w:rsid w:val="00B77D50"/>
    <w:rsid w:val="00B77E4D"/>
    <w:rsid w:val="00B77EA6"/>
    <w:rsid w:val="00B77F22"/>
    <w:rsid w:val="00B80040"/>
    <w:rsid w:val="00B800B9"/>
    <w:rsid w:val="00B80163"/>
    <w:rsid w:val="00B8024B"/>
    <w:rsid w:val="00B80267"/>
    <w:rsid w:val="00B802A6"/>
    <w:rsid w:val="00B802B1"/>
    <w:rsid w:val="00B8035E"/>
    <w:rsid w:val="00B8040D"/>
    <w:rsid w:val="00B80437"/>
    <w:rsid w:val="00B80518"/>
    <w:rsid w:val="00B805DA"/>
    <w:rsid w:val="00B80614"/>
    <w:rsid w:val="00B80624"/>
    <w:rsid w:val="00B806CC"/>
    <w:rsid w:val="00B8077B"/>
    <w:rsid w:val="00B807A7"/>
    <w:rsid w:val="00B807C4"/>
    <w:rsid w:val="00B80818"/>
    <w:rsid w:val="00B8085E"/>
    <w:rsid w:val="00B80870"/>
    <w:rsid w:val="00B80995"/>
    <w:rsid w:val="00B80A66"/>
    <w:rsid w:val="00B80ABE"/>
    <w:rsid w:val="00B80B07"/>
    <w:rsid w:val="00B80B3C"/>
    <w:rsid w:val="00B80B79"/>
    <w:rsid w:val="00B80BB2"/>
    <w:rsid w:val="00B80C73"/>
    <w:rsid w:val="00B80CDA"/>
    <w:rsid w:val="00B80D6B"/>
    <w:rsid w:val="00B80D86"/>
    <w:rsid w:val="00B80DEA"/>
    <w:rsid w:val="00B80E13"/>
    <w:rsid w:val="00B80E5A"/>
    <w:rsid w:val="00B80E8F"/>
    <w:rsid w:val="00B80EDA"/>
    <w:rsid w:val="00B80EDB"/>
    <w:rsid w:val="00B81035"/>
    <w:rsid w:val="00B81038"/>
    <w:rsid w:val="00B810F3"/>
    <w:rsid w:val="00B81143"/>
    <w:rsid w:val="00B8119C"/>
    <w:rsid w:val="00B811B4"/>
    <w:rsid w:val="00B81240"/>
    <w:rsid w:val="00B812E2"/>
    <w:rsid w:val="00B81449"/>
    <w:rsid w:val="00B814EB"/>
    <w:rsid w:val="00B815ED"/>
    <w:rsid w:val="00B817F8"/>
    <w:rsid w:val="00B81820"/>
    <w:rsid w:val="00B818FC"/>
    <w:rsid w:val="00B81B95"/>
    <w:rsid w:val="00B81BAF"/>
    <w:rsid w:val="00B81C21"/>
    <w:rsid w:val="00B81C84"/>
    <w:rsid w:val="00B81CE8"/>
    <w:rsid w:val="00B81D30"/>
    <w:rsid w:val="00B81DFB"/>
    <w:rsid w:val="00B81E1E"/>
    <w:rsid w:val="00B81E41"/>
    <w:rsid w:val="00B81E8D"/>
    <w:rsid w:val="00B81ECE"/>
    <w:rsid w:val="00B81EE7"/>
    <w:rsid w:val="00B81F1A"/>
    <w:rsid w:val="00B81F5C"/>
    <w:rsid w:val="00B82067"/>
    <w:rsid w:val="00B820AC"/>
    <w:rsid w:val="00B82168"/>
    <w:rsid w:val="00B821F7"/>
    <w:rsid w:val="00B82218"/>
    <w:rsid w:val="00B8223F"/>
    <w:rsid w:val="00B82321"/>
    <w:rsid w:val="00B8251C"/>
    <w:rsid w:val="00B825DC"/>
    <w:rsid w:val="00B826C0"/>
    <w:rsid w:val="00B82715"/>
    <w:rsid w:val="00B82845"/>
    <w:rsid w:val="00B828A9"/>
    <w:rsid w:val="00B828CF"/>
    <w:rsid w:val="00B829A9"/>
    <w:rsid w:val="00B829D5"/>
    <w:rsid w:val="00B82AB8"/>
    <w:rsid w:val="00B82ADE"/>
    <w:rsid w:val="00B82B1B"/>
    <w:rsid w:val="00B82B79"/>
    <w:rsid w:val="00B82BEB"/>
    <w:rsid w:val="00B82BEE"/>
    <w:rsid w:val="00B82BFE"/>
    <w:rsid w:val="00B82D54"/>
    <w:rsid w:val="00B82E85"/>
    <w:rsid w:val="00B82FF7"/>
    <w:rsid w:val="00B83057"/>
    <w:rsid w:val="00B8305F"/>
    <w:rsid w:val="00B83073"/>
    <w:rsid w:val="00B830EE"/>
    <w:rsid w:val="00B8311C"/>
    <w:rsid w:val="00B83163"/>
    <w:rsid w:val="00B8319D"/>
    <w:rsid w:val="00B83209"/>
    <w:rsid w:val="00B83230"/>
    <w:rsid w:val="00B83238"/>
    <w:rsid w:val="00B83272"/>
    <w:rsid w:val="00B83309"/>
    <w:rsid w:val="00B83352"/>
    <w:rsid w:val="00B83374"/>
    <w:rsid w:val="00B833B6"/>
    <w:rsid w:val="00B833F4"/>
    <w:rsid w:val="00B834A3"/>
    <w:rsid w:val="00B834D1"/>
    <w:rsid w:val="00B835BC"/>
    <w:rsid w:val="00B836A3"/>
    <w:rsid w:val="00B83742"/>
    <w:rsid w:val="00B83826"/>
    <w:rsid w:val="00B8387A"/>
    <w:rsid w:val="00B8391B"/>
    <w:rsid w:val="00B83936"/>
    <w:rsid w:val="00B8399B"/>
    <w:rsid w:val="00B839BA"/>
    <w:rsid w:val="00B83A40"/>
    <w:rsid w:val="00B83AC9"/>
    <w:rsid w:val="00B83C23"/>
    <w:rsid w:val="00B83CB5"/>
    <w:rsid w:val="00B83CC4"/>
    <w:rsid w:val="00B83D12"/>
    <w:rsid w:val="00B83E4A"/>
    <w:rsid w:val="00B83EC5"/>
    <w:rsid w:val="00B83F1E"/>
    <w:rsid w:val="00B83F38"/>
    <w:rsid w:val="00B83FF0"/>
    <w:rsid w:val="00B83FFF"/>
    <w:rsid w:val="00B84014"/>
    <w:rsid w:val="00B8403A"/>
    <w:rsid w:val="00B841CA"/>
    <w:rsid w:val="00B841DC"/>
    <w:rsid w:val="00B841EF"/>
    <w:rsid w:val="00B842E5"/>
    <w:rsid w:val="00B84469"/>
    <w:rsid w:val="00B84651"/>
    <w:rsid w:val="00B847B3"/>
    <w:rsid w:val="00B84883"/>
    <w:rsid w:val="00B848A9"/>
    <w:rsid w:val="00B84921"/>
    <w:rsid w:val="00B84938"/>
    <w:rsid w:val="00B8493C"/>
    <w:rsid w:val="00B84957"/>
    <w:rsid w:val="00B849C8"/>
    <w:rsid w:val="00B84A40"/>
    <w:rsid w:val="00B84A5A"/>
    <w:rsid w:val="00B84B02"/>
    <w:rsid w:val="00B84B62"/>
    <w:rsid w:val="00B84C36"/>
    <w:rsid w:val="00B84E88"/>
    <w:rsid w:val="00B84EED"/>
    <w:rsid w:val="00B85077"/>
    <w:rsid w:val="00B85198"/>
    <w:rsid w:val="00B8519E"/>
    <w:rsid w:val="00B851A4"/>
    <w:rsid w:val="00B851A8"/>
    <w:rsid w:val="00B851CD"/>
    <w:rsid w:val="00B85228"/>
    <w:rsid w:val="00B8527D"/>
    <w:rsid w:val="00B85311"/>
    <w:rsid w:val="00B8533F"/>
    <w:rsid w:val="00B85387"/>
    <w:rsid w:val="00B854B3"/>
    <w:rsid w:val="00B854C5"/>
    <w:rsid w:val="00B855C4"/>
    <w:rsid w:val="00B8567C"/>
    <w:rsid w:val="00B85803"/>
    <w:rsid w:val="00B85911"/>
    <w:rsid w:val="00B85914"/>
    <w:rsid w:val="00B85916"/>
    <w:rsid w:val="00B85968"/>
    <w:rsid w:val="00B85A93"/>
    <w:rsid w:val="00B85ABB"/>
    <w:rsid w:val="00B85AFE"/>
    <w:rsid w:val="00B85BB9"/>
    <w:rsid w:val="00B85BBB"/>
    <w:rsid w:val="00B85C3C"/>
    <w:rsid w:val="00B85C64"/>
    <w:rsid w:val="00B85C7B"/>
    <w:rsid w:val="00B85CCF"/>
    <w:rsid w:val="00B85CF3"/>
    <w:rsid w:val="00B85FFF"/>
    <w:rsid w:val="00B860A8"/>
    <w:rsid w:val="00B860E8"/>
    <w:rsid w:val="00B860F3"/>
    <w:rsid w:val="00B86213"/>
    <w:rsid w:val="00B86264"/>
    <w:rsid w:val="00B8626D"/>
    <w:rsid w:val="00B8627C"/>
    <w:rsid w:val="00B8642D"/>
    <w:rsid w:val="00B86550"/>
    <w:rsid w:val="00B866DE"/>
    <w:rsid w:val="00B86979"/>
    <w:rsid w:val="00B869C0"/>
    <w:rsid w:val="00B869EC"/>
    <w:rsid w:val="00B86AC4"/>
    <w:rsid w:val="00B86AE8"/>
    <w:rsid w:val="00B86B01"/>
    <w:rsid w:val="00B86BB7"/>
    <w:rsid w:val="00B86BE7"/>
    <w:rsid w:val="00B86C32"/>
    <w:rsid w:val="00B86C40"/>
    <w:rsid w:val="00B86C66"/>
    <w:rsid w:val="00B86D69"/>
    <w:rsid w:val="00B86DA1"/>
    <w:rsid w:val="00B86FFE"/>
    <w:rsid w:val="00B870E5"/>
    <w:rsid w:val="00B871BB"/>
    <w:rsid w:val="00B8731A"/>
    <w:rsid w:val="00B87323"/>
    <w:rsid w:val="00B87326"/>
    <w:rsid w:val="00B873C0"/>
    <w:rsid w:val="00B874ED"/>
    <w:rsid w:val="00B87542"/>
    <w:rsid w:val="00B87564"/>
    <w:rsid w:val="00B87571"/>
    <w:rsid w:val="00B87578"/>
    <w:rsid w:val="00B8762C"/>
    <w:rsid w:val="00B87674"/>
    <w:rsid w:val="00B8769D"/>
    <w:rsid w:val="00B876DB"/>
    <w:rsid w:val="00B87711"/>
    <w:rsid w:val="00B877B6"/>
    <w:rsid w:val="00B87863"/>
    <w:rsid w:val="00B878D2"/>
    <w:rsid w:val="00B87939"/>
    <w:rsid w:val="00B879E5"/>
    <w:rsid w:val="00B87A30"/>
    <w:rsid w:val="00B87A90"/>
    <w:rsid w:val="00B87B44"/>
    <w:rsid w:val="00B87BA4"/>
    <w:rsid w:val="00B87C00"/>
    <w:rsid w:val="00B87C0A"/>
    <w:rsid w:val="00B87C6F"/>
    <w:rsid w:val="00B87E51"/>
    <w:rsid w:val="00B87E77"/>
    <w:rsid w:val="00B90014"/>
    <w:rsid w:val="00B90143"/>
    <w:rsid w:val="00B9017C"/>
    <w:rsid w:val="00B90190"/>
    <w:rsid w:val="00B90279"/>
    <w:rsid w:val="00B90339"/>
    <w:rsid w:val="00B9037B"/>
    <w:rsid w:val="00B903C0"/>
    <w:rsid w:val="00B903E7"/>
    <w:rsid w:val="00B90401"/>
    <w:rsid w:val="00B905EC"/>
    <w:rsid w:val="00B90631"/>
    <w:rsid w:val="00B90657"/>
    <w:rsid w:val="00B9074E"/>
    <w:rsid w:val="00B90757"/>
    <w:rsid w:val="00B9097D"/>
    <w:rsid w:val="00B90A93"/>
    <w:rsid w:val="00B90AF2"/>
    <w:rsid w:val="00B90C3B"/>
    <w:rsid w:val="00B90C68"/>
    <w:rsid w:val="00B90C99"/>
    <w:rsid w:val="00B90DCB"/>
    <w:rsid w:val="00B90E74"/>
    <w:rsid w:val="00B90F5D"/>
    <w:rsid w:val="00B90F9B"/>
    <w:rsid w:val="00B91057"/>
    <w:rsid w:val="00B911D6"/>
    <w:rsid w:val="00B91205"/>
    <w:rsid w:val="00B9126E"/>
    <w:rsid w:val="00B91300"/>
    <w:rsid w:val="00B91360"/>
    <w:rsid w:val="00B91405"/>
    <w:rsid w:val="00B915FD"/>
    <w:rsid w:val="00B916F5"/>
    <w:rsid w:val="00B91802"/>
    <w:rsid w:val="00B9193E"/>
    <w:rsid w:val="00B91A30"/>
    <w:rsid w:val="00B91AB3"/>
    <w:rsid w:val="00B91BAF"/>
    <w:rsid w:val="00B91BDC"/>
    <w:rsid w:val="00B91C64"/>
    <w:rsid w:val="00B91C98"/>
    <w:rsid w:val="00B91D22"/>
    <w:rsid w:val="00B91E82"/>
    <w:rsid w:val="00B91F30"/>
    <w:rsid w:val="00B91F3C"/>
    <w:rsid w:val="00B91F49"/>
    <w:rsid w:val="00B91FAA"/>
    <w:rsid w:val="00B92076"/>
    <w:rsid w:val="00B92082"/>
    <w:rsid w:val="00B9228D"/>
    <w:rsid w:val="00B922EF"/>
    <w:rsid w:val="00B922F0"/>
    <w:rsid w:val="00B924A4"/>
    <w:rsid w:val="00B926D8"/>
    <w:rsid w:val="00B92785"/>
    <w:rsid w:val="00B92974"/>
    <w:rsid w:val="00B929B4"/>
    <w:rsid w:val="00B929B9"/>
    <w:rsid w:val="00B929CD"/>
    <w:rsid w:val="00B92A2E"/>
    <w:rsid w:val="00B92AA9"/>
    <w:rsid w:val="00B92AAC"/>
    <w:rsid w:val="00B92B08"/>
    <w:rsid w:val="00B92B61"/>
    <w:rsid w:val="00B92BF1"/>
    <w:rsid w:val="00B92C35"/>
    <w:rsid w:val="00B92C83"/>
    <w:rsid w:val="00B92CA6"/>
    <w:rsid w:val="00B92D29"/>
    <w:rsid w:val="00B92D7C"/>
    <w:rsid w:val="00B92DF5"/>
    <w:rsid w:val="00B92E23"/>
    <w:rsid w:val="00B92E73"/>
    <w:rsid w:val="00B92EDD"/>
    <w:rsid w:val="00B92EF1"/>
    <w:rsid w:val="00B92F20"/>
    <w:rsid w:val="00B92F99"/>
    <w:rsid w:val="00B92FA3"/>
    <w:rsid w:val="00B93027"/>
    <w:rsid w:val="00B93072"/>
    <w:rsid w:val="00B93073"/>
    <w:rsid w:val="00B930BE"/>
    <w:rsid w:val="00B930E0"/>
    <w:rsid w:val="00B93162"/>
    <w:rsid w:val="00B9316E"/>
    <w:rsid w:val="00B93286"/>
    <w:rsid w:val="00B932CA"/>
    <w:rsid w:val="00B9338F"/>
    <w:rsid w:val="00B93459"/>
    <w:rsid w:val="00B93507"/>
    <w:rsid w:val="00B936EB"/>
    <w:rsid w:val="00B936EE"/>
    <w:rsid w:val="00B9370C"/>
    <w:rsid w:val="00B9372E"/>
    <w:rsid w:val="00B93757"/>
    <w:rsid w:val="00B937BA"/>
    <w:rsid w:val="00B9389A"/>
    <w:rsid w:val="00B938DC"/>
    <w:rsid w:val="00B93920"/>
    <w:rsid w:val="00B93A1D"/>
    <w:rsid w:val="00B93ACE"/>
    <w:rsid w:val="00B93C18"/>
    <w:rsid w:val="00B93CF1"/>
    <w:rsid w:val="00B93DEE"/>
    <w:rsid w:val="00B93E43"/>
    <w:rsid w:val="00B93E4E"/>
    <w:rsid w:val="00B93E88"/>
    <w:rsid w:val="00B93F77"/>
    <w:rsid w:val="00B93FC7"/>
    <w:rsid w:val="00B93FDF"/>
    <w:rsid w:val="00B94015"/>
    <w:rsid w:val="00B94130"/>
    <w:rsid w:val="00B9427F"/>
    <w:rsid w:val="00B943EB"/>
    <w:rsid w:val="00B944B3"/>
    <w:rsid w:val="00B945BD"/>
    <w:rsid w:val="00B94709"/>
    <w:rsid w:val="00B9485D"/>
    <w:rsid w:val="00B94928"/>
    <w:rsid w:val="00B94A1E"/>
    <w:rsid w:val="00B94A22"/>
    <w:rsid w:val="00B94B97"/>
    <w:rsid w:val="00B94C2A"/>
    <w:rsid w:val="00B94C3C"/>
    <w:rsid w:val="00B94CC4"/>
    <w:rsid w:val="00B94CD3"/>
    <w:rsid w:val="00B94D1A"/>
    <w:rsid w:val="00B94D89"/>
    <w:rsid w:val="00B94DA0"/>
    <w:rsid w:val="00B94EE0"/>
    <w:rsid w:val="00B94F48"/>
    <w:rsid w:val="00B94FC3"/>
    <w:rsid w:val="00B95037"/>
    <w:rsid w:val="00B9503A"/>
    <w:rsid w:val="00B95065"/>
    <w:rsid w:val="00B95210"/>
    <w:rsid w:val="00B95226"/>
    <w:rsid w:val="00B95236"/>
    <w:rsid w:val="00B953B0"/>
    <w:rsid w:val="00B95498"/>
    <w:rsid w:val="00B95499"/>
    <w:rsid w:val="00B95579"/>
    <w:rsid w:val="00B9557B"/>
    <w:rsid w:val="00B9559C"/>
    <w:rsid w:val="00B955BE"/>
    <w:rsid w:val="00B9570F"/>
    <w:rsid w:val="00B9579A"/>
    <w:rsid w:val="00B95875"/>
    <w:rsid w:val="00B958D2"/>
    <w:rsid w:val="00B95904"/>
    <w:rsid w:val="00B95932"/>
    <w:rsid w:val="00B959F5"/>
    <w:rsid w:val="00B95A03"/>
    <w:rsid w:val="00B95A0C"/>
    <w:rsid w:val="00B95A72"/>
    <w:rsid w:val="00B95A8D"/>
    <w:rsid w:val="00B95ACC"/>
    <w:rsid w:val="00B95AE0"/>
    <w:rsid w:val="00B95B30"/>
    <w:rsid w:val="00B95B31"/>
    <w:rsid w:val="00B95B66"/>
    <w:rsid w:val="00B95D53"/>
    <w:rsid w:val="00B95D89"/>
    <w:rsid w:val="00B95D9F"/>
    <w:rsid w:val="00B95DAD"/>
    <w:rsid w:val="00B95E1D"/>
    <w:rsid w:val="00B95EEF"/>
    <w:rsid w:val="00B95F90"/>
    <w:rsid w:val="00B95FBA"/>
    <w:rsid w:val="00B9604E"/>
    <w:rsid w:val="00B96072"/>
    <w:rsid w:val="00B96096"/>
    <w:rsid w:val="00B960FF"/>
    <w:rsid w:val="00B9614D"/>
    <w:rsid w:val="00B96168"/>
    <w:rsid w:val="00B961D7"/>
    <w:rsid w:val="00B961FB"/>
    <w:rsid w:val="00B9632A"/>
    <w:rsid w:val="00B96353"/>
    <w:rsid w:val="00B963D3"/>
    <w:rsid w:val="00B963DF"/>
    <w:rsid w:val="00B96464"/>
    <w:rsid w:val="00B9656E"/>
    <w:rsid w:val="00B96583"/>
    <w:rsid w:val="00B96752"/>
    <w:rsid w:val="00B96798"/>
    <w:rsid w:val="00B96839"/>
    <w:rsid w:val="00B9683A"/>
    <w:rsid w:val="00B96899"/>
    <w:rsid w:val="00B968D9"/>
    <w:rsid w:val="00B96989"/>
    <w:rsid w:val="00B969C9"/>
    <w:rsid w:val="00B96A6A"/>
    <w:rsid w:val="00B96B74"/>
    <w:rsid w:val="00B96B80"/>
    <w:rsid w:val="00B96C86"/>
    <w:rsid w:val="00B96C8E"/>
    <w:rsid w:val="00B96D12"/>
    <w:rsid w:val="00B96EAA"/>
    <w:rsid w:val="00B96EF5"/>
    <w:rsid w:val="00B96F06"/>
    <w:rsid w:val="00B96F60"/>
    <w:rsid w:val="00B96FE8"/>
    <w:rsid w:val="00B97199"/>
    <w:rsid w:val="00B971EB"/>
    <w:rsid w:val="00B9721E"/>
    <w:rsid w:val="00B972C6"/>
    <w:rsid w:val="00B97342"/>
    <w:rsid w:val="00B973A9"/>
    <w:rsid w:val="00B97419"/>
    <w:rsid w:val="00B9768B"/>
    <w:rsid w:val="00B97692"/>
    <w:rsid w:val="00B976D0"/>
    <w:rsid w:val="00B9773B"/>
    <w:rsid w:val="00B9790A"/>
    <w:rsid w:val="00B97955"/>
    <w:rsid w:val="00B97A5A"/>
    <w:rsid w:val="00B97ABF"/>
    <w:rsid w:val="00B97AD6"/>
    <w:rsid w:val="00B97AE8"/>
    <w:rsid w:val="00B97B7A"/>
    <w:rsid w:val="00B97BBF"/>
    <w:rsid w:val="00B97BF1"/>
    <w:rsid w:val="00B97DA4"/>
    <w:rsid w:val="00B97DC0"/>
    <w:rsid w:val="00B97ED7"/>
    <w:rsid w:val="00B97F9F"/>
    <w:rsid w:val="00B97FF7"/>
    <w:rsid w:val="00BA00AB"/>
    <w:rsid w:val="00BA0101"/>
    <w:rsid w:val="00BA0120"/>
    <w:rsid w:val="00BA015E"/>
    <w:rsid w:val="00BA0193"/>
    <w:rsid w:val="00BA01A4"/>
    <w:rsid w:val="00BA0252"/>
    <w:rsid w:val="00BA02AC"/>
    <w:rsid w:val="00BA036E"/>
    <w:rsid w:val="00BA03C0"/>
    <w:rsid w:val="00BA0430"/>
    <w:rsid w:val="00BA04D6"/>
    <w:rsid w:val="00BA04F0"/>
    <w:rsid w:val="00BA0516"/>
    <w:rsid w:val="00BA055A"/>
    <w:rsid w:val="00BA05D9"/>
    <w:rsid w:val="00BA05F6"/>
    <w:rsid w:val="00BA0625"/>
    <w:rsid w:val="00BA06B2"/>
    <w:rsid w:val="00BA0789"/>
    <w:rsid w:val="00BA085A"/>
    <w:rsid w:val="00BA099D"/>
    <w:rsid w:val="00BA09DD"/>
    <w:rsid w:val="00BA0A1A"/>
    <w:rsid w:val="00BA0A3B"/>
    <w:rsid w:val="00BA0A90"/>
    <w:rsid w:val="00BA0ADE"/>
    <w:rsid w:val="00BA0B72"/>
    <w:rsid w:val="00BA0C08"/>
    <w:rsid w:val="00BA0CD5"/>
    <w:rsid w:val="00BA0D65"/>
    <w:rsid w:val="00BA0D9C"/>
    <w:rsid w:val="00BA0E31"/>
    <w:rsid w:val="00BA0EC6"/>
    <w:rsid w:val="00BA1027"/>
    <w:rsid w:val="00BA108D"/>
    <w:rsid w:val="00BA1093"/>
    <w:rsid w:val="00BA1126"/>
    <w:rsid w:val="00BA12DA"/>
    <w:rsid w:val="00BA140B"/>
    <w:rsid w:val="00BA145A"/>
    <w:rsid w:val="00BA14CB"/>
    <w:rsid w:val="00BA1509"/>
    <w:rsid w:val="00BA1550"/>
    <w:rsid w:val="00BA15F6"/>
    <w:rsid w:val="00BA1662"/>
    <w:rsid w:val="00BA169C"/>
    <w:rsid w:val="00BA16D6"/>
    <w:rsid w:val="00BA16DA"/>
    <w:rsid w:val="00BA17BF"/>
    <w:rsid w:val="00BA187E"/>
    <w:rsid w:val="00BA1912"/>
    <w:rsid w:val="00BA191C"/>
    <w:rsid w:val="00BA1A0A"/>
    <w:rsid w:val="00BA1B05"/>
    <w:rsid w:val="00BA1BA6"/>
    <w:rsid w:val="00BA1BDA"/>
    <w:rsid w:val="00BA1D2E"/>
    <w:rsid w:val="00BA1D53"/>
    <w:rsid w:val="00BA1E34"/>
    <w:rsid w:val="00BA1E41"/>
    <w:rsid w:val="00BA1F56"/>
    <w:rsid w:val="00BA1FCB"/>
    <w:rsid w:val="00BA2023"/>
    <w:rsid w:val="00BA20B3"/>
    <w:rsid w:val="00BA210D"/>
    <w:rsid w:val="00BA2139"/>
    <w:rsid w:val="00BA21FD"/>
    <w:rsid w:val="00BA2287"/>
    <w:rsid w:val="00BA22C9"/>
    <w:rsid w:val="00BA2524"/>
    <w:rsid w:val="00BA2570"/>
    <w:rsid w:val="00BA25FA"/>
    <w:rsid w:val="00BA275C"/>
    <w:rsid w:val="00BA2791"/>
    <w:rsid w:val="00BA27FB"/>
    <w:rsid w:val="00BA28AD"/>
    <w:rsid w:val="00BA28CD"/>
    <w:rsid w:val="00BA28D8"/>
    <w:rsid w:val="00BA2A48"/>
    <w:rsid w:val="00BA2A7C"/>
    <w:rsid w:val="00BA2A80"/>
    <w:rsid w:val="00BA2ADB"/>
    <w:rsid w:val="00BA2D07"/>
    <w:rsid w:val="00BA2D3C"/>
    <w:rsid w:val="00BA2D40"/>
    <w:rsid w:val="00BA2DCD"/>
    <w:rsid w:val="00BA2E9A"/>
    <w:rsid w:val="00BA2EB5"/>
    <w:rsid w:val="00BA2ECA"/>
    <w:rsid w:val="00BA2F0E"/>
    <w:rsid w:val="00BA2F1B"/>
    <w:rsid w:val="00BA2F24"/>
    <w:rsid w:val="00BA2F55"/>
    <w:rsid w:val="00BA2F88"/>
    <w:rsid w:val="00BA300B"/>
    <w:rsid w:val="00BA306D"/>
    <w:rsid w:val="00BA31E5"/>
    <w:rsid w:val="00BA3228"/>
    <w:rsid w:val="00BA32D0"/>
    <w:rsid w:val="00BA32DE"/>
    <w:rsid w:val="00BA32F5"/>
    <w:rsid w:val="00BA3341"/>
    <w:rsid w:val="00BA343D"/>
    <w:rsid w:val="00BA3451"/>
    <w:rsid w:val="00BA34CD"/>
    <w:rsid w:val="00BA35C8"/>
    <w:rsid w:val="00BA3662"/>
    <w:rsid w:val="00BA373B"/>
    <w:rsid w:val="00BA391F"/>
    <w:rsid w:val="00BA3A44"/>
    <w:rsid w:val="00BA3AFE"/>
    <w:rsid w:val="00BA3B19"/>
    <w:rsid w:val="00BA3C00"/>
    <w:rsid w:val="00BA3CE8"/>
    <w:rsid w:val="00BA3DBA"/>
    <w:rsid w:val="00BA3F24"/>
    <w:rsid w:val="00BA3F42"/>
    <w:rsid w:val="00BA4060"/>
    <w:rsid w:val="00BA40FA"/>
    <w:rsid w:val="00BA410E"/>
    <w:rsid w:val="00BA4134"/>
    <w:rsid w:val="00BA4138"/>
    <w:rsid w:val="00BA4263"/>
    <w:rsid w:val="00BA42D8"/>
    <w:rsid w:val="00BA4318"/>
    <w:rsid w:val="00BA43AB"/>
    <w:rsid w:val="00BA43D8"/>
    <w:rsid w:val="00BA44AF"/>
    <w:rsid w:val="00BA453E"/>
    <w:rsid w:val="00BA45DD"/>
    <w:rsid w:val="00BA4657"/>
    <w:rsid w:val="00BA4660"/>
    <w:rsid w:val="00BA4837"/>
    <w:rsid w:val="00BA485A"/>
    <w:rsid w:val="00BA48B8"/>
    <w:rsid w:val="00BA4973"/>
    <w:rsid w:val="00BA4A3A"/>
    <w:rsid w:val="00BA4ABE"/>
    <w:rsid w:val="00BA4B16"/>
    <w:rsid w:val="00BA4DE2"/>
    <w:rsid w:val="00BA4E28"/>
    <w:rsid w:val="00BA4E57"/>
    <w:rsid w:val="00BA4E62"/>
    <w:rsid w:val="00BA4E69"/>
    <w:rsid w:val="00BA4E91"/>
    <w:rsid w:val="00BA4E96"/>
    <w:rsid w:val="00BA502C"/>
    <w:rsid w:val="00BA5099"/>
    <w:rsid w:val="00BA50A5"/>
    <w:rsid w:val="00BA50B2"/>
    <w:rsid w:val="00BA50B8"/>
    <w:rsid w:val="00BA50F2"/>
    <w:rsid w:val="00BA5110"/>
    <w:rsid w:val="00BA515B"/>
    <w:rsid w:val="00BA5186"/>
    <w:rsid w:val="00BA5290"/>
    <w:rsid w:val="00BA52E6"/>
    <w:rsid w:val="00BA52FB"/>
    <w:rsid w:val="00BA535A"/>
    <w:rsid w:val="00BA53E6"/>
    <w:rsid w:val="00BA5514"/>
    <w:rsid w:val="00BA5593"/>
    <w:rsid w:val="00BA55A5"/>
    <w:rsid w:val="00BA5650"/>
    <w:rsid w:val="00BA56D1"/>
    <w:rsid w:val="00BA583E"/>
    <w:rsid w:val="00BA58E6"/>
    <w:rsid w:val="00BA5900"/>
    <w:rsid w:val="00BA5915"/>
    <w:rsid w:val="00BA5935"/>
    <w:rsid w:val="00BA5987"/>
    <w:rsid w:val="00BA5BB9"/>
    <w:rsid w:val="00BA5D0B"/>
    <w:rsid w:val="00BA5F4D"/>
    <w:rsid w:val="00BA6031"/>
    <w:rsid w:val="00BA606D"/>
    <w:rsid w:val="00BA607E"/>
    <w:rsid w:val="00BA615F"/>
    <w:rsid w:val="00BA6247"/>
    <w:rsid w:val="00BA630B"/>
    <w:rsid w:val="00BA637C"/>
    <w:rsid w:val="00BA63CE"/>
    <w:rsid w:val="00BA64B1"/>
    <w:rsid w:val="00BA6594"/>
    <w:rsid w:val="00BA65B5"/>
    <w:rsid w:val="00BA6796"/>
    <w:rsid w:val="00BA685A"/>
    <w:rsid w:val="00BA68A3"/>
    <w:rsid w:val="00BA691B"/>
    <w:rsid w:val="00BA696D"/>
    <w:rsid w:val="00BA69DE"/>
    <w:rsid w:val="00BA69EB"/>
    <w:rsid w:val="00BA6A75"/>
    <w:rsid w:val="00BA6AC7"/>
    <w:rsid w:val="00BA6B8B"/>
    <w:rsid w:val="00BA6C2F"/>
    <w:rsid w:val="00BA6C9F"/>
    <w:rsid w:val="00BA6CBE"/>
    <w:rsid w:val="00BA6D60"/>
    <w:rsid w:val="00BA6DDF"/>
    <w:rsid w:val="00BA6E56"/>
    <w:rsid w:val="00BA6E61"/>
    <w:rsid w:val="00BA6FA3"/>
    <w:rsid w:val="00BA702C"/>
    <w:rsid w:val="00BA7130"/>
    <w:rsid w:val="00BA716C"/>
    <w:rsid w:val="00BA71A0"/>
    <w:rsid w:val="00BA7231"/>
    <w:rsid w:val="00BA72BB"/>
    <w:rsid w:val="00BA72E0"/>
    <w:rsid w:val="00BA72E3"/>
    <w:rsid w:val="00BA7418"/>
    <w:rsid w:val="00BA74C4"/>
    <w:rsid w:val="00BA752A"/>
    <w:rsid w:val="00BA759D"/>
    <w:rsid w:val="00BA76C7"/>
    <w:rsid w:val="00BA76F5"/>
    <w:rsid w:val="00BA7810"/>
    <w:rsid w:val="00BA795D"/>
    <w:rsid w:val="00BA79E2"/>
    <w:rsid w:val="00BA79ED"/>
    <w:rsid w:val="00BA7A29"/>
    <w:rsid w:val="00BA7A3A"/>
    <w:rsid w:val="00BA7A81"/>
    <w:rsid w:val="00BA7B1C"/>
    <w:rsid w:val="00BA7BE5"/>
    <w:rsid w:val="00BA7C13"/>
    <w:rsid w:val="00BA7C86"/>
    <w:rsid w:val="00BA7CCB"/>
    <w:rsid w:val="00BA7DA0"/>
    <w:rsid w:val="00BA7E26"/>
    <w:rsid w:val="00BA7E70"/>
    <w:rsid w:val="00BA7F32"/>
    <w:rsid w:val="00BA7F53"/>
    <w:rsid w:val="00BB01B1"/>
    <w:rsid w:val="00BB01B9"/>
    <w:rsid w:val="00BB026B"/>
    <w:rsid w:val="00BB0326"/>
    <w:rsid w:val="00BB034A"/>
    <w:rsid w:val="00BB039E"/>
    <w:rsid w:val="00BB049E"/>
    <w:rsid w:val="00BB04BF"/>
    <w:rsid w:val="00BB055D"/>
    <w:rsid w:val="00BB05B5"/>
    <w:rsid w:val="00BB0647"/>
    <w:rsid w:val="00BB0689"/>
    <w:rsid w:val="00BB06EA"/>
    <w:rsid w:val="00BB082F"/>
    <w:rsid w:val="00BB08E3"/>
    <w:rsid w:val="00BB09B2"/>
    <w:rsid w:val="00BB0A5F"/>
    <w:rsid w:val="00BB0AD0"/>
    <w:rsid w:val="00BB0C83"/>
    <w:rsid w:val="00BB0C99"/>
    <w:rsid w:val="00BB0C9C"/>
    <w:rsid w:val="00BB0CBE"/>
    <w:rsid w:val="00BB0D48"/>
    <w:rsid w:val="00BB0DE4"/>
    <w:rsid w:val="00BB0DF5"/>
    <w:rsid w:val="00BB0E59"/>
    <w:rsid w:val="00BB0E5F"/>
    <w:rsid w:val="00BB1002"/>
    <w:rsid w:val="00BB1018"/>
    <w:rsid w:val="00BB1022"/>
    <w:rsid w:val="00BB117F"/>
    <w:rsid w:val="00BB1252"/>
    <w:rsid w:val="00BB14D8"/>
    <w:rsid w:val="00BB14F9"/>
    <w:rsid w:val="00BB152E"/>
    <w:rsid w:val="00BB1633"/>
    <w:rsid w:val="00BB172F"/>
    <w:rsid w:val="00BB1814"/>
    <w:rsid w:val="00BB1845"/>
    <w:rsid w:val="00BB1916"/>
    <w:rsid w:val="00BB1929"/>
    <w:rsid w:val="00BB195F"/>
    <w:rsid w:val="00BB1A7D"/>
    <w:rsid w:val="00BB1AFE"/>
    <w:rsid w:val="00BB1B08"/>
    <w:rsid w:val="00BB1C5C"/>
    <w:rsid w:val="00BB1E78"/>
    <w:rsid w:val="00BB1F9C"/>
    <w:rsid w:val="00BB1FC6"/>
    <w:rsid w:val="00BB1FE1"/>
    <w:rsid w:val="00BB20A3"/>
    <w:rsid w:val="00BB20A4"/>
    <w:rsid w:val="00BB20C9"/>
    <w:rsid w:val="00BB2156"/>
    <w:rsid w:val="00BB223B"/>
    <w:rsid w:val="00BB2378"/>
    <w:rsid w:val="00BB23BD"/>
    <w:rsid w:val="00BB244D"/>
    <w:rsid w:val="00BB251D"/>
    <w:rsid w:val="00BB2660"/>
    <w:rsid w:val="00BB26C3"/>
    <w:rsid w:val="00BB29F6"/>
    <w:rsid w:val="00BB2A46"/>
    <w:rsid w:val="00BB2A57"/>
    <w:rsid w:val="00BB2B56"/>
    <w:rsid w:val="00BB2B67"/>
    <w:rsid w:val="00BB2BB9"/>
    <w:rsid w:val="00BB2CAF"/>
    <w:rsid w:val="00BB2D3A"/>
    <w:rsid w:val="00BB2E30"/>
    <w:rsid w:val="00BB2EEB"/>
    <w:rsid w:val="00BB2F7D"/>
    <w:rsid w:val="00BB2FB8"/>
    <w:rsid w:val="00BB2FD7"/>
    <w:rsid w:val="00BB315C"/>
    <w:rsid w:val="00BB3186"/>
    <w:rsid w:val="00BB3328"/>
    <w:rsid w:val="00BB333A"/>
    <w:rsid w:val="00BB336B"/>
    <w:rsid w:val="00BB3410"/>
    <w:rsid w:val="00BB351C"/>
    <w:rsid w:val="00BB355A"/>
    <w:rsid w:val="00BB36B2"/>
    <w:rsid w:val="00BB3770"/>
    <w:rsid w:val="00BB382D"/>
    <w:rsid w:val="00BB3931"/>
    <w:rsid w:val="00BB3969"/>
    <w:rsid w:val="00BB39FC"/>
    <w:rsid w:val="00BB3A5C"/>
    <w:rsid w:val="00BB3A9B"/>
    <w:rsid w:val="00BB3BCF"/>
    <w:rsid w:val="00BB3C35"/>
    <w:rsid w:val="00BB3D01"/>
    <w:rsid w:val="00BB3D04"/>
    <w:rsid w:val="00BB3D14"/>
    <w:rsid w:val="00BB3D2D"/>
    <w:rsid w:val="00BB3D38"/>
    <w:rsid w:val="00BB3E1A"/>
    <w:rsid w:val="00BB3E28"/>
    <w:rsid w:val="00BB3E86"/>
    <w:rsid w:val="00BB3EB4"/>
    <w:rsid w:val="00BB3FF9"/>
    <w:rsid w:val="00BB4036"/>
    <w:rsid w:val="00BB4100"/>
    <w:rsid w:val="00BB415A"/>
    <w:rsid w:val="00BB4163"/>
    <w:rsid w:val="00BB4178"/>
    <w:rsid w:val="00BB4184"/>
    <w:rsid w:val="00BB4200"/>
    <w:rsid w:val="00BB4204"/>
    <w:rsid w:val="00BB44BC"/>
    <w:rsid w:val="00BB450A"/>
    <w:rsid w:val="00BB453A"/>
    <w:rsid w:val="00BB4626"/>
    <w:rsid w:val="00BB4709"/>
    <w:rsid w:val="00BB4764"/>
    <w:rsid w:val="00BB4799"/>
    <w:rsid w:val="00BB4844"/>
    <w:rsid w:val="00BB48B0"/>
    <w:rsid w:val="00BB4A02"/>
    <w:rsid w:val="00BB4A10"/>
    <w:rsid w:val="00BB4A18"/>
    <w:rsid w:val="00BB4A72"/>
    <w:rsid w:val="00BB4A97"/>
    <w:rsid w:val="00BB4B26"/>
    <w:rsid w:val="00BB4BB2"/>
    <w:rsid w:val="00BB4BFB"/>
    <w:rsid w:val="00BB4C12"/>
    <w:rsid w:val="00BB4C33"/>
    <w:rsid w:val="00BB4E61"/>
    <w:rsid w:val="00BB4F60"/>
    <w:rsid w:val="00BB4F65"/>
    <w:rsid w:val="00BB5193"/>
    <w:rsid w:val="00BB51D1"/>
    <w:rsid w:val="00BB51E9"/>
    <w:rsid w:val="00BB53D0"/>
    <w:rsid w:val="00BB53E7"/>
    <w:rsid w:val="00BB5419"/>
    <w:rsid w:val="00BB5461"/>
    <w:rsid w:val="00BB54EA"/>
    <w:rsid w:val="00BB54EC"/>
    <w:rsid w:val="00BB54FC"/>
    <w:rsid w:val="00BB551C"/>
    <w:rsid w:val="00BB5634"/>
    <w:rsid w:val="00BB5650"/>
    <w:rsid w:val="00BB57C9"/>
    <w:rsid w:val="00BB581A"/>
    <w:rsid w:val="00BB5875"/>
    <w:rsid w:val="00BB5905"/>
    <w:rsid w:val="00BB591B"/>
    <w:rsid w:val="00BB59AA"/>
    <w:rsid w:val="00BB59D1"/>
    <w:rsid w:val="00BB5AA2"/>
    <w:rsid w:val="00BB5B64"/>
    <w:rsid w:val="00BB5BA7"/>
    <w:rsid w:val="00BB5BC5"/>
    <w:rsid w:val="00BB5DDA"/>
    <w:rsid w:val="00BB5E90"/>
    <w:rsid w:val="00BB5ED1"/>
    <w:rsid w:val="00BB5F19"/>
    <w:rsid w:val="00BB5F1F"/>
    <w:rsid w:val="00BB5F56"/>
    <w:rsid w:val="00BB6043"/>
    <w:rsid w:val="00BB61F4"/>
    <w:rsid w:val="00BB63F7"/>
    <w:rsid w:val="00BB6686"/>
    <w:rsid w:val="00BB66B1"/>
    <w:rsid w:val="00BB66DF"/>
    <w:rsid w:val="00BB67DD"/>
    <w:rsid w:val="00BB6A30"/>
    <w:rsid w:val="00BB6BA1"/>
    <w:rsid w:val="00BB6C6E"/>
    <w:rsid w:val="00BB6CBD"/>
    <w:rsid w:val="00BB6CD9"/>
    <w:rsid w:val="00BB6D72"/>
    <w:rsid w:val="00BB6DCC"/>
    <w:rsid w:val="00BB6E05"/>
    <w:rsid w:val="00BB6F56"/>
    <w:rsid w:val="00BB6F7C"/>
    <w:rsid w:val="00BB709B"/>
    <w:rsid w:val="00BB70E7"/>
    <w:rsid w:val="00BB7186"/>
    <w:rsid w:val="00BB72B5"/>
    <w:rsid w:val="00BB73F7"/>
    <w:rsid w:val="00BB7463"/>
    <w:rsid w:val="00BB7471"/>
    <w:rsid w:val="00BB7485"/>
    <w:rsid w:val="00BB755E"/>
    <w:rsid w:val="00BB765A"/>
    <w:rsid w:val="00BB765B"/>
    <w:rsid w:val="00BB7695"/>
    <w:rsid w:val="00BB7699"/>
    <w:rsid w:val="00BB76B9"/>
    <w:rsid w:val="00BB7855"/>
    <w:rsid w:val="00BB7861"/>
    <w:rsid w:val="00BB78BB"/>
    <w:rsid w:val="00BB78C4"/>
    <w:rsid w:val="00BB795A"/>
    <w:rsid w:val="00BB79D1"/>
    <w:rsid w:val="00BB7A2B"/>
    <w:rsid w:val="00BB7A3A"/>
    <w:rsid w:val="00BB7B36"/>
    <w:rsid w:val="00BB7B62"/>
    <w:rsid w:val="00BB7B74"/>
    <w:rsid w:val="00BB7B80"/>
    <w:rsid w:val="00BB7BC3"/>
    <w:rsid w:val="00BB7C58"/>
    <w:rsid w:val="00BB7C87"/>
    <w:rsid w:val="00BB7CA2"/>
    <w:rsid w:val="00BB7D92"/>
    <w:rsid w:val="00BB7E84"/>
    <w:rsid w:val="00BB7E94"/>
    <w:rsid w:val="00BB7EB0"/>
    <w:rsid w:val="00BB7F51"/>
    <w:rsid w:val="00BB7F6C"/>
    <w:rsid w:val="00BB7F7A"/>
    <w:rsid w:val="00BB7FBB"/>
    <w:rsid w:val="00BC0005"/>
    <w:rsid w:val="00BC001F"/>
    <w:rsid w:val="00BC0053"/>
    <w:rsid w:val="00BC0143"/>
    <w:rsid w:val="00BC01F6"/>
    <w:rsid w:val="00BC020F"/>
    <w:rsid w:val="00BC0221"/>
    <w:rsid w:val="00BC0263"/>
    <w:rsid w:val="00BC027D"/>
    <w:rsid w:val="00BC0286"/>
    <w:rsid w:val="00BC046E"/>
    <w:rsid w:val="00BC059F"/>
    <w:rsid w:val="00BC0624"/>
    <w:rsid w:val="00BC0642"/>
    <w:rsid w:val="00BC06DE"/>
    <w:rsid w:val="00BC06E8"/>
    <w:rsid w:val="00BC07ED"/>
    <w:rsid w:val="00BC08C3"/>
    <w:rsid w:val="00BC0A0C"/>
    <w:rsid w:val="00BC0A94"/>
    <w:rsid w:val="00BC0A9D"/>
    <w:rsid w:val="00BC0C07"/>
    <w:rsid w:val="00BC0C28"/>
    <w:rsid w:val="00BC0DBF"/>
    <w:rsid w:val="00BC0DC5"/>
    <w:rsid w:val="00BC0E21"/>
    <w:rsid w:val="00BC0FB5"/>
    <w:rsid w:val="00BC1176"/>
    <w:rsid w:val="00BC121A"/>
    <w:rsid w:val="00BC13E3"/>
    <w:rsid w:val="00BC141C"/>
    <w:rsid w:val="00BC147A"/>
    <w:rsid w:val="00BC162D"/>
    <w:rsid w:val="00BC1789"/>
    <w:rsid w:val="00BC1807"/>
    <w:rsid w:val="00BC1826"/>
    <w:rsid w:val="00BC18C5"/>
    <w:rsid w:val="00BC18E9"/>
    <w:rsid w:val="00BC196D"/>
    <w:rsid w:val="00BC1994"/>
    <w:rsid w:val="00BC1B69"/>
    <w:rsid w:val="00BC1D4B"/>
    <w:rsid w:val="00BC1D6C"/>
    <w:rsid w:val="00BC1DAA"/>
    <w:rsid w:val="00BC1DEA"/>
    <w:rsid w:val="00BC1EA1"/>
    <w:rsid w:val="00BC1FD0"/>
    <w:rsid w:val="00BC20AD"/>
    <w:rsid w:val="00BC2161"/>
    <w:rsid w:val="00BC2246"/>
    <w:rsid w:val="00BC229C"/>
    <w:rsid w:val="00BC22B5"/>
    <w:rsid w:val="00BC2300"/>
    <w:rsid w:val="00BC24AB"/>
    <w:rsid w:val="00BC2559"/>
    <w:rsid w:val="00BC275C"/>
    <w:rsid w:val="00BC28D3"/>
    <w:rsid w:val="00BC29DA"/>
    <w:rsid w:val="00BC2A40"/>
    <w:rsid w:val="00BC2B53"/>
    <w:rsid w:val="00BC2C61"/>
    <w:rsid w:val="00BC2D25"/>
    <w:rsid w:val="00BC2D48"/>
    <w:rsid w:val="00BC2D92"/>
    <w:rsid w:val="00BC2E27"/>
    <w:rsid w:val="00BC2E2E"/>
    <w:rsid w:val="00BC2EDD"/>
    <w:rsid w:val="00BC2EFF"/>
    <w:rsid w:val="00BC2F11"/>
    <w:rsid w:val="00BC2F86"/>
    <w:rsid w:val="00BC304A"/>
    <w:rsid w:val="00BC308B"/>
    <w:rsid w:val="00BC30C5"/>
    <w:rsid w:val="00BC30D5"/>
    <w:rsid w:val="00BC3114"/>
    <w:rsid w:val="00BC322A"/>
    <w:rsid w:val="00BC322F"/>
    <w:rsid w:val="00BC3351"/>
    <w:rsid w:val="00BC33B4"/>
    <w:rsid w:val="00BC34B0"/>
    <w:rsid w:val="00BC3512"/>
    <w:rsid w:val="00BC367F"/>
    <w:rsid w:val="00BC36C3"/>
    <w:rsid w:val="00BC3779"/>
    <w:rsid w:val="00BC37BA"/>
    <w:rsid w:val="00BC37C3"/>
    <w:rsid w:val="00BC37DA"/>
    <w:rsid w:val="00BC386B"/>
    <w:rsid w:val="00BC38A9"/>
    <w:rsid w:val="00BC3928"/>
    <w:rsid w:val="00BC392C"/>
    <w:rsid w:val="00BC394E"/>
    <w:rsid w:val="00BC39EB"/>
    <w:rsid w:val="00BC3A5F"/>
    <w:rsid w:val="00BC3BA7"/>
    <w:rsid w:val="00BC3C43"/>
    <w:rsid w:val="00BC3DFA"/>
    <w:rsid w:val="00BC3E23"/>
    <w:rsid w:val="00BC3EC3"/>
    <w:rsid w:val="00BC4267"/>
    <w:rsid w:val="00BC42C7"/>
    <w:rsid w:val="00BC42F4"/>
    <w:rsid w:val="00BC432C"/>
    <w:rsid w:val="00BC4430"/>
    <w:rsid w:val="00BC448D"/>
    <w:rsid w:val="00BC47F7"/>
    <w:rsid w:val="00BC47FA"/>
    <w:rsid w:val="00BC4852"/>
    <w:rsid w:val="00BC4854"/>
    <w:rsid w:val="00BC48CA"/>
    <w:rsid w:val="00BC4958"/>
    <w:rsid w:val="00BC4959"/>
    <w:rsid w:val="00BC4B9A"/>
    <w:rsid w:val="00BC4C6D"/>
    <w:rsid w:val="00BC4C85"/>
    <w:rsid w:val="00BC4C97"/>
    <w:rsid w:val="00BC4CFB"/>
    <w:rsid w:val="00BC4F90"/>
    <w:rsid w:val="00BC4FCB"/>
    <w:rsid w:val="00BC5131"/>
    <w:rsid w:val="00BC521F"/>
    <w:rsid w:val="00BC522A"/>
    <w:rsid w:val="00BC52FF"/>
    <w:rsid w:val="00BC530D"/>
    <w:rsid w:val="00BC5408"/>
    <w:rsid w:val="00BC54C0"/>
    <w:rsid w:val="00BC55B1"/>
    <w:rsid w:val="00BC560F"/>
    <w:rsid w:val="00BC5633"/>
    <w:rsid w:val="00BC5745"/>
    <w:rsid w:val="00BC57FA"/>
    <w:rsid w:val="00BC5875"/>
    <w:rsid w:val="00BC594F"/>
    <w:rsid w:val="00BC5A30"/>
    <w:rsid w:val="00BC5A74"/>
    <w:rsid w:val="00BC5B1E"/>
    <w:rsid w:val="00BC5B22"/>
    <w:rsid w:val="00BC5D33"/>
    <w:rsid w:val="00BC5D71"/>
    <w:rsid w:val="00BC5EA5"/>
    <w:rsid w:val="00BC5EC9"/>
    <w:rsid w:val="00BC5F58"/>
    <w:rsid w:val="00BC5F81"/>
    <w:rsid w:val="00BC5FE8"/>
    <w:rsid w:val="00BC6157"/>
    <w:rsid w:val="00BC617B"/>
    <w:rsid w:val="00BC6193"/>
    <w:rsid w:val="00BC61C8"/>
    <w:rsid w:val="00BC61DC"/>
    <w:rsid w:val="00BC6243"/>
    <w:rsid w:val="00BC629D"/>
    <w:rsid w:val="00BC62C9"/>
    <w:rsid w:val="00BC6455"/>
    <w:rsid w:val="00BC64BD"/>
    <w:rsid w:val="00BC658E"/>
    <w:rsid w:val="00BC65E5"/>
    <w:rsid w:val="00BC65E7"/>
    <w:rsid w:val="00BC65F4"/>
    <w:rsid w:val="00BC6625"/>
    <w:rsid w:val="00BC662C"/>
    <w:rsid w:val="00BC6665"/>
    <w:rsid w:val="00BC666D"/>
    <w:rsid w:val="00BC67B8"/>
    <w:rsid w:val="00BC67BE"/>
    <w:rsid w:val="00BC689C"/>
    <w:rsid w:val="00BC68F7"/>
    <w:rsid w:val="00BC68FC"/>
    <w:rsid w:val="00BC6911"/>
    <w:rsid w:val="00BC699E"/>
    <w:rsid w:val="00BC6A4F"/>
    <w:rsid w:val="00BC6A61"/>
    <w:rsid w:val="00BC6A67"/>
    <w:rsid w:val="00BC6A6D"/>
    <w:rsid w:val="00BC6AD6"/>
    <w:rsid w:val="00BC6B5C"/>
    <w:rsid w:val="00BC6B91"/>
    <w:rsid w:val="00BC6CA3"/>
    <w:rsid w:val="00BC6D62"/>
    <w:rsid w:val="00BC6E15"/>
    <w:rsid w:val="00BC6E19"/>
    <w:rsid w:val="00BC6E3E"/>
    <w:rsid w:val="00BC6EC6"/>
    <w:rsid w:val="00BC6F35"/>
    <w:rsid w:val="00BC711C"/>
    <w:rsid w:val="00BC717C"/>
    <w:rsid w:val="00BC71C6"/>
    <w:rsid w:val="00BC721A"/>
    <w:rsid w:val="00BC743F"/>
    <w:rsid w:val="00BC7447"/>
    <w:rsid w:val="00BC74C4"/>
    <w:rsid w:val="00BC7525"/>
    <w:rsid w:val="00BC7651"/>
    <w:rsid w:val="00BC7749"/>
    <w:rsid w:val="00BC77B8"/>
    <w:rsid w:val="00BC7971"/>
    <w:rsid w:val="00BC79A1"/>
    <w:rsid w:val="00BC79E9"/>
    <w:rsid w:val="00BC7A4B"/>
    <w:rsid w:val="00BC7A7C"/>
    <w:rsid w:val="00BC7AAB"/>
    <w:rsid w:val="00BC7AC8"/>
    <w:rsid w:val="00BC7CBA"/>
    <w:rsid w:val="00BC7D5D"/>
    <w:rsid w:val="00BC7D64"/>
    <w:rsid w:val="00BC7DDC"/>
    <w:rsid w:val="00BC7DE4"/>
    <w:rsid w:val="00BC7E8D"/>
    <w:rsid w:val="00BC7FB5"/>
    <w:rsid w:val="00BD0053"/>
    <w:rsid w:val="00BD0123"/>
    <w:rsid w:val="00BD0146"/>
    <w:rsid w:val="00BD0196"/>
    <w:rsid w:val="00BD01EE"/>
    <w:rsid w:val="00BD0317"/>
    <w:rsid w:val="00BD0331"/>
    <w:rsid w:val="00BD0347"/>
    <w:rsid w:val="00BD036B"/>
    <w:rsid w:val="00BD038A"/>
    <w:rsid w:val="00BD0529"/>
    <w:rsid w:val="00BD0551"/>
    <w:rsid w:val="00BD05C7"/>
    <w:rsid w:val="00BD064F"/>
    <w:rsid w:val="00BD0678"/>
    <w:rsid w:val="00BD0695"/>
    <w:rsid w:val="00BD077D"/>
    <w:rsid w:val="00BD07C5"/>
    <w:rsid w:val="00BD081E"/>
    <w:rsid w:val="00BD091A"/>
    <w:rsid w:val="00BD099F"/>
    <w:rsid w:val="00BD09B3"/>
    <w:rsid w:val="00BD09CD"/>
    <w:rsid w:val="00BD0A93"/>
    <w:rsid w:val="00BD0AB5"/>
    <w:rsid w:val="00BD0B3D"/>
    <w:rsid w:val="00BD0B82"/>
    <w:rsid w:val="00BD0BAA"/>
    <w:rsid w:val="00BD0C25"/>
    <w:rsid w:val="00BD0D00"/>
    <w:rsid w:val="00BD0D8A"/>
    <w:rsid w:val="00BD0DAC"/>
    <w:rsid w:val="00BD0DD1"/>
    <w:rsid w:val="00BD0DF1"/>
    <w:rsid w:val="00BD0DF4"/>
    <w:rsid w:val="00BD0E45"/>
    <w:rsid w:val="00BD0F2B"/>
    <w:rsid w:val="00BD0FE2"/>
    <w:rsid w:val="00BD100D"/>
    <w:rsid w:val="00BD1028"/>
    <w:rsid w:val="00BD1196"/>
    <w:rsid w:val="00BD11F4"/>
    <w:rsid w:val="00BD12CB"/>
    <w:rsid w:val="00BD1333"/>
    <w:rsid w:val="00BD13F5"/>
    <w:rsid w:val="00BD1421"/>
    <w:rsid w:val="00BD1427"/>
    <w:rsid w:val="00BD1450"/>
    <w:rsid w:val="00BD165A"/>
    <w:rsid w:val="00BD167B"/>
    <w:rsid w:val="00BD16DE"/>
    <w:rsid w:val="00BD1705"/>
    <w:rsid w:val="00BD182D"/>
    <w:rsid w:val="00BD1892"/>
    <w:rsid w:val="00BD18C7"/>
    <w:rsid w:val="00BD18F5"/>
    <w:rsid w:val="00BD1934"/>
    <w:rsid w:val="00BD194D"/>
    <w:rsid w:val="00BD199B"/>
    <w:rsid w:val="00BD19CE"/>
    <w:rsid w:val="00BD19E3"/>
    <w:rsid w:val="00BD1A00"/>
    <w:rsid w:val="00BD1A25"/>
    <w:rsid w:val="00BD1A5F"/>
    <w:rsid w:val="00BD1A61"/>
    <w:rsid w:val="00BD1A6E"/>
    <w:rsid w:val="00BD1AE7"/>
    <w:rsid w:val="00BD1C68"/>
    <w:rsid w:val="00BD1C87"/>
    <w:rsid w:val="00BD1CBF"/>
    <w:rsid w:val="00BD1D30"/>
    <w:rsid w:val="00BD1D35"/>
    <w:rsid w:val="00BD1DBF"/>
    <w:rsid w:val="00BD1DF0"/>
    <w:rsid w:val="00BD1E24"/>
    <w:rsid w:val="00BD1F10"/>
    <w:rsid w:val="00BD1FB7"/>
    <w:rsid w:val="00BD215B"/>
    <w:rsid w:val="00BD2179"/>
    <w:rsid w:val="00BD217F"/>
    <w:rsid w:val="00BD2190"/>
    <w:rsid w:val="00BD2195"/>
    <w:rsid w:val="00BD2445"/>
    <w:rsid w:val="00BD2492"/>
    <w:rsid w:val="00BD24D6"/>
    <w:rsid w:val="00BD25DC"/>
    <w:rsid w:val="00BD2763"/>
    <w:rsid w:val="00BD2825"/>
    <w:rsid w:val="00BD28AF"/>
    <w:rsid w:val="00BD28C4"/>
    <w:rsid w:val="00BD2906"/>
    <w:rsid w:val="00BD2A3E"/>
    <w:rsid w:val="00BD2A57"/>
    <w:rsid w:val="00BD2AAA"/>
    <w:rsid w:val="00BD2AC0"/>
    <w:rsid w:val="00BD2B0C"/>
    <w:rsid w:val="00BD2B56"/>
    <w:rsid w:val="00BD2C0A"/>
    <w:rsid w:val="00BD2CF3"/>
    <w:rsid w:val="00BD2DE1"/>
    <w:rsid w:val="00BD2DF5"/>
    <w:rsid w:val="00BD2EAA"/>
    <w:rsid w:val="00BD2EEA"/>
    <w:rsid w:val="00BD2F8E"/>
    <w:rsid w:val="00BD2FBE"/>
    <w:rsid w:val="00BD3095"/>
    <w:rsid w:val="00BD30FB"/>
    <w:rsid w:val="00BD310F"/>
    <w:rsid w:val="00BD3130"/>
    <w:rsid w:val="00BD3171"/>
    <w:rsid w:val="00BD319C"/>
    <w:rsid w:val="00BD325B"/>
    <w:rsid w:val="00BD3403"/>
    <w:rsid w:val="00BD3452"/>
    <w:rsid w:val="00BD3470"/>
    <w:rsid w:val="00BD3475"/>
    <w:rsid w:val="00BD35DE"/>
    <w:rsid w:val="00BD3656"/>
    <w:rsid w:val="00BD37F1"/>
    <w:rsid w:val="00BD3934"/>
    <w:rsid w:val="00BD3969"/>
    <w:rsid w:val="00BD39BF"/>
    <w:rsid w:val="00BD39CE"/>
    <w:rsid w:val="00BD39DB"/>
    <w:rsid w:val="00BD3ABC"/>
    <w:rsid w:val="00BD3B2F"/>
    <w:rsid w:val="00BD3C54"/>
    <w:rsid w:val="00BD3D4E"/>
    <w:rsid w:val="00BD3DC7"/>
    <w:rsid w:val="00BD3DED"/>
    <w:rsid w:val="00BD3EE9"/>
    <w:rsid w:val="00BD3F22"/>
    <w:rsid w:val="00BD3F44"/>
    <w:rsid w:val="00BD400F"/>
    <w:rsid w:val="00BD40DC"/>
    <w:rsid w:val="00BD4144"/>
    <w:rsid w:val="00BD4149"/>
    <w:rsid w:val="00BD4237"/>
    <w:rsid w:val="00BD4282"/>
    <w:rsid w:val="00BD4401"/>
    <w:rsid w:val="00BD450F"/>
    <w:rsid w:val="00BD4531"/>
    <w:rsid w:val="00BD4535"/>
    <w:rsid w:val="00BD4577"/>
    <w:rsid w:val="00BD45C4"/>
    <w:rsid w:val="00BD478D"/>
    <w:rsid w:val="00BD485A"/>
    <w:rsid w:val="00BD486F"/>
    <w:rsid w:val="00BD491E"/>
    <w:rsid w:val="00BD496C"/>
    <w:rsid w:val="00BD4A0E"/>
    <w:rsid w:val="00BD4A29"/>
    <w:rsid w:val="00BD4A48"/>
    <w:rsid w:val="00BD4A6A"/>
    <w:rsid w:val="00BD4B5E"/>
    <w:rsid w:val="00BD4CDC"/>
    <w:rsid w:val="00BD4D73"/>
    <w:rsid w:val="00BD4D9B"/>
    <w:rsid w:val="00BD4E3A"/>
    <w:rsid w:val="00BD4F47"/>
    <w:rsid w:val="00BD4FCA"/>
    <w:rsid w:val="00BD527A"/>
    <w:rsid w:val="00BD536E"/>
    <w:rsid w:val="00BD53A3"/>
    <w:rsid w:val="00BD5492"/>
    <w:rsid w:val="00BD55C0"/>
    <w:rsid w:val="00BD567A"/>
    <w:rsid w:val="00BD56FB"/>
    <w:rsid w:val="00BD5953"/>
    <w:rsid w:val="00BD596E"/>
    <w:rsid w:val="00BD59FB"/>
    <w:rsid w:val="00BD5AAB"/>
    <w:rsid w:val="00BD5B2A"/>
    <w:rsid w:val="00BD5B71"/>
    <w:rsid w:val="00BD5BA4"/>
    <w:rsid w:val="00BD5BDB"/>
    <w:rsid w:val="00BD5CE8"/>
    <w:rsid w:val="00BD5D10"/>
    <w:rsid w:val="00BD5D5A"/>
    <w:rsid w:val="00BD5D8A"/>
    <w:rsid w:val="00BD5DED"/>
    <w:rsid w:val="00BD5DEE"/>
    <w:rsid w:val="00BD61B8"/>
    <w:rsid w:val="00BD621E"/>
    <w:rsid w:val="00BD628B"/>
    <w:rsid w:val="00BD62DD"/>
    <w:rsid w:val="00BD6336"/>
    <w:rsid w:val="00BD6483"/>
    <w:rsid w:val="00BD6498"/>
    <w:rsid w:val="00BD64B6"/>
    <w:rsid w:val="00BD6546"/>
    <w:rsid w:val="00BD6581"/>
    <w:rsid w:val="00BD6627"/>
    <w:rsid w:val="00BD668A"/>
    <w:rsid w:val="00BD6699"/>
    <w:rsid w:val="00BD669F"/>
    <w:rsid w:val="00BD66A8"/>
    <w:rsid w:val="00BD6901"/>
    <w:rsid w:val="00BD69AA"/>
    <w:rsid w:val="00BD6AA3"/>
    <w:rsid w:val="00BD6B38"/>
    <w:rsid w:val="00BD6C51"/>
    <w:rsid w:val="00BD6CD9"/>
    <w:rsid w:val="00BD6D1F"/>
    <w:rsid w:val="00BD6D50"/>
    <w:rsid w:val="00BD6D53"/>
    <w:rsid w:val="00BD6DDA"/>
    <w:rsid w:val="00BD6E6D"/>
    <w:rsid w:val="00BD6E75"/>
    <w:rsid w:val="00BD6E81"/>
    <w:rsid w:val="00BD6EE9"/>
    <w:rsid w:val="00BD6F4B"/>
    <w:rsid w:val="00BD6F8C"/>
    <w:rsid w:val="00BD7071"/>
    <w:rsid w:val="00BD7146"/>
    <w:rsid w:val="00BD719C"/>
    <w:rsid w:val="00BD722E"/>
    <w:rsid w:val="00BD7248"/>
    <w:rsid w:val="00BD725D"/>
    <w:rsid w:val="00BD728A"/>
    <w:rsid w:val="00BD72FF"/>
    <w:rsid w:val="00BD7372"/>
    <w:rsid w:val="00BD7404"/>
    <w:rsid w:val="00BD748F"/>
    <w:rsid w:val="00BD7518"/>
    <w:rsid w:val="00BD7650"/>
    <w:rsid w:val="00BD772E"/>
    <w:rsid w:val="00BD7848"/>
    <w:rsid w:val="00BD7870"/>
    <w:rsid w:val="00BD787E"/>
    <w:rsid w:val="00BD78B3"/>
    <w:rsid w:val="00BD7914"/>
    <w:rsid w:val="00BD7953"/>
    <w:rsid w:val="00BD79BD"/>
    <w:rsid w:val="00BD7BB2"/>
    <w:rsid w:val="00BD7C55"/>
    <w:rsid w:val="00BD7C73"/>
    <w:rsid w:val="00BD7CCF"/>
    <w:rsid w:val="00BD7D60"/>
    <w:rsid w:val="00BD7DC8"/>
    <w:rsid w:val="00BD7EFB"/>
    <w:rsid w:val="00BE0258"/>
    <w:rsid w:val="00BE0325"/>
    <w:rsid w:val="00BE0343"/>
    <w:rsid w:val="00BE039D"/>
    <w:rsid w:val="00BE0426"/>
    <w:rsid w:val="00BE0440"/>
    <w:rsid w:val="00BE0481"/>
    <w:rsid w:val="00BE0482"/>
    <w:rsid w:val="00BE05B6"/>
    <w:rsid w:val="00BE0716"/>
    <w:rsid w:val="00BE0755"/>
    <w:rsid w:val="00BE08FF"/>
    <w:rsid w:val="00BE09E1"/>
    <w:rsid w:val="00BE0A8F"/>
    <w:rsid w:val="00BE0B96"/>
    <w:rsid w:val="00BE0CF8"/>
    <w:rsid w:val="00BE0D3C"/>
    <w:rsid w:val="00BE0D4A"/>
    <w:rsid w:val="00BE0D61"/>
    <w:rsid w:val="00BE0D63"/>
    <w:rsid w:val="00BE0D71"/>
    <w:rsid w:val="00BE0E70"/>
    <w:rsid w:val="00BE0EB5"/>
    <w:rsid w:val="00BE0EF1"/>
    <w:rsid w:val="00BE0FD7"/>
    <w:rsid w:val="00BE1118"/>
    <w:rsid w:val="00BE1262"/>
    <w:rsid w:val="00BE12DE"/>
    <w:rsid w:val="00BE1365"/>
    <w:rsid w:val="00BE13F7"/>
    <w:rsid w:val="00BE1414"/>
    <w:rsid w:val="00BE14F8"/>
    <w:rsid w:val="00BE1541"/>
    <w:rsid w:val="00BE1646"/>
    <w:rsid w:val="00BE1683"/>
    <w:rsid w:val="00BE1809"/>
    <w:rsid w:val="00BE18A1"/>
    <w:rsid w:val="00BE19DE"/>
    <w:rsid w:val="00BE1BCA"/>
    <w:rsid w:val="00BE1BDB"/>
    <w:rsid w:val="00BE1C05"/>
    <w:rsid w:val="00BE1C2D"/>
    <w:rsid w:val="00BE1C77"/>
    <w:rsid w:val="00BE1E0D"/>
    <w:rsid w:val="00BE1E6D"/>
    <w:rsid w:val="00BE1F12"/>
    <w:rsid w:val="00BE1FDA"/>
    <w:rsid w:val="00BE2016"/>
    <w:rsid w:val="00BE2026"/>
    <w:rsid w:val="00BE2074"/>
    <w:rsid w:val="00BE2078"/>
    <w:rsid w:val="00BE20BD"/>
    <w:rsid w:val="00BE20E3"/>
    <w:rsid w:val="00BE2132"/>
    <w:rsid w:val="00BE2167"/>
    <w:rsid w:val="00BE21EB"/>
    <w:rsid w:val="00BE23A4"/>
    <w:rsid w:val="00BE23D6"/>
    <w:rsid w:val="00BE241E"/>
    <w:rsid w:val="00BE2421"/>
    <w:rsid w:val="00BE2469"/>
    <w:rsid w:val="00BE24C9"/>
    <w:rsid w:val="00BE2664"/>
    <w:rsid w:val="00BE274A"/>
    <w:rsid w:val="00BE2834"/>
    <w:rsid w:val="00BE286D"/>
    <w:rsid w:val="00BE289D"/>
    <w:rsid w:val="00BE28C8"/>
    <w:rsid w:val="00BE2A24"/>
    <w:rsid w:val="00BE2AB5"/>
    <w:rsid w:val="00BE2AB8"/>
    <w:rsid w:val="00BE2AC5"/>
    <w:rsid w:val="00BE2B62"/>
    <w:rsid w:val="00BE2BA6"/>
    <w:rsid w:val="00BE2D10"/>
    <w:rsid w:val="00BE2DB5"/>
    <w:rsid w:val="00BE2F77"/>
    <w:rsid w:val="00BE3082"/>
    <w:rsid w:val="00BE30A1"/>
    <w:rsid w:val="00BE315F"/>
    <w:rsid w:val="00BE3245"/>
    <w:rsid w:val="00BE3265"/>
    <w:rsid w:val="00BE3326"/>
    <w:rsid w:val="00BE3372"/>
    <w:rsid w:val="00BE3407"/>
    <w:rsid w:val="00BE3438"/>
    <w:rsid w:val="00BE346F"/>
    <w:rsid w:val="00BE347C"/>
    <w:rsid w:val="00BE3488"/>
    <w:rsid w:val="00BE34F2"/>
    <w:rsid w:val="00BE352F"/>
    <w:rsid w:val="00BE35FF"/>
    <w:rsid w:val="00BE362C"/>
    <w:rsid w:val="00BE3691"/>
    <w:rsid w:val="00BE374A"/>
    <w:rsid w:val="00BE380D"/>
    <w:rsid w:val="00BE3837"/>
    <w:rsid w:val="00BE38D7"/>
    <w:rsid w:val="00BE3922"/>
    <w:rsid w:val="00BE3946"/>
    <w:rsid w:val="00BE398A"/>
    <w:rsid w:val="00BE39D9"/>
    <w:rsid w:val="00BE3A54"/>
    <w:rsid w:val="00BE3A9C"/>
    <w:rsid w:val="00BE3B90"/>
    <w:rsid w:val="00BE3CAE"/>
    <w:rsid w:val="00BE3CF4"/>
    <w:rsid w:val="00BE3D1B"/>
    <w:rsid w:val="00BE3E71"/>
    <w:rsid w:val="00BE3F05"/>
    <w:rsid w:val="00BE414A"/>
    <w:rsid w:val="00BE4283"/>
    <w:rsid w:val="00BE42F4"/>
    <w:rsid w:val="00BE43F6"/>
    <w:rsid w:val="00BE4453"/>
    <w:rsid w:val="00BE447E"/>
    <w:rsid w:val="00BE4513"/>
    <w:rsid w:val="00BE4609"/>
    <w:rsid w:val="00BE466E"/>
    <w:rsid w:val="00BE4683"/>
    <w:rsid w:val="00BE46B6"/>
    <w:rsid w:val="00BE4764"/>
    <w:rsid w:val="00BE47D1"/>
    <w:rsid w:val="00BE4827"/>
    <w:rsid w:val="00BE4916"/>
    <w:rsid w:val="00BE49B1"/>
    <w:rsid w:val="00BE4A1C"/>
    <w:rsid w:val="00BE4A65"/>
    <w:rsid w:val="00BE4AEB"/>
    <w:rsid w:val="00BE4B70"/>
    <w:rsid w:val="00BE4B88"/>
    <w:rsid w:val="00BE4BCA"/>
    <w:rsid w:val="00BE4C29"/>
    <w:rsid w:val="00BE4C2C"/>
    <w:rsid w:val="00BE4C4D"/>
    <w:rsid w:val="00BE4C54"/>
    <w:rsid w:val="00BE4D80"/>
    <w:rsid w:val="00BE4E01"/>
    <w:rsid w:val="00BE4FAA"/>
    <w:rsid w:val="00BE512E"/>
    <w:rsid w:val="00BE5135"/>
    <w:rsid w:val="00BE5287"/>
    <w:rsid w:val="00BE5301"/>
    <w:rsid w:val="00BE5372"/>
    <w:rsid w:val="00BE537A"/>
    <w:rsid w:val="00BE541F"/>
    <w:rsid w:val="00BE54E2"/>
    <w:rsid w:val="00BE54E6"/>
    <w:rsid w:val="00BE5568"/>
    <w:rsid w:val="00BE5623"/>
    <w:rsid w:val="00BE56DF"/>
    <w:rsid w:val="00BE578A"/>
    <w:rsid w:val="00BE57D3"/>
    <w:rsid w:val="00BE5842"/>
    <w:rsid w:val="00BE588B"/>
    <w:rsid w:val="00BE5967"/>
    <w:rsid w:val="00BE5AA6"/>
    <w:rsid w:val="00BE5ABA"/>
    <w:rsid w:val="00BE5AC4"/>
    <w:rsid w:val="00BE5B13"/>
    <w:rsid w:val="00BE5C45"/>
    <w:rsid w:val="00BE5C8C"/>
    <w:rsid w:val="00BE5CE4"/>
    <w:rsid w:val="00BE5DFA"/>
    <w:rsid w:val="00BE5E32"/>
    <w:rsid w:val="00BE5E4A"/>
    <w:rsid w:val="00BE5E86"/>
    <w:rsid w:val="00BE5E8C"/>
    <w:rsid w:val="00BE604B"/>
    <w:rsid w:val="00BE605A"/>
    <w:rsid w:val="00BE60B5"/>
    <w:rsid w:val="00BE6218"/>
    <w:rsid w:val="00BE625D"/>
    <w:rsid w:val="00BE6279"/>
    <w:rsid w:val="00BE63F0"/>
    <w:rsid w:val="00BE6549"/>
    <w:rsid w:val="00BE65C7"/>
    <w:rsid w:val="00BE671D"/>
    <w:rsid w:val="00BE677C"/>
    <w:rsid w:val="00BE6784"/>
    <w:rsid w:val="00BE6841"/>
    <w:rsid w:val="00BE6867"/>
    <w:rsid w:val="00BE68E4"/>
    <w:rsid w:val="00BE69E4"/>
    <w:rsid w:val="00BE69FB"/>
    <w:rsid w:val="00BE6A45"/>
    <w:rsid w:val="00BE6ADA"/>
    <w:rsid w:val="00BE6B8C"/>
    <w:rsid w:val="00BE6C38"/>
    <w:rsid w:val="00BE6C4E"/>
    <w:rsid w:val="00BE6D7B"/>
    <w:rsid w:val="00BE6E78"/>
    <w:rsid w:val="00BE7076"/>
    <w:rsid w:val="00BE71FA"/>
    <w:rsid w:val="00BE722A"/>
    <w:rsid w:val="00BE7391"/>
    <w:rsid w:val="00BE7423"/>
    <w:rsid w:val="00BE74CE"/>
    <w:rsid w:val="00BE7516"/>
    <w:rsid w:val="00BE7555"/>
    <w:rsid w:val="00BE7600"/>
    <w:rsid w:val="00BE766A"/>
    <w:rsid w:val="00BE76BB"/>
    <w:rsid w:val="00BE7836"/>
    <w:rsid w:val="00BE78CC"/>
    <w:rsid w:val="00BE7976"/>
    <w:rsid w:val="00BE7A0E"/>
    <w:rsid w:val="00BE7A10"/>
    <w:rsid w:val="00BE7A39"/>
    <w:rsid w:val="00BE7A77"/>
    <w:rsid w:val="00BE7B0B"/>
    <w:rsid w:val="00BE7CD7"/>
    <w:rsid w:val="00BE7D13"/>
    <w:rsid w:val="00BE7D4A"/>
    <w:rsid w:val="00BE7DF5"/>
    <w:rsid w:val="00BE7E29"/>
    <w:rsid w:val="00BE7F39"/>
    <w:rsid w:val="00BE7FD8"/>
    <w:rsid w:val="00BF006A"/>
    <w:rsid w:val="00BF013F"/>
    <w:rsid w:val="00BF01C5"/>
    <w:rsid w:val="00BF0204"/>
    <w:rsid w:val="00BF0288"/>
    <w:rsid w:val="00BF03F2"/>
    <w:rsid w:val="00BF0541"/>
    <w:rsid w:val="00BF0617"/>
    <w:rsid w:val="00BF0687"/>
    <w:rsid w:val="00BF068F"/>
    <w:rsid w:val="00BF0771"/>
    <w:rsid w:val="00BF089E"/>
    <w:rsid w:val="00BF08E9"/>
    <w:rsid w:val="00BF09AF"/>
    <w:rsid w:val="00BF09DC"/>
    <w:rsid w:val="00BF0A23"/>
    <w:rsid w:val="00BF0A61"/>
    <w:rsid w:val="00BF0A73"/>
    <w:rsid w:val="00BF0AB6"/>
    <w:rsid w:val="00BF0AD5"/>
    <w:rsid w:val="00BF0C43"/>
    <w:rsid w:val="00BF0C64"/>
    <w:rsid w:val="00BF0D10"/>
    <w:rsid w:val="00BF0D8B"/>
    <w:rsid w:val="00BF0DAC"/>
    <w:rsid w:val="00BF0DB0"/>
    <w:rsid w:val="00BF0DC7"/>
    <w:rsid w:val="00BF0EFD"/>
    <w:rsid w:val="00BF0F4E"/>
    <w:rsid w:val="00BF0FF6"/>
    <w:rsid w:val="00BF102F"/>
    <w:rsid w:val="00BF105B"/>
    <w:rsid w:val="00BF111E"/>
    <w:rsid w:val="00BF11CA"/>
    <w:rsid w:val="00BF11EE"/>
    <w:rsid w:val="00BF127A"/>
    <w:rsid w:val="00BF12A3"/>
    <w:rsid w:val="00BF12A5"/>
    <w:rsid w:val="00BF1388"/>
    <w:rsid w:val="00BF1403"/>
    <w:rsid w:val="00BF1516"/>
    <w:rsid w:val="00BF156E"/>
    <w:rsid w:val="00BF1596"/>
    <w:rsid w:val="00BF15EA"/>
    <w:rsid w:val="00BF164D"/>
    <w:rsid w:val="00BF1654"/>
    <w:rsid w:val="00BF17CD"/>
    <w:rsid w:val="00BF18DB"/>
    <w:rsid w:val="00BF18FB"/>
    <w:rsid w:val="00BF195D"/>
    <w:rsid w:val="00BF1A39"/>
    <w:rsid w:val="00BF1B1F"/>
    <w:rsid w:val="00BF1B6E"/>
    <w:rsid w:val="00BF1B87"/>
    <w:rsid w:val="00BF1BA1"/>
    <w:rsid w:val="00BF1C28"/>
    <w:rsid w:val="00BF1C3C"/>
    <w:rsid w:val="00BF1CDC"/>
    <w:rsid w:val="00BF1D5B"/>
    <w:rsid w:val="00BF1DC1"/>
    <w:rsid w:val="00BF1DD1"/>
    <w:rsid w:val="00BF1E67"/>
    <w:rsid w:val="00BF1E68"/>
    <w:rsid w:val="00BF1F27"/>
    <w:rsid w:val="00BF1F66"/>
    <w:rsid w:val="00BF2003"/>
    <w:rsid w:val="00BF2015"/>
    <w:rsid w:val="00BF2100"/>
    <w:rsid w:val="00BF214D"/>
    <w:rsid w:val="00BF21B3"/>
    <w:rsid w:val="00BF21B9"/>
    <w:rsid w:val="00BF21BA"/>
    <w:rsid w:val="00BF223A"/>
    <w:rsid w:val="00BF22D0"/>
    <w:rsid w:val="00BF2328"/>
    <w:rsid w:val="00BF2451"/>
    <w:rsid w:val="00BF2480"/>
    <w:rsid w:val="00BF2497"/>
    <w:rsid w:val="00BF2511"/>
    <w:rsid w:val="00BF2584"/>
    <w:rsid w:val="00BF258B"/>
    <w:rsid w:val="00BF25CC"/>
    <w:rsid w:val="00BF26A7"/>
    <w:rsid w:val="00BF26C1"/>
    <w:rsid w:val="00BF2711"/>
    <w:rsid w:val="00BF27B0"/>
    <w:rsid w:val="00BF2849"/>
    <w:rsid w:val="00BF28CC"/>
    <w:rsid w:val="00BF28F7"/>
    <w:rsid w:val="00BF295A"/>
    <w:rsid w:val="00BF2998"/>
    <w:rsid w:val="00BF29C6"/>
    <w:rsid w:val="00BF2A63"/>
    <w:rsid w:val="00BF2A94"/>
    <w:rsid w:val="00BF2AC9"/>
    <w:rsid w:val="00BF2B77"/>
    <w:rsid w:val="00BF2E70"/>
    <w:rsid w:val="00BF2F92"/>
    <w:rsid w:val="00BF3025"/>
    <w:rsid w:val="00BF306F"/>
    <w:rsid w:val="00BF30FB"/>
    <w:rsid w:val="00BF3126"/>
    <w:rsid w:val="00BF3160"/>
    <w:rsid w:val="00BF3180"/>
    <w:rsid w:val="00BF3189"/>
    <w:rsid w:val="00BF3224"/>
    <w:rsid w:val="00BF3229"/>
    <w:rsid w:val="00BF329B"/>
    <w:rsid w:val="00BF329D"/>
    <w:rsid w:val="00BF32A2"/>
    <w:rsid w:val="00BF3330"/>
    <w:rsid w:val="00BF343C"/>
    <w:rsid w:val="00BF3459"/>
    <w:rsid w:val="00BF349D"/>
    <w:rsid w:val="00BF352E"/>
    <w:rsid w:val="00BF3559"/>
    <w:rsid w:val="00BF35C2"/>
    <w:rsid w:val="00BF3725"/>
    <w:rsid w:val="00BF3767"/>
    <w:rsid w:val="00BF37CA"/>
    <w:rsid w:val="00BF3905"/>
    <w:rsid w:val="00BF3910"/>
    <w:rsid w:val="00BF3924"/>
    <w:rsid w:val="00BF39C2"/>
    <w:rsid w:val="00BF3A2E"/>
    <w:rsid w:val="00BF3A64"/>
    <w:rsid w:val="00BF3ABA"/>
    <w:rsid w:val="00BF3B40"/>
    <w:rsid w:val="00BF3C0C"/>
    <w:rsid w:val="00BF3C57"/>
    <w:rsid w:val="00BF3C70"/>
    <w:rsid w:val="00BF3C90"/>
    <w:rsid w:val="00BF3CBF"/>
    <w:rsid w:val="00BF3E0D"/>
    <w:rsid w:val="00BF4071"/>
    <w:rsid w:val="00BF4094"/>
    <w:rsid w:val="00BF4140"/>
    <w:rsid w:val="00BF41B4"/>
    <w:rsid w:val="00BF41D0"/>
    <w:rsid w:val="00BF42C7"/>
    <w:rsid w:val="00BF4320"/>
    <w:rsid w:val="00BF433E"/>
    <w:rsid w:val="00BF4366"/>
    <w:rsid w:val="00BF466B"/>
    <w:rsid w:val="00BF46DD"/>
    <w:rsid w:val="00BF4746"/>
    <w:rsid w:val="00BF4785"/>
    <w:rsid w:val="00BF47A5"/>
    <w:rsid w:val="00BF47E3"/>
    <w:rsid w:val="00BF4810"/>
    <w:rsid w:val="00BF4881"/>
    <w:rsid w:val="00BF48B6"/>
    <w:rsid w:val="00BF49CB"/>
    <w:rsid w:val="00BF4A23"/>
    <w:rsid w:val="00BF4B1B"/>
    <w:rsid w:val="00BF4BEE"/>
    <w:rsid w:val="00BF4C08"/>
    <w:rsid w:val="00BF4C0B"/>
    <w:rsid w:val="00BF4C12"/>
    <w:rsid w:val="00BF4CCA"/>
    <w:rsid w:val="00BF4D00"/>
    <w:rsid w:val="00BF4D99"/>
    <w:rsid w:val="00BF4E26"/>
    <w:rsid w:val="00BF4E2D"/>
    <w:rsid w:val="00BF4E2E"/>
    <w:rsid w:val="00BF4F17"/>
    <w:rsid w:val="00BF5146"/>
    <w:rsid w:val="00BF5158"/>
    <w:rsid w:val="00BF518C"/>
    <w:rsid w:val="00BF51B8"/>
    <w:rsid w:val="00BF52FD"/>
    <w:rsid w:val="00BF5331"/>
    <w:rsid w:val="00BF5377"/>
    <w:rsid w:val="00BF53E3"/>
    <w:rsid w:val="00BF5425"/>
    <w:rsid w:val="00BF5449"/>
    <w:rsid w:val="00BF54E3"/>
    <w:rsid w:val="00BF5536"/>
    <w:rsid w:val="00BF557D"/>
    <w:rsid w:val="00BF55C0"/>
    <w:rsid w:val="00BF55DE"/>
    <w:rsid w:val="00BF5709"/>
    <w:rsid w:val="00BF57C9"/>
    <w:rsid w:val="00BF57EC"/>
    <w:rsid w:val="00BF5875"/>
    <w:rsid w:val="00BF588A"/>
    <w:rsid w:val="00BF58A0"/>
    <w:rsid w:val="00BF594F"/>
    <w:rsid w:val="00BF5A1C"/>
    <w:rsid w:val="00BF5A84"/>
    <w:rsid w:val="00BF5A8D"/>
    <w:rsid w:val="00BF5BC9"/>
    <w:rsid w:val="00BF5BE0"/>
    <w:rsid w:val="00BF5D24"/>
    <w:rsid w:val="00BF5D7B"/>
    <w:rsid w:val="00BF5DAD"/>
    <w:rsid w:val="00BF5DD5"/>
    <w:rsid w:val="00BF5E2B"/>
    <w:rsid w:val="00BF5EF0"/>
    <w:rsid w:val="00BF5FAC"/>
    <w:rsid w:val="00BF5FBD"/>
    <w:rsid w:val="00BF6054"/>
    <w:rsid w:val="00BF619E"/>
    <w:rsid w:val="00BF61D9"/>
    <w:rsid w:val="00BF61FC"/>
    <w:rsid w:val="00BF6314"/>
    <w:rsid w:val="00BF636D"/>
    <w:rsid w:val="00BF659D"/>
    <w:rsid w:val="00BF65C7"/>
    <w:rsid w:val="00BF65F0"/>
    <w:rsid w:val="00BF67EC"/>
    <w:rsid w:val="00BF680B"/>
    <w:rsid w:val="00BF6821"/>
    <w:rsid w:val="00BF683D"/>
    <w:rsid w:val="00BF686C"/>
    <w:rsid w:val="00BF694A"/>
    <w:rsid w:val="00BF6978"/>
    <w:rsid w:val="00BF6ADC"/>
    <w:rsid w:val="00BF6BCD"/>
    <w:rsid w:val="00BF6BD8"/>
    <w:rsid w:val="00BF6BE3"/>
    <w:rsid w:val="00BF6D38"/>
    <w:rsid w:val="00BF6D56"/>
    <w:rsid w:val="00BF6DA8"/>
    <w:rsid w:val="00BF6DC3"/>
    <w:rsid w:val="00BF6E81"/>
    <w:rsid w:val="00BF6F24"/>
    <w:rsid w:val="00BF70C5"/>
    <w:rsid w:val="00BF7162"/>
    <w:rsid w:val="00BF7178"/>
    <w:rsid w:val="00BF7243"/>
    <w:rsid w:val="00BF72E0"/>
    <w:rsid w:val="00BF7321"/>
    <w:rsid w:val="00BF733F"/>
    <w:rsid w:val="00BF73B3"/>
    <w:rsid w:val="00BF751B"/>
    <w:rsid w:val="00BF75AF"/>
    <w:rsid w:val="00BF75CB"/>
    <w:rsid w:val="00BF768B"/>
    <w:rsid w:val="00BF76A9"/>
    <w:rsid w:val="00BF76BA"/>
    <w:rsid w:val="00BF76EF"/>
    <w:rsid w:val="00BF773D"/>
    <w:rsid w:val="00BF7804"/>
    <w:rsid w:val="00BF7919"/>
    <w:rsid w:val="00BF7A14"/>
    <w:rsid w:val="00BF7A89"/>
    <w:rsid w:val="00BF7BBA"/>
    <w:rsid w:val="00BF7BE2"/>
    <w:rsid w:val="00BF7C41"/>
    <w:rsid w:val="00BF7CA4"/>
    <w:rsid w:val="00BF7D28"/>
    <w:rsid w:val="00BF7D4F"/>
    <w:rsid w:val="00BF7D8C"/>
    <w:rsid w:val="00BF7F52"/>
    <w:rsid w:val="00C00077"/>
    <w:rsid w:val="00C00085"/>
    <w:rsid w:val="00C000B6"/>
    <w:rsid w:val="00C000B8"/>
    <w:rsid w:val="00C0013F"/>
    <w:rsid w:val="00C001DE"/>
    <w:rsid w:val="00C002BD"/>
    <w:rsid w:val="00C002EA"/>
    <w:rsid w:val="00C00318"/>
    <w:rsid w:val="00C0036E"/>
    <w:rsid w:val="00C0037C"/>
    <w:rsid w:val="00C003F3"/>
    <w:rsid w:val="00C004A6"/>
    <w:rsid w:val="00C00626"/>
    <w:rsid w:val="00C00669"/>
    <w:rsid w:val="00C006F6"/>
    <w:rsid w:val="00C0076D"/>
    <w:rsid w:val="00C00792"/>
    <w:rsid w:val="00C0088E"/>
    <w:rsid w:val="00C009AE"/>
    <w:rsid w:val="00C009D9"/>
    <w:rsid w:val="00C00A0E"/>
    <w:rsid w:val="00C00BB0"/>
    <w:rsid w:val="00C00BC7"/>
    <w:rsid w:val="00C00BF3"/>
    <w:rsid w:val="00C00C23"/>
    <w:rsid w:val="00C00C56"/>
    <w:rsid w:val="00C00CBF"/>
    <w:rsid w:val="00C00CC9"/>
    <w:rsid w:val="00C00CFF"/>
    <w:rsid w:val="00C00D53"/>
    <w:rsid w:val="00C00D57"/>
    <w:rsid w:val="00C00D79"/>
    <w:rsid w:val="00C00E1C"/>
    <w:rsid w:val="00C00E27"/>
    <w:rsid w:val="00C00ECF"/>
    <w:rsid w:val="00C00F07"/>
    <w:rsid w:val="00C01004"/>
    <w:rsid w:val="00C010A0"/>
    <w:rsid w:val="00C010C0"/>
    <w:rsid w:val="00C01114"/>
    <w:rsid w:val="00C014A2"/>
    <w:rsid w:val="00C014B2"/>
    <w:rsid w:val="00C0150F"/>
    <w:rsid w:val="00C0151E"/>
    <w:rsid w:val="00C015E0"/>
    <w:rsid w:val="00C01730"/>
    <w:rsid w:val="00C01760"/>
    <w:rsid w:val="00C0184B"/>
    <w:rsid w:val="00C018B7"/>
    <w:rsid w:val="00C01914"/>
    <w:rsid w:val="00C01943"/>
    <w:rsid w:val="00C01B2C"/>
    <w:rsid w:val="00C01BA0"/>
    <w:rsid w:val="00C01BFF"/>
    <w:rsid w:val="00C01C35"/>
    <w:rsid w:val="00C01C3A"/>
    <w:rsid w:val="00C01CD6"/>
    <w:rsid w:val="00C01CFA"/>
    <w:rsid w:val="00C01D10"/>
    <w:rsid w:val="00C01D73"/>
    <w:rsid w:val="00C01D7F"/>
    <w:rsid w:val="00C01E22"/>
    <w:rsid w:val="00C01EA1"/>
    <w:rsid w:val="00C01F07"/>
    <w:rsid w:val="00C01F22"/>
    <w:rsid w:val="00C01FBB"/>
    <w:rsid w:val="00C02078"/>
    <w:rsid w:val="00C02160"/>
    <w:rsid w:val="00C02182"/>
    <w:rsid w:val="00C021B5"/>
    <w:rsid w:val="00C021F3"/>
    <w:rsid w:val="00C02251"/>
    <w:rsid w:val="00C022A2"/>
    <w:rsid w:val="00C022E1"/>
    <w:rsid w:val="00C02373"/>
    <w:rsid w:val="00C023A6"/>
    <w:rsid w:val="00C023E0"/>
    <w:rsid w:val="00C024AA"/>
    <w:rsid w:val="00C02509"/>
    <w:rsid w:val="00C0259F"/>
    <w:rsid w:val="00C026DF"/>
    <w:rsid w:val="00C02707"/>
    <w:rsid w:val="00C02711"/>
    <w:rsid w:val="00C0272B"/>
    <w:rsid w:val="00C0277F"/>
    <w:rsid w:val="00C02881"/>
    <w:rsid w:val="00C02BC0"/>
    <w:rsid w:val="00C02C6E"/>
    <w:rsid w:val="00C02C8D"/>
    <w:rsid w:val="00C02CD3"/>
    <w:rsid w:val="00C02D6F"/>
    <w:rsid w:val="00C02E12"/>
    <w:rsid w:val="00C02EA6"/>
    <w:rsid w:val="00C02EFD"/>
    <w:rsid w:val="00C02FF2"/>
    <w:rsid w:val="00C0300E"/>
    <w:rsid w:val="00C0306D"/>
    <w:rsid w:val="00C03111"/>
    <w:rsid w:val="00C031D1"/>
    <w:rsid w:val="00C032B9"/>
    <w:rsid w:val="00C03415"/>
    <w:rsid w:val="00C03434"/>
    <w:rsid w:val="00C034F3"/>
    <w:rsid w:val="00C03591"/>
    <w:rsid w:val="00C0369C"/>
    <w:rsid w:val="00C0379E"/>
    <w:rsid w:val="00C037A1"/>
    <w:rsid w:val="00C037A7"/>
    <w:rsid w:val="00C03864"/>
    <w:rsid w:val="00C038EE"/>
    <w:rsid w:val="00C03906"/>
    <w:rsid w:val="00C039E3"/>
    <w:rsid w:val="00C03A55"/>
    <w:rsid w:val="00C03A69"/>
    <w:rsid w:val="00C03BF0"/>
    <w:rsid w:val="00C03C11"/>
    <w:rsid w:val="00C03C89"/>
    <w:rsid w:val="00C03CAC"/>
    <w:rsid w:val="00C03CB1"/>
    <w:rsid w:val="00C03CD9"/>
    <w:rsid w:val="00C03CE8"/>
    <w:rsid w:val="00C03D05"/>
    <w:rsid w:val="00C03D16"/>
    <w:rsid w:val="00C03D3B"/>
    <w:rsid w:val="00C03D46"/>
    <w:rsid w:val="00C03EDC"/>
    <w:rsid w:val="00C03F16"/>
    <w:rsid w:val="00C0406D"/>
    <w:rsid w:val="00C040BF"/>
    <w:rsid w:val="00C040F4"/>
    <w:rsid w:val="00C0412B"/>
    <w:rsid w:val="00C04143"/>
    <w:rsid w:val="00C04151"/>
    <w:rsid w:val="00C0417D"/>
    <w:rsid w:val="00C04199"/>
    <w:rsid w:val="00C041D4"/>
    <w:rsid w:val="00C04289"/>
    <w:rsid w:val="00C043A6"/>
    <w:rsid w:val="00C043AF"/>
    <w:rsid w:val="00C0445F"/>
    <w:rsid w:val="00C04473"/>
    <w:rsid w:val="00C044D0"/>
    <w:rsid w:val="00C04507"/>
    <w:rsid w:val="00C0451B"/>
    <w:rsid w:val="00C045CC"/>
    <w:rsid w:val="00C045E6"/>
    <w:rsid w:val="00C0474A"/>
    <w:rsid w:val="00C0476D"/>
    <w:rsid w:val="00C04811"/>
    <w:rsid w:val="00C04850"/>
    <w:rsid w:val="00C048A4"/>
    <w:rsid w:val="00C048EE"/>
    <w:rsid w:val="00C04941"/>
    <w:rsid w:val="00C04A0C"/>
    <w:rsid w:val="00C04A3F"/>
    <w:rsid w:val="00C04C24"/>
    <w:rsid w:val="00C04C48"/>
    <w:rsid w:val="00C04D97"/>
    <w:rsid w:val="00C04E5E"/>
    <w:rsid w:val="00C04F57"/>
    <w:rsid w:val="00C05034"/>
    <w:rsid w:val="00C05042"/>
    <w:rsid w:val="00C0505C"/>
    <w:rsid w:val="00C050D3"/>
    <w:rsid w:val="00C05192"/>
    <w:rsid w:val="00C051DE"/>
    <w:rsid w:val="00C051E1"/>
    <w:rsid w:val="00C0523B"/>
    <w:rsid w:val="00C05252"/>
    <w:rsid w:val="00C052FB"/>
    <w:rsid w:val="00C0531A"/>
    <w:rsid w:val="00C05333"/>
    <w:rsid w:val="00C0545F"/>
    <w:rsid w:val="00C054B2"/>
    <w:rsid w:val="00C055FC"/>
    <w:rsid w:val="00C0560E"/>
    <w:rsid w:val="00C056A8"/>
    <w:rsid w:val="00C056BB"/>
    <w:rsid w:val="00C05704"/>
    <w:rsid w:val="00C05743"/>
    <w:rsid w:val="00C0576A"/>
    <w:rsid w:val="00C058DF"/>
    <w:rsid w:val="00C05964"/>
    <w:rsid w:val="00C05991"/>
    <w:rsid w:val="00C059E1"/>
    <w:rsid w:val="00C059EB"/>
    <w:rsid w:val="00C05A3C"/>
    <w:rsid w:val="00C05B37"/>
    <w:rsid w:val="00C05D9F"/>
    <w:rsid w:val="00C05E04"/>
    <w:rsid w:val="00C05E06"/>
    <w:rsid w:val="00C05E65"/>
    <w:rsid w:val="00C05E8D"/>
    <w:rsid w:val="00C05ECD"/>
    <w:rsid w:val="00C05F52"/>
    <w:rsid w:val="00C05F87"/>
    <w:rsid w:val="00C05F93"/>
    <w:rsid w:val="00C060CC"/>
    <w:rsid w:val="00C061D8"/>
    <w:rsid w:val="00C06235"/>
    <w:rsid w:val="00C062D3"/>
    <w:rsid w:val="00C062EC"/>
    <w:rsid w:val="00C062F2"/>
    <w:rsid w:val="00C06318"/>
    <w:rsid w:val="00C06340"/>
    <w:rsid w:val="00C0636D"/>
    <w:rsid w:val="00C06577"/>
    <w:rsid w:val="00C0659C"/>
    <w:rsid w:val="00C065F2"/>
    <w:rsid w:val="00C0660E"/>
    <w:rsid w:val="00C0668D"/>
    <w:rsid w:val="00C06734"/>
    <w:rsid w:val="00C0677A"/>
    <w:rsid w:val="00C0677C"/>
    <w:rsid w:val="00C068C7"/>
    <w:rsid w:val="00C0690D"/>
    <w:rsid w:val="00C06958"/>
    <w:rsid w:val="00C069AD"/>
    <w:rsid w:val="00C06A14"/>
    <w:rsid w:val="00C06A27"/>
    <w:rsid w:val="00C06A5E"/>
    <w:rsid w:val="00C06A91"/>
    <w:rsid w:val="00C06AF3"/>
    <w:rsid w:val="00C06B62"/>
    <w:rsid w:val="00C06BC5"/>
    <w:rsid w:val="00C06BEF"/>
    <w:rsid w:val="00C06C0B"/>
    <w:rsid w:val="00C06C50"/>
    <w:rsid w:val="00C06C7D"/>
    <w:rsid w:val="00C06CEB"/>
    <w:rsid w:val="00C06DBA"/>
    <w:rsid w:val="00C06E04"/>
    <w:rsid w:val="00C06E93"/>
    <w:rsid w:val="00C06EC7"/>
    <w:rsid w:val="00C06EF5"/>
    <w:rsid w:val="00C0705C"/>
    <w:rsid w:val="00C070B6"/>
    <w:rsid w:val="00C070FB"/>
    <w:rsid w:val="00C071B0"/>
    <w:rsid w:val="00C072F9"/>
    <w:rsid w:val="00C0732D"/>
    <w:rsid w:val="00C0744C"/>
    <w:rsid w:val="00C074BD"/>
    <w:rsid w:val="00C07615"/>
    <w:rsid w:val="00C07636"/>
    <w:rsid w:val="00C07757"/>
    <w:rsid w:val="00C0782E"/>
    <w:rsid w:val="00C0787D"/>
    <w:rsid w:val="00C07887"/>
    <w:rsid w:val="00C07990"/>
    <w:rsid w:val="00C07A50"/>
    <w:rsid w:val="00C07BDE"/>
    <w:rsid w:val="00C07C13"/>
    <w:rsid w:val="00C07C2B"/>
    <w:rsid w:val="00C07CF7"/>
    <w:rsid w:val="00C07D04"/>
    <w:rsid w:val="00C07D08"/>
    <w:rsid w:val="00C07D38"/>
    <w:rsid w:val="00C07D94"/>
    <w:rsid w:val="00C07FBF"/>
    <w:rsid w:val="00C07FC1"/>
    <w:rsid w:val="00C1002A"/>
    <w:rsid w:val="00C100CC"/>
    <w:rsid w:val="00C10152"/>
    <w:rsid w:val="00C1019E"/>
    <w:rsid w:val="00C101FF"/>
    <w:rsid w:val="00C10380"/>
    <w:rsid w:val="00C103B7"/>
    <w:rsid w:val="00C10451"/>
    <w:rsid w:val="00C104C7"/>
    <w:rsid w:val="00C104CB"/>
    <w:rsid w:val="00C105EE"/>
    <w:rsid w:val="00C106AC"/>
    <w:rsid w:val="00C10704"/>
    <w:rsid w:val="00C10768"/>
    <w:rsid w:val="00C1090C"/>
    <w:rsid w:val="00C10945"/>
    <w:rsid w:val="00C109A6"/>
    <w:rsid w:val="00C109A7"/>
    <w:rsid w:val="00C10AC1"/>
    <w:rsid w:val="00C10AD4"/>
    <w:rsid w:val="00C10B51"/>
    <w:rsid w:val="00C10B92"/>
    <w:rsid w:val="00C10B94"/>
    <w:rsid w:val="00C10BC6"/>
    <w:rsid w:val="00C10C01"/>
    <w:rsid w:val="00C10C56"/>
    <w:rsid w:val="00C10CE0"/>
    <w:rsid w:val="00C10DC1"/>
    <w:rsid w:val="00C10DEE"/>
    <w:rsid w:val="00C10EE2"/>
    <w:rsid w:val="00C10EE3"/>
    <w:rsid w:val="00C10F7E"/>
    <w:rsid w:val="00C10FB1"/>
    <w:rsid w:val="00C10FE0"/>
    <w:rsid w:val="00C11026"/>
    <w:rsid w:val="00C11057"/>
    <w:rsid w:val="00C110B7"/>
    <w:rsid w:val="00C110FC"/>
    <w:rsid w:val="00C1115F"/>
    <w:rsid w:val="00C111E1"/>
    <w:rsid w:val="00C1124D"/>
    <w:rsid w:val="00C11349"/>
    <w:rsid w:val="00C113E3"/>
    <w:rsid w:val="00C11428"/>
    <w:rsid w:val="00C11445"/>
    <w:rsid w:val="00C11454"/>
    <w:rsid w:val="00C11494"/>
    <w:rsid w:val="00C114CD"/>
    <w:rsid w:val="00C114E1"/>
    <w:rsid w:val="00C11508"/>
    <w:rsid w:val="00C11516"/>
    <w:rsid w:val="00C1160B"/>
    <w:rsid w:val="00C117C2"/>
    <w:rsid w:val="00C1183D"/>
    <w:rsid w:val="00C118C1"/>
    <w:rsid w:val="00C11A57"/>
    <w:rsid w:val="00C11A5C"/>
    <w:rsid w:val="00C11A95"/>
    <w:rsid w:val="00C11AAC"/>
    <w:rsid w:val="00C11B1F"/>
    <w:rsid w:val="00C11B47"/>
    <w:rsid w:val="00C11E17"/>
    <w:rsid w:val="00C11E40"/>
    <w:rsid w:val="00C11EBD"/>
    <w:rsid w:val="00C11FE7"/>
    <w:rsid w:val="00C120BB"/>
    <w:rsid w:val="00C121FE"/>
    <w:rsid w:val="00C12225"/>
    <w:rsid w:val="00C122B3"/>
    <w:rsid w:val="00C122FD"/>
    <w:rsid w:val="00C12417"/>
    <w:rsid w:val="00C12447"/>
    <w:rsid w:val="00C12459"/>
    <w:rsid w:val="00C1246B"/>
    <w:rsid w:val="00C124F0"/>
    <w:rsid w:val="00C12870"/>
    <w:rsid w:val="00C128C6"/>
    <w:rsid w:val="00C12990"/>
    <w:rsid w:val="00C129B1"/>
    <w:rsid w:val="00C12A6E"/>
    <w:rsid w:val="00C12AC9"/>
    <w:rsid w:val="00C12B05"/>
    <w:rsid w:val="00C12B66"/>
    <w:rsid w:val="00C12C41"/>
    <w:rsid w:val="00C12C42"/>
    <w:rsid w:val="00C12CAA"/>
    <w:rsid w:val="00C12D0A"/>
    <w:rsid w:val="00C12DAE"/>
    <w:rsid w:val="00C12F2E"/>
    <w:rsid w:val="00C12F4B"/>
    <w:rsid w:val="00C12FAA"/>
    <w:rsid w:val="00C12FAD"/>
    <w:rsid w:val="00C13001"/>
    <w:rsid w:val="00C13192"/>
    <w:rsid w:val="00C132A0"/>
    <w:rsid w:val="00C13327"/>
    <w:rsid w:val="00C13355"/>
    <w:rsid w:val="00C13497"/>
    <w:rsid w:val="00C13735"/>
    <w:rsid w:val="00C13970"/>
    <w:rsid w:val="00C13985"/>
    <w:rsid w:val="00C13994"/>
    <w:rsid w:val="00C13997"/>
    <w:rsid w:val="00C13AD3"/>
    <w:rsid w:val="00C13B3E"/>
    <w:rsid w:val="00C13BC9"/>
    <w:rsid w:val="00C13BEF"/>
    <w:rsid w:val="00C13C38"/>
    <w:rsid w:val="00C13CBC"/>
    <w:rsid w:val="00C13FB1"/>
    <w:rsid w:val="00C13FCD"/>
    <w:rsid w:val="00C14089"/>
    <w:rsid w:val="00C1410A"/>
    <w:rsid w:val="00C1416C"/>
    <w:rsid w:val="00C141D0"/>
    <w:rsid w:val="00C1430F"/>
    <w:rsid w:val="00C1433E"/>
    <w:rsid w:val="00C14385"/>
    <w:rsid w:val="00C14399"/>
    <w:rsid w:val="00C1440B"/>
    <w:rsid w:val="00C14446"/>
    <w:rsid w:val="00C1449C"/>
    <w:rsid w:val="00C14756"/>
    <w:rsid w:val="00C147BC"/>
    <w:rsid w:val="00C147CA"/>
    <w:rsid w:val="00C14882"/>
    <w:rsid w:val="00C148EA"/>
    <w:rsid w:val="00C14952"/>
    <w:rsid w:val="00C14987"/>
    <w:rsid w:val="00C14A63"/>
    <w:rsid w:val="00C14AC4"/>
    <w:rsid w:val="00C14AD6"/>
    <w:rsid w:val="00C14AEA"/>
    <w:rsid w:val="00C14B8D"/>
    <w:rsid w:val="00C14C19"/>
    <w:rsid w:val="00C14C55"/>
    <w:rsid w:val="00C14C67"/>
    <w:rsid w:val="00C14D02"/>
    <w:rsid w:val="00C14DBA"/>
    <w:rsid w:val="00C14F2E"/>
    <w:rsid w:val="00C14F68"/>
    <w:rsid w:val="00C14F7F"/>
    <w:rsid w:val="00C14FEE"/>
    <w:rsid w:val="00C1503B"/>
    <w:rsid w:val="00C15161"/>
    <w:rsid w:val="00C151A4"/>
    <w:rsid w:val="00C1522C"/>
    <w:rsid w:val="00C15256"/>
    <w:rsid w:val="00C15262"/>
    <w:rsid w:val="00C15309"/>
    <w:rsid w:val="00C15313"/>
    <w:rsid w:val="00C15320"/>
    <w:rsid w:val="00C15342"/>
    <w:rsid w:val="00C1536E"/>
    <w:rsid w:val="00C1536F"/>
    <w:rsid w:val="00C15395"/>
    <w:rsid w:val="00C1539E"/>
    <w:rsid w:val="00C15470"/>
    <w:rsid w:val="00C15490"/>
    <w:rsid w:val="00C154BA"/>
    <w:rsid w:val="00C154D6"/>
    <w:rsid w:val="00C15667"/>
    <w:rsid w:val="00C15769"/>
    <w:rsid w:val="00C15774"/>
    <w:rsid w:val="00C157B4"/>
    <w:rsid w:val="00C15911"/>
    <w:rsid w:val="00C15983"/>
    <w:rsid w:val="00C159CA"/>
    <w:rsid w:val="00C15A4E"/>
    <w:rsid w:val="00C15A85"/>
    <w:rsid w:val="00C15AE3"/>
    <w:rsid w:val="00C15AF8"/>
    <w:rsid w:val="00C15B2C"/>
    <w:rsid w:val="00C15B45"/>
    <w:rsid w:val="00C15B7D"/>
    <w:rsid w:val="00C15BC2"/>
    <w:rsid w:val="00C15BEB"/>
    <w:rsid w:val="00C15CBE"/>
    <w:rsid w:val="00C15D6D"/>
    <w:rsid w:val="00C15DBF"/>
    <w:rsid w:val="00C15E36"/>
    <w:rsid w:val="00C15E9D"/>
    <w:rsid w:val="00C15EBB"/>
    <w:rsid w:val="00C16061"/>
    <w:rsid w:val="00C160AC"/>
    <w:rsid w:val="00C160F1"/>
    <w:rsid w:val="00C16142"/>
    <w:rsid w:val="00C161AB"/>
    <w:rsid w:val="00C16220"/>
    <w:rsid w:val="00C1625A"/>
    <w:rsid w:val="00C162A8"/>
    <w:rsid w:val="00C16349"/>
    <w:rsid w:val="00C16378"/>
    <w:rsid w:val="00C164BD"/>
    <w:rsid w:val="00C164F7"/>
    <w:rsid w:val="00C1651E"/>
    <w:rsid w:val="00C167E8"/>
    <w:rsid w:val="00C1699D"/>
    <w:rsid w:val="00C169AF"/>
    <w:rsid w:val="00C16A54"/>
    <w:rsid w:val="00C16AB9"/>
    <w:rsid w:val="00C16AF3"/>
    <w:rsid w:val="00C16C16"/>
    <w:rsid w:val="00C16C75"/>
    <w:rsid w:val="00C16C86"/>
    <w:rsid w:val="00C16CB6"/>
    <w:rsid w:val="00C16D50"/>
    <w:rsid w:val="00C16DFB"/>
    <w:rsid w:val="00C16EB1"/>
    <w:rsid w:val="00C16FC9"/>
    <w:rsid w:val="00C17088"/>
    <w:rsid w:val="00C170EC"/>
    <w:rsid w:val="00C17115"/>
    <w:rsid w:val="00C171A6"/>
    <w:rsid w:val="00C171ED"/>
    <w:rsid w:val="00C1725F"/>
    <w:rsid w:val="00C17272"/>
    <w:rsid w:val="00C1728A"/>
    <w:rsid w:val="00C172D6"/>
    <w:rsid w:val="00C172EE"/>
    <w:rsid w:val="00C1730F"/>
    <w:rsid w:val="00C1731D"/>
    <w:rsid w:val="00C17354"/>
    <w:rsid w:val="00C174EF"/>
    <w:rsid w:val="00C1750C"/>
    <w:rsid w:val="00C1759E"/>
    <w:rsid w:val="00C175BF"/>
    <w:rsid w:val="00C175CA"/>
    <w:rsid w:val="00C17631"/>
    <w:rsid w:val="00C17653"/>
    <w:rsid w:val="00C1769F"/>
    <w:rsid w:val="00C176F5"/>
    <w:rsid w:val="00C17735"/>
    <w:rsid w:val="00C17748"/>
    <w:rsid w:val="00C1779E"/>
    <w:rsid w:val="00C177CC"/>
    <w:rsid w:val="00C177E2"/>
    <w:rsid w:val="00C179CB"/>
    <w:rsid w:val="00C17A31"/>
    <w:rsid w:val="00C17C90"/>
    <w:rsid w:val="00C17D8B"/>
    <w:rsid w:val="00C20025"/>
    <w:rsid w:val="00C2028E"/>
    <w:rsid w:val="00C202C3"/>
    <w:rsid w:val="00C20318"/>
    <w:rsid w:val="00C2031B"/>
    <w:rsid w:val="00C20331"/>
    <w:rsid w:val="00C20344"/>
    <w:rsid w:val="00C203CD"/>
    <w:rsid w:val="00C20442"/>
    <w:rsid w:val="00C204CC"/>
    <w:rsid w:val="00C2052A"/>
    <w:rsid w:val="00C20663"/>
    <w:rsid w:val="00C206DB"/>
    <w:rsid w:val="00C20832"/>
    <w:rsid w:val="00C208FA"/>
    <w:rsid w:val="00C2093B"/>
    <w:rsid w:val="00C20988"/>
    <w:rsid w:val="00C20A07"/>
    <w:rsid w:val="00C20B5E"/>
    <w:rsid w:val="00C20BB1"/>
    <w:rsid w:val="00C20BEE"/>
    <w:rsid w:val="00C20C30"/>
    <w:rsid w:val="00C20C72"/>
    <w:rsid w:val="00C20C85"/>
    <w:rsid w:val="00C20CA8"/>
    <w:rsid w:val="00C20D18"/>
    <w:rsid w:val="00C20DE5"/>
    <w:rsid w:val="00C20E18"/>
    <w:rsid w:val="00C20E2D"/>
    <w:rsid w:val="00C20E7D"/>
    <w:rsid w:val="00C20EDA"/>
    <w:rsid w:val="00C2100E"/>
    <w:rsid w:val="00C21116"/>
    <w:rsid w:val="00C211BC"/>
    <w:rsid w:val="00C21201"/>
    <w:rsid w:val="00C2127A"/>
    <w:rsid w:val="00C21454"/>
    <w:rsid w:val="00C21476"/>
    <w:rsid w:val="00C214C1"/>
    <w:rsid w:val="00C215A8"/>
    <w:rsid w:val="00C2164D"/>
    <w:rsid w:val="00C2167C"/>
    <w:rsid w:val="00C2170C"/>
    <w:rsid w:val="00C217FB"/>
    <w:rsid w:val="00C2182A"/>
    <w:rsid w:val="00C21874"/>
    <w:rsid w:val="00C2188C"/>
    <w:rsid w:val="00C2194E"/>
    <w:rsid w:val="00C21A2B"/>
    <w:rsid w:val="00C21A32"/>
    <w:rsid w:val="00C21B6A"/>
    <w:rsid w:val="00C21BDC"/>
    <w:rsid w:val="00C21BF5"/>
    <w:rsid w:val="00C21C48"/>
    <w:rsid w:val="00C21C4A"/>
    <w:rsid w:val="00C21DA7"/>
    <w:rsid w:val="00C21F8F"/>
    <w:rsid w:val="00C21FB5"/>
    <w:rsid w:val="00C22118"/>
    <w:rsid w:val="00C2223C"/>
    <w:rsid w:val="00C22342"/>
    <w:rsid w:val="00C223DF"/>
    <w:rsid w:val="00C22487"/>
    <w:rsid w:val="00C22502"/>
    <w:rsid w:val="00C2253F"/>
    <w:rsid w:val="00C22607"/>
    <w:rsid w:val="00C22611"/>
    <w:rsid w:val="00C22640"/>
    <w:rsid w:val="00C22689"/>
    <w:rsid w:val="00C2269D"/>
    <w:rsid w:val="00C226A0"/>
    <w:rsid w:val="00C2283A"/>
    <w:rsid w:val="00C228B8"/>
    <w:rsid w:val="00C22A2D"/>
    <w:rsid w:val="00C22B88"/>
    <w:rsid w:val="00C22B91"/>
    <w:rsid w:val="00C22C23"/>
    <w:rsid w:val="00C22D48"/>
    <w:rsid w:val="00C23003"/>
    <w:rsid w:val="00C2300A"/>
    <w:rsid w:val="00C230AD"/>
    <w:rsid w:val="00C230E8"/>
    <w:rsid w:val="00C23195"/>
    <w:rsid w:val="00C231D2"/>
    <w:rsid w:val="00C232A7"/>
    <w:rsid w:val="00C232B4"/>
    <w:rsid w:val="00C232BA"/>
    <w:rsid w:val="00C23332"/>
    <w:rsid w:val="00C2338A"/>
    <w:rsid w:val="00C233F3"/>
    <w:rsid w:val="00C23415"/>
    <w:rsid w:val="00C2343B"/>
    <w:rsid w:val="00C23440"/>
    <w:rsid w:val="00C235D5"/>
    <w:rsid w:val="00C23614"/>
    <w:rsid w:val="00C23746"/>
    <w:rsid w:val="00C237D6"/>
    <w:rsid w:val="00C237DA"/>
    <w:rsid w:val="00C23802"/>
    <w:rsid w:val="00C23810"/>
    <w:rsid w:val="00C23859"/>
    <w:rsid w:val="00C23860"/>
    <w:rsid w:val="00C23946"/>
    <w:rsid w:val="00C239B6"/>
    <w:rsid w:val="00C23A40"/>
    <w:rsid w:val="00C23A5B"/>
    <w:rsid w:val="00C23A5D"/>
    <w:rsid w:val="00C23AAB"/>
    <w:rsid w:val="00C23AAF"/>
    <w:rsid w:val="00C23B22"/>
    <w:rsid w:val="00C23B41"/>
    <w:rsid w:val="00C23C4A"/>
    <w:rsid w:val="00C23C85"/>
    <w:rsid w:val="00C23D24"/>
    <w:rsid w:val="00C23D98"/>
    <w:rsid w:val="00C23DA8"/>
    <w:rsid w:val="00C23DF9"/>
    <w:rsid w:val="00C23E2F"/>
    <w:rsid w:val="00C23E90"/>
    <w:rsid w:val="00C23EC7"/>
    <w:rsid w:val="00C23F16"/>
    <w:rsid w:val="00C24169"/>
    <w:rsid w:val="00C24195"/>
    <w:rsid w:val="00C24197"/>
    <w:rsid w:val="00C2421B"/>
    <w:rsid w:val="00C244A1"/>
    <w:rsid w:val="00C2456E"/>
    <w:rsid w:val="00C24573"/>
    <w:rsid w:val="00C2460E"/>
    <w:rsid w:val="00C246AF"/>
    <w:rsid w:val="00C246E8"/>
    <w:rsid w:val="00C246E9"/>
    <w:rsid w:val="00C2477A"/>
    <w:rsid w:val="00C24805"/>
    <w:rsid w:val="00C2484A"/>
    <w:rsid w:val="00C24923"/>
    <w:rsid w:val="00C24958"/>
    <w:rsid w:val="00C24964"/>
    <w:rsid w:val="00C249DF"/>
    <w:rsid w:val="00C24A07"/>
    <w:rsid w:val="00C24A69"/>
    <w:rsid w:val="00C24AB7"/>
    <w:rsid w:val="00C24BA0"/>
    <w:rsid w:val="00C24CD3"/>
    <w:rsid w:val="00C24FB2"/>
    <w:rsid w:val="00C24FC6"/>
    <w:rsid w:val="00C250E4"/>
    <w:rsid w:val="00C251EA"/>
    <w:rsid w:val="00C252C1"/>
    <w:rsid w:val="00C2539C"/>
    <w:rsid w:val="00C25479"/>
    <w:rsid w:val="00C25480"/>
    <w:rsid w:val="00C254CE"/>
    <w:rsid w:val="00C25539"/>
    <w:rsid w:val="00C2554C"/>
    <w:rsid w:val="00C255D8"/>
    <w:rsid w:val="00C2568C"/>
    <w:rsid w:val="00C256C4"/>
    <w:rsid w:val="00C25708"/>
    <w:rsid w:val="00C25728"/>
    <w:rsid w:val="00C25737"/>
    <w:rsid w:val="00C257D1"/>
    <w:rsid w:val="00C2591D"/>
    <w:rsid w:val="00C25935"/>
    <w:rsid w:val="00C25B81"/>
    <w:rsid w:val="00C25C90"/>
    <w:rsid w:val="00C25CE6"/>
    <w:rsid w:val="00C25DC7"/>
    <w:rsid w:val="00C25E35"/>
    <w:rsid w:val="00C25E3A"/>
    <w:rsid w:val="00C25E94"/>
    <w:rsid w:val="00C25F94"/>
    <w:rsid w:val="00C2600E"/>
    <w:rsid w:val="00C261D3"/>
    <w:rsid w:val="00C262FE"/>
    <w:rsid w:val="00C2637E"/>
    <w:rsid w:val="00C263C6"/>
    <w:rsid w:val="00C26446"/>
    <w:rsid w:val="00C26478"/>
    <w:rsid w:val="00C264EA"/>
    <w:rsid w:val="00C26608"/>
    <w:rsid w:val="00C2666D"/>
    <w:rsid w:val="00C266F1"/>
    <w:rsid w:val="00C267B8"/>
    <w:rsid w:val="00C26832"/>
    <w:rsid w:val="00C26852"/>
    <w:rsid w:val="00C268AE"/>
    <w:rsid w:val="00C268E1"/>
    <w:rsid w:val="00C268F0"/>
    <w:rsid w:val="00C269BF"/>
    <w:rsid w:val="00C26A01"/>
    <w:rsid w:val="00C26A48"/>
    <w:rsid w:val="00C26ADA"/>
    <w:rsid w:val="00C26B11"/>
    <w:rsid w:val="00C26B2D"/>
    <w:rsid w:val="00C26C9E"/>
    <w:rsid w:val="00C26CDC"/>
    <w:rsid w:val="00C26D9D"/>
    <w:rsid w:val="00C26DB0"/>
    <w:rsid w:val="00C26DB5"/>
    <w:rsid w:val="00C26DB7"/>
    <w:rsid w:val="00C26EFE"/>
    <w:rsid w:val="00C26F3A"/>
    <w:rsid w:val="00C26FBA"/>
    <w:rsid w:val="00C271A1"/>
    <w:rsid w:val="00C272B8"/>
    <w:rsid w:val="00C27349"/>
    <w:rsid w:val="00C274BB"/>
    <w:rsid w:val="00C2753A"/>
    <w:rsid w:val="00C2762E"/>
    <w:rsid w:val="00C27674"/>
    <w:rsid w:val="00C27677"/>
    <w:rsid w:val="00C27701"/>
    <w:rsid w:val="00C277E9"/>
    <w:rsid w:val="00C27832"/>
    <w:rsid w:val="00C27876"/>
    <w:rsid w:val="00C278DF"/>
    <w:rsid w:val="00C279F7"/>
    <w:rsid w:val="00C27B0B"/>
    <w:rsid w:val="00C27C15"/>
    <w:rsid w:val="00C27C79"/>
    <w:rsid w:val="00C27D15"/>
    <w:rsid w:val="00C27E2E"/>
    <w:rsid w:val="00C27F57"/>
    <w:rsid w:val="00C3000B"/>
    <w:rsid w:val="00C3001E"/>
    <w:rsid w:val="00C300A0"/>
    <w:rsid w:val="00C300C7"/>
    <w:rsid w:val="00C30108"/>
    <w:rsid w:val="00C30181"/>
    <w:rsid w:val="00C3019A"/>
    <w:rsid w:val="00C301C7"/>
    <w:rsid w:val="00C302A1"/>
    <w:rsid w:val="00C30314"/>
    <w:rsid w:val="00C3035B"/>
    <w:rsid w:val="00C303D5"/>
    <w:rsid w:val="00C303D6"/>
    <w:rsid w:val="00C30635"/>
    <w:rsid w:val="00C306FC"/>
    <w:rsid w:val="00C3075B"/>
    <w:rsid w:val="00C3082D"/>
    <w:rsid w:val="00C30888"/>
    <w:rsid w:val="00C308C5"/>
    <w:rsid w:val="00C3095A"/>
    <w:rsid w:val="00C309BD"/>
    <w:rsid w:val="00C30A7B"/>
    <w:rsid w:val="00C30A8F"/>
    <w:rsid w:val="00C30D47"/>
    <w:rsid w:val="00C30D4E"/>
    <w:rsid w:val="00C30DEF"/>
    <w:rsid w:val="00C30E1B"/>
    <w:rsid w:val="00C30F1B"/>
    <w:rsid w:val="00C30F94"/>
    <w:rsid w:val="00C3101F"/>
    <w:rsid w:val="00C31046"/>
    <w:rsid w:val="00C31112"/>
    <w:rsid w:val="00C31218"/>
    <w:rsid w:val="00C31293"/>
    <w:rsid w:val="00C312AA"/>
    <w:rsid w:val="00C312CF"/>
    <w:rsid w:val="00C31372"/>
    <w:rsid w:val="00C313C9"/>
    <w:rsid w:val="00C31526"/>
    <w:rsid w:val="00C31607"/>
    <w:rsid w:val="00C3160F"/>
    <w:rsid w:val="00C3164A"/>
    <w:rsid w:val="00C3167A"/>
    <w:rsid w:val="00C31719"/>
    <w:rsid w:val="00C31734"/>
    <w:rsid w:val="00C317D5"/>
    <w:rsid w:val="00C3198D"/>
    <w:rsid w:val="00C31A83"/>
    <w:rsid w:val="00C31A85"/>
    <w:rsid w:val="00C31A8F"/>
    <w:rsid w:val="00C31B94"/>
    <w:rsid w:val="00C31C04"/>
    <w:rsid w:val="00C31C07"/>
    <w:rsid w:val="00C31C4A"/>
    <w:rsid w:val="00C31C50"/>
    <w:rsid w:val="00C31D58"/>
    <w:rsid w:val="00C31DBE"/>
    <w:rsid w:val="00C31DC4"/>
    <w:rsid w:val="00C31F90"/>
    <w:rsid w:val="00C31F97"/>
    <w:rsid w:val="00C32129"/>
    <w:rsid w:val="00C3217B"/>
    <w:rsid w:val="00C321BC"/>
    <w:rsid w:val="00C322D1"/>
    <w:rsid w:val="00C323A6"/>
    <w:rsid w:val="00C32543"/>
    <w:rsid w:val="00C3256D"/>
    <w:rsid w:val="00C3257B"/>
    <w:rsid w:val="00C325A0"/>
    <w:rsid w:val="00C325C2"/>
    <w:rsid w:val="00C32616"/>
    <w:rsid w:val="00C32634"/>
    <w:rsid w:val="00C3265A"/>
    <w:rsid w:val="00C327D1"/>
    <w:rsid w:val="00C327E1"/>
    <w:rsid w:val="00C328C6"/>
    <w:rsid w:val="00C329DA"/>
    <w:rsid w:val="00C32B0F"/>
    <w:rsid w:val="00C32BDB"/>
    <w:rsid w:val="00C32BF6"/>
    <w:rsid w:val="00C32C44"/>
    <w:rsid w:val="00C32CEB"/>
    <w:rsid w:val="00C32E0A"/>
    <w:rsid w:val="00C32E25"/>
    <w:rsid w:val="00C32E56"/>
    <w:rsid w:val="00C32EAA"/>
    <w:rsid w:val="00C32F4D"/>
    <w:rsid w:val="00C32FAA"/>
    <w:rsid w:val="00C32FC8"/>
    <w:rsid w:val="00C33010"/>
    <w:rsid w:val="00C3302A"/>
    <w:rsid w:val="00C33094"/>
    <w:rsid w:val="00C330ED"/>
    <w:rsid w:val="00C3310F"/>
    <w:rsid w:val="00C33179"/>
    <w:rsid w:val="00C331E0"/>
    <w:rsid w:val="00C33308"/>
    <w:rsid w:val="00C3334C"/>
    <w:rsid w:val="00C3337F"/>
    <w:rsid w:val="00C333C6"/>
    <w:rsid w:val="00C333E2"/>
    <w:rsid w:val="00C334DE"/>
    <w:rsid w:val="00C3358D"/>
    <w:rsid w:val="00C3360C"/>
    <w:rsid w:val="00C336A4"/>
    <w:rsid w:val="00C33738"/>
    <w:rsid w:val="00C33841"/>
    <w:rsid w:val="00C338CD"/>
    <w:rsid w:val="00C338D2"/>
    <w:rsid w:val="00C33906"/>
    <w:rsid w:val="00C33994"/>
    <w:rsid w:val="00C33A4E"/>
    <w:rsid w:val="00C33A5C"/>
    <w:rsid w:val="00C33B1E"/>
    <w:rsid w:val="00C33C87"/>
    <w:rsid w:val="00C33CD9"/>
    <w:rsid w:val="00C33D04"/>
    <w:rsid w:val="00C33DF0"/>
    <w:rsid w:val="00C33FBB"/>
    <w:rsid w:val="00C34085"/>
    <w:rsid w:val="00C3408B"/>
    <w:rsid w:val="00C3409B"/>
    <w:rsid w:val="00C340FA"/>
    <w:rsid w:val="00C34179"/>
    <w:rsid w:val="00C3417D"/>
    <w:rsid w:val="00C341B2"/>
    <w:rsid w:val="00C341FD"/>
    <w:rsid w:val="00C34256"/>
    <w:rsid w:val="00C342AB"/>
    <w:rsid w:val="00C34408"/>
    <w:rsid w:val="00C34511"/>
    <w:rsid w:val="00C34592"/>
    <w:rsid w:val="00C34598"/>
    <w:rsid w:val="00C34626"/>
    <w:rsid w:val="00C34683"/>
    <w:rsid w:val="00C346B7"/>
    <w:rsid w:val="00C346DD"/>
    <w:rsid w:val="00C34711"/>
    <w:rsid w:val="00C3490D"/>
    <w:rsid w:val="00C349AD"/>
    <w:rsid w:val="00C34A50"/>
    <w:rsid w:val="00C34AF4"/>
    <w:rsid w:val="00C34C5F"/>
    <w:rsid w:val="00C34C8B"/>
    <w:rsid w:val="00C34C8F"/>
    <w:rsid w:val="00C34C97"/>
    <w:rsid w:val="00C34C9F"/>
    <w:rsid w:val="00C34D53"/>
    <w:rsid w:val="00C34DC4"/>
    <w:rsid w:val="00C34E1F"/>
    <w:rsid w:val="00C34E61"/>
    <w:rsid w:val="00C34E63"/>
    <w:rsid w:val="00C34EEB"/>
    <w:rsid w:val="00C34EEC"/>
    <w:rsid w:val="00C34F39"/>
    <w:rsid w:val="00C34FE2"/>
    <w:rsid w:val="00C3505A"/>
    <w:rsid w:val="00C35076"/>
    <w:rsid w:val="00C351BC"/>
    <w:rsid w:val="00C351D2"/>
    <w:rsid w:val="00C351D6"/>
    <w:rsid w:val="00C3529B"/>
    <w:rsid w:val="00C352B0"/>
    <w:rsid w:val="00C35352"/>
    <w:rsid w:val="00C353B1"/>
    <w:rsid w:val="00C35408"/>
    <w:rsid w:val="00C3544D"/>
    <w:rsid w:val="00C35742"/>
    <w:rsid w:val="00C35848"/>
    <w:rsid w:val="00C3585C"/>
    <w:rsid w:val="00C35906"/>
    <w:rsid w:val="00C35978"/>
    <w:rsid w:val="00C35A80"/>
    <w:rsid w:val="00C35BAD"/>
    <w:rsid w:val="00C35BBF"/>
    <w:rsid w:val="00C35C7A"/>
    <w:rsid w:val="00C35CAD"/>
    <w:rsid w:val="00C35CE3"/>
    <w:rsid w:val="00C35D04"/>
    <w:rsid w:val="00C35D6B"/>
    <w:rsid w:val="00C35DC8"/>
    <w:rsid w:val="00C35E3F"/>
    <w:rsid w:val="00C35E73"/>
    <w:rsid w:val="00C35F4B"/>
    <w:rsid w:val="00C35F4D"/>
    <w:rsid w:val="00C36008"/>
    <w:rsid w:val="00C36016"/>
    <w:rsid w:val="00C3603E"/>
    <w:rsid w:val="00C360B0"/>
    <w:rsid w:val="00C361AC"/>
    <w:rsid w:val="00C361F1"/>
    <w:rsid w:val="00C36211"/>
    <w:rsid w:val="00C36410"/>
    <w:rsid w:val="00C36424"/>
    <w:rsid w:val="00C36453"/>
    <w:rsid w:val="00C3663D"/>
    <w:rsid w:val="00C3664B"/>
    <w:rsid w:val="00C36793"/>
    <w:rsid w:val="00C368CA"/>
    <w:rsid w:val="00C369AA"/>
    <w:rsid w:val="00C36B34"/>
    <w:rsid w:val="00C36D0F"/>
    <w:rsid w:val="00C36D5D"/>
    <w:rsid w:val="00C36D8B"/>
    <w:rsid w:val="00C36E40"/>
    <w:rsid w:val="00C36EC8"/>
    <w:rsid w:val="00C36F07"/>
    <w:rsid w:val="00C36F37"/>
    <w:rsid w:val="00C36F3D"/>
    <w:rsid w:val="00C36F62"/>
    <w:rsid w:val="00C36F83"/>
    <w:rsid w:val="00C36FEC"/>
    <w:rsid w:val="00C3708E"/>
    <w:rsid w:val="00C370BA"/>
    <w:rsid w:val="00C371B4"/>
    <w:rsid w:val="00C371D0"/>
    <w:rsid w:val="00C3734F"/>
    <w:rsid w:val="00C37388"/>
    <w:rsid w:val="00C373B4"/>
    <w:rsid w:val="00C37540"/>
    <w:rsid w:val="00C37611"/>
    <w:rsid w:val="00C37647"/>
    <w:rsid w:val="00C37687"/>
    <w:rsid w:val="00C37703"/>
    <w:rsid w:val="00C37706"/>
    <w:rsid w:val="00C37952"/>
    <w:rsid w:val="00C379A8"/>
    <w:rsid w:val="00C37A23"/>
    <w:rsid w:val="00C37A8F"/>
    <w:rsid w:val="00C37AA2"/>
    <w:rsid w:val="00C37D96"/>
    <w:rsid w:val="00C37EBF"/>
    <w:rsid w:val="00C37FC5"/>
    <w:rsid w:val="00C4003E"/>
    <w:rsid w:val="00C40095"/>
    <w:rsid w:val="00C40098"/>
    <w:rsid w:val="00C400CB"/>
    <w:rsid w:val="00C40170"/>
    <w:rsid w:val="00C401B6"/>
    <w:rsid w:val="00C401E5"/>
    <w:rsid w:val="00C4023A"/>
    <w:rsid w:val="00C402C4"/>
    <w:rsid w:val="00C402CE"/>
    <w:rsid w:val="00C40430"/>
    <w:rsid w:val="00C40545"/>
    <w:rsid w:val="00C405C9"/>
    <w:rsid w:val="00C405CD"/>
    <w:rsid w:val="00C406C6"/>
    <w:rsid w:val="00C406FF"/>
    <w:rsid w:val="00C4077C"/>
    <w:rsid w:val="00C407D1"/>
    <w:rsid w:val="00C4092B"/>
    <w:rsid w:val="00C409C7"/>
    <w:rsid w:val="00C40A16"/>
    <w:rsid w:val="00C40A5A"/>
    <w:rsid w:val="00C40AC9"/>
    <w:rsid w:val="00C40C10"/>
    <w:rsid w:val="00C40CEA"/>
    <w:rsid w:val="00C40D4C"/>
    <w:rsid w:val="00C40E18"/>
    <w:rsid w:val="00C40E35"/>
    <w:rsid w:val="00C40EA5"/>
    <w:rsid w:val="00C40EC1"/>
    <w:rsid w:val="00C40F05"/>
    <w:rsid w:val="00C40F18"/>
    <w:rsid w:val="00C40FA8"/>
    <w:rsid w:val="00C40FC8"/>
    <w:rsid w:val="00C40FE8"/>
    <w:rsid w:val="00C410F9"/>
    <w:rsid w:val="00C41108"/>
    <w:rsid w:val="00C4117C"/>
    <w:rsid w:val="00C41201"/>
    <w:rsid w:val="00C41257"/>
    <w:rsid w:val="00C41292"/>
    <w:rsid w:val="00C41322"/>
    <w:rsid w:val="00C4132F"/>
    <w:rsid w:val="00C41394"/>
    <w:rsid w:val="00C41434"/>
    <w:rsid w:val="00C4144E"/>
    <w:rsid w:val="00C414DD"/>
    <w:rsid w:val="00C41709"/>
    <w:rsid w:val="00C4175A"/>
    <w:rsid w:val="00C4178A"/>
    <w:rsid w:val="00C41797"/>
    <w:rsid w:val="00C417B8"/>
    <w:rsid w:val="00C417D6"/>
    <w:rsid w:val="00C418B3"/>
    <w:rsid w:val="00C419D3"/>
    <w:rsid w:val="00C41AB4"/>
    <w:rsid w:val="00C41AF9"/>
    <w:rsid w:val="00C41B7C"/>
    <w:rsid w:val="00C41BA2"/>
    <w:rsid w:val="00C41C38"/>
    <w:rsid w:val="00C41D96"/>
    <w:rsid w:val="00C41E01"/>
    <w:rsid w:val="00C41EEE"/>
    <w:rsid w:val="00C41EFD"/>
    <w:rsid w:val="00C4207A"/>
    <w:rsid w:val="00C42121"/>
    <w:rsid w:val="00C42214"/>
    <w:rsid w:val="00C42244"/>
    <w:rsid w:val="00C4227B"/>
    <w:rsid w:val="00C4241F"/>
    <w:rsid w:val="00C4258A"/>
    <w:rsid w:val="00C42685"/>
    <w:rsid w:val="00C426CD"/>
    <w:rsid w:val="00C42854"/>
    <w:rsid w:val="00C428AA"/>
    <w:rsid w:val="00C42949"/>
    <w:rsid w:val="00C429C4"/>
    <w:rsid w:val="00C429F5"/>
    <w:rsid w:val="00C42A4C"/>
    <w:rsid w:val="00C42AF4"/>
    <w:rsid w:val="00C42BDE"/>
    <w:rsid w:val="00C42BE6"/>
    <w:rsid w:val="00C42C3E"/>
    <w:rsid w:val="00C42C90"/>
    <w:rsid w:val="00C42D96"/>
    <w:rsid w:val="00C42D9C"/>
    <w:rsid w:val="00C42E36"/>
    <w:rsid w:val="00C42E3B"/>
    <w:rsid w:val="00C4300E"/>
    <w:rsid w:val="00C4306E"/>
    <w:rsid w:val="00C4320A"/>
    <w:rsid w:val="00C4332B"/>
    <w:rsid w:val="00C434D9"/>
    <w:rsid w:val="00C434DE"/>
    <w:rsid w:val="00C43623"/>
    <w:rsid w:val="00C436B6"/>
    <w:rsid w:val="00C436CD"/>
    <w:rsid w:val="00C437E6"/>
    <w:rsid w:val="00C438CD"/>
    <w:rsid w:val="00C438DB"/>
    <w:rsid w:val="00C438F2"/>
    <w:rsid w:val="00C43928"/>
    <w:rsid w:val="00C43946"/>
    <w:rsid w:val="00C43966"/>
    <w:rsid w:val="00C43A4F"/>
    <w:rsid w:val="00C43ADE"/>
    <w:rsid w:val="00C43AEC"/>
    <w:rsid w:val="00C43B08"/>
    <w:rsid w:val="00C43B5E"/>
    <w:rsid w:val="00C43BF2"/>
    <w:rsid w:val="00C43C7A"/>
    <w:rsid w:val="00C43CE4"/>
    <w:rsid w:val="00C43D88"/>
    <w:rsid w:val="00C43DF7"/>
    <w:rsid w:val="00C43E57"/>
    <w:rsid w:val="00C43E5E"/>
    <w:rsid w:val="00C4407D"/>
    <w:rsid w:val="00C44198"/>
    <w:rsid w:val="00C44226"/>
    <w:rsid w:val="00C44250"/>
    <w:rsid w:val="00C4432B"/>
    <w:rsid w:val="00C4437C"/>
    <w:rsid w:val="00C44464"/>
    <w:rsid w:val="00C44564"/>
    <w:rsid w:val="00C446A1"/>
    <w:rsid w:val="00C446A3"/>
    <w:rsid w:val="00C4485B"/>
    <w:rsid w:val="00C44867"/>
    <w:rsid w:val="00C448ED"/>
    <w:rsid w:val="00C4490A"/>
    <w:rsid w:val="00C4491D"/>
    <w:rsid w:val="00C44947"/>
    <w:rsid w:val="00C44A25"/>
    <w:rsid w:val="00C44B7B"/>
    <w:rsid w:val="00C44CE9"/>
    <w:rsid w:val="00C44D62"/>
    <w:rsid w:val="00C44E17"/>
    <w:rsid w:val="00C44E86"/>
    <w:rsid w:val="00C44F8F"/>
    <w:rsid w:val="00C45073"/>
    <w:rsid w:val="00C450F9"/>
    <w:rsid w:val="00C4510F"/>
    <w:rsid w:val="00C45143"/>
    <w:rsid w:val="00C451A2"/>
    <w:rsid w:val="00C45235"/>
    <w:rsid w:val="00C45277"/>
    <w:rsid w:val="00C452C9"/>
    <w:rsid w:val="00C452FE"/>
    <w:rsid w:val="00C4534B"/>
    <w:rsid w:val="00C4539F"/>
    <w:rsid w:val="00C45424"/>
    <w:rsid w:val="00C4548C"/>
    <w:rsid w:val="00C454F5"/>
    <w:rsid w:val="00C454F6"/>
    <w:rsid w:val="00C4558D"/>
    <w:rsid w:val="00C4558E"/>
    <w:rsid w:val="00C45606"/>
    <w:rsid w:val="00C45624"/>
    <w:rsid w:val="00C456EF"/>
    <w:rsid w:val="00C456F2"/>
    <w:rsid w:val="00C4575E"/>
    <w:rsid w:val="00C457C1"/>
    <w:rsid w:val="00C457D3"/>
    <w:rsid w:val="00C459B7"/>
    <w:rsid w:val="00C45A82"/>
    <w:rsid w:val="00C45AB5"/>
    <w:rsid w:val="00C45B22"/>
    <w:rsid w:val="00C45C99"/>
    <w:rsid w:val="00C45CB5"/>
    <w:rsid w:val="00C45CD9"/>
    <w:rsid w:val="00C45CE0"/>
    <w:rsid w:val="00C45D44"/>
    <w:rsid w:val="00C45D52"/>
    <w:rsid w:val="00C45D59"/>
    <w:rsid w:val="00C45DF4"/>
    <w:rsid w:val="00C45E2A"/>
    <w:rsid w:val="00C45E46"/>
    <w:rsid w:val="00C45E81"/>
    <w:rsid w:val="00C45ECE"/>
    <w:rsid w:val="00C45FD5"/>
    <w:rsid w:val="00C45FFE"/>
    <w:rsid w:val="00C460E9"/>
    <w:rsid w:val="00C460F4"/>
    <w:rsid w:val="00C46115"/>
    <w:rsid w:val="00C4617B"/>
    <w:rsid w:val="00C461DB"/>
    <w:rsid w:val="00C46256"/>
    <w:rsid w:val="00C462C1"/>
    <w:rsid w:val="00C46331"/>
    <w:rsid w:val="00C4635C"/>
    <w:rsid w:val="00C46362"/>
    <w:rsid w:val="00C463A2"/>
    <w:rsid w:val="00C463BA"/>
    <w:rsid w:val="00C4640C"/>
    <w:rsid w:val="00C4643B"/>
    <w:rsid w:val="00C46534"/>
    <w:rsid w:val="00C4658F"/>
    <w:rsid w:val="00C467D9"/>
    <w:rsid w:val="00C467DA"/>
    <w:rsid w:val="00C467DC"/>
    <w:rsid w:val="00C46801"/>
    <w:rsid w:val="00C4685A"/>
    <w:rsid w:val="00C468ED"/>
    <w:rsid w:val="00C4691F"/>
    <w:rsid w:val="00C469FC"/>
    <w:rsid w:val="00C46ADE"/>
    <w:rsid w:val="00C46BAA"/>
    <w:rsid w:val="00C46C2B"/>
    <w:rsid w:val="00C46CD8"/>
    <w:rsid w:val="00C46DF9"/>
    <w:rsid w:val="00C46E34"/>
    <w:rsid w:val="00C46F58"/>
    <w:rsid w:val="00C47009"/>
    <w:rsid w:val="00C4718C"/>
    <w:rsid w:val="00C471A1"/>
    <w:rsid w:val="00C4737A"/>
    <w:rsid w:val="00C4738C"/>
    <w:rsid w:val="00C473F8"/>
    <w:rsid w:val="00C47436"/>
    <w:rsid w:val="00C47563"/>
    <w:rsid w:val="00C476A9"/>
    <w:rsid w:val="00C476BB"/>
    <w:rsid w:val="00C476DB"/>
    <w:rsid w:val="00C47707"/>
    <w:rsid w:val="00C47710"/>
    <w:rsid w:val="00C47761"/>
    <w:rsid w:val="00C4789C"/>
    <w:rsid w:val="00C478E1"/>
    <w:rsid w:val="00C4797B"/>
    <w:rsid w:val="00C479FF"/>
    <w:rsid w:val="00C47A8F"/>
    <w:rsid w:val="00C47AAD"/>
    <w:rsid w:val="00C47C61"/>
    <w:rsid w:val="00C47CD8"/>
    <w:rsid w:val="00C47D7C"/>
    <w:rsid w:val="00C47E1A"/>
    <w:rsid w:val="00C47E25"/>
    <w:rsid w:val="00C47E39"/>
    <w:rsid w:val="00C47E9A"/>
    <w:rsid w:val="00C47EAD"/>
    <w:rsid w:val="00C47F14"/>
    <w:rsid w:val="00C47FBF"/>
    <w:rsid w:val="00C5007B"/>
    <w:rsid w:val="00C500BE"/>
    <w:rsid w:val="00C50271"/>
    <w:rsid w:val="00C50317"/>
    <w:rsid w:val="00C504DE"/>
    <w:rsid w:val="00C50585"/>
    <w:rsid w:val="00C5059D"/>
    <w:rsid w:val="00C50672"/>
    <w:rsid w:val="00C506ED"/>
    <w:rsid w:val="00C507DD"/>
    <w:rsid w:val="00C507F9"/>
    <w:rsid w:val="00C508A3"/>
    <w:rsid w:val="00C5091F"/>
    <w:rsid w:val="00C509BC"/>
    <w:rsid w:val="00C50A9D"/>
    <w:rsid w:val="00C50B96"/>
    <w:rsid w:val="00C50C26"/>
    <w:rsid w:val="00C50D9C"/>
    <w:rsid w:val="00C50E0E"/>
    <w:rsid w:val="00C50E3C"/>
    <w:rsid w:val="00C50EF0"/>
    <w:rsid w:val="00C50FD2"/>
    <w:rsid w:val="00C510AC"/>
    <w:rsid w:val="00C51348"/>
    <w:rsid w:val="00C51400"/>
    <w:rsid w:val="00C5143D"/>
    <w:rsid w:val="00C5149A"/>
    <w:rsid w:val="00C514F8"/>
    <w:rsid w:val="00C515BC"/>
    <w:rsid w:val="00C5164D"/>
    <w:rsid w:val="00C516F2"/>
    <w:rsid w:val="00C5173A"/>
    <w:rsid w:val="00C5173E"/>
    <w:rsid w:val="00C5173F"/>
    <w:rsid w:val="00C51886"/>
    <w:rsid w:val="00C5194D"/>
    <w:rsid w:val="00C519B6"/>
    <w:rsid w:val="00C51A3F"/>
    <w:rsid w:val="00C51AC1"/>
    <w:rsid w:val="00C51B96"/>
    <w:rsid w:val="00C51BD7"/>
    <w:rsid w:val="00C51CA9"/>
    <w:rsid w:val="00C51CFE"/>
    <w:rsid w:val="00C51E30"/>
    <w:rsid w:val="00C51EFC"/>
    <w:rsid w:val="00C51F4F"/>
    <w:rsid w:val="00C51F51"/>
    <w:rsid w:val="00C51F81"/>
    <w:rsid w:val="00C51F9C"/>
    <w:rsid w:val="00C51F9E"/>
    <w:rsid w:val="00C51FDB"/>
    <w:rsid w:val="00C520E1"/>
    <w:rsid w:val="00C52107"/>
    <w:rsid w:val="00C5213C"/>
    <w:rsid w:val="00C52185"/>
    <w:rsid w:val="00C5218B"/>
    <w:rsid w:val="00C521EE"/>
    <w:rsid w:val="00C52205"/>
    <w:rsid w:val="00C52206"/>
    <w:rsid w:val="00C52243"/>
    <w:rsid w:val="00C5252B"/>
    <w:rsid w:val="00C52579"/>
    <w:rsid w:val="00C5262F"/>
    <w:rsid w:val="00C526DB"/>
    <w:rsid w:val="00C52721"/>
    <w:rsid w:val="00C52732"/>
    <w:rsid w:val="00C5273F"/>
    <w:rsid w:val="00C52806"/>
    <w:rsid w:val="00C528D7"/>
    <w:rsid w:val="00C52936"/>
    <w:rsid w:val="00C52A40"/>
    <w:rsid w:val="00C52AB3"/>
    <w:rsid w:val="00C52ADA"/>
    <w:rsid w:val="00C52B49"/>
    <w:rsid w:val="00C52BAA"/>
    <w:rsid w:val="00C52C35"/>
    <w:rsid w:val="00C52C36"/>
    <w:rsid w:val="00C52C7F"/>
    <w:rsid w:val="00C52D28"/>
    <w:rsid w:val="00C52D32"/>
    <w:rsid w:val="00C52E39"/>
    <w:rsid w:val="00C52EAC"/>
    <w:rsid w:val="00C52EC1"/>
    <w:rsid w:val="00C52F32"/>
    <w:rsid w:val="00C52F74"/>
    <w:rsid w:val="00C52FD5"/>
    <w:rsid w:val="00C52FD7"/>
    <w:rsid w:val="00C52FEB"/>
    <w:rsid w:val="00C5305E"/>
    <w:rsid w:val="00C53139"/>
    <w:rsid w:val="00C53178"/>
    <w:rsid w:val="00C531C1"/>
    <w:rsid w:val="00C53232"/>
    <w:rsid w:val="00C532CC"/>
    <w:rsid w:val="00C532CE"/>
    <w:rsid w:val="00C53307"/>
    <w:rsid w:val="00C53311"/>
    <w:rsid w:val="00C53363"/>
    <w:rsid w:val="00C53437"/>
    <w:rsid w:val="00C535B2"/>
    <w:rsid w:val="00C536CF"/>
    <w:rsid w:val="00C53789"/>
    <w:rsid w:val="00C5382F"/>
    <w:rsid w:val="00C53AAA"/>
    <w:rsid w:val="00C53AD7"/>
    <w:rsid w:val="00C53C80"/>
    <w:rsid w:val="00C53D48"/>
    <w:rsid w:val="00C53D55"/>
    <w:rsid w:val="00C53E90"/>
    <w:rsid w:val="00C53E9A"/>
    <w:rsid w:val="00C53F13"/>
    <w:rsid w:val="00C53F1C"/>
    <w:rsid w:val="00C54001"/>
    <w:rsid w:val="00C54127"/>
    <w:rsid w:val="00C54216"/>
    <w:rsid w:val="00C54308"/>
    <w:rsid w:val="00C54334"/>
    <w:rsid w:val="00C5439B"/>
    <w:rsid w:val="00C543ED"/>
    <w:rsid w:val="00C544B5"/>
    <w:rsid w:val="00C54578"/>
    <w:rsid w:val="00C5464C"/>
    <w:rsid w:val="00C546A1"/>
    <w:rsid w:val="00C5479E"/>
    <w:rsid w:val="00C5496C"/>
    <w:rsid w:val="00C549F3"/>
    <w:rsid w:val="00C54A1A"/>
    <w:rsid w:val="00C54A67"/>
    <w:rsid w:val="00C54B41"/>
    <w:rsid w:val="00C54B7E"/>
    <w:rsid w:val="00C54C88"/>
    <w:rsid w:val="00C54CEC"/>
    <w:rsid w:val="00C54D07"/>
    <w:rsid w:val="00C54D60"/>
    <w:rsid w:val="00C54D92"/>
    <w:rsid w:val="00C54E53"/>
    <w:rsid w:val="00C5522F"/>
    <w:rsid w:val="00C55257"/>
    <w:rsid w:val="00C552D0"/>
    <w:rsid w:val="00C552EF"/>
    <w:rsid w:val="00C55362"/>
    <w:rsid w:val="00C5548D"/>
    <w:rsid w:val="00C55601"/>
    <w:rsid w:val="00C5564F"/>
    <w:rsid w:val="00C5577E"/>
    <w:rsid w:val="00C558EE"/>
    <w:rsid w:val="00C559A7"/>
    <w:rsid w:val="00C55B6D"/>
    <w:rsid w:val="00C55BEF"/>
    <w:rsid w:val="00C55C5D"/>
    <w:rsid w:val="00C55ED9"/>
    <w:rsid w:val="00C55F83"/>
    <w:rsid w:val="00C5622B"/>
    <w:rsid w:val="00C56274"/>
    <w:rsid w:val="00C562D8"/>
    <w:rsid w:val="00C562E1"/>
    <w:rsid w:val="00C5632E"/>
    <w:rsid w:val="00C56341"/>
    <w:rsid w:val="00C56440"/>
    <w:rsid w:val="00C5661E"/>
    <w:rsid w:val="00C56760"/>
    <w:rsid w:val="00C567D3"/>
    <w:rsid w:val="00C56832"/>
    <w:rsid w:val="00C5686D"/>
    <w:rsid w:val="00C568AF"/>
    <w:rsid w:val="00C56909"/>
    <w:rsid w:val="00C5698C"/>
    <w:rsid w:val="00C56A16"/>
    <w:rsid w:val="00C56A3C"/>
    <w:rsid w:val="00C56A4D"/>
    <w:rsid w:val="00C56AD2"/>
    <w:rsid w:val="00C56B3A"/>
    <w:rsid w:val="00C56BA0"/>
    <w:rsid w:val="00C56C14"/>
    <w:rsid w:val="00C56C1A"/>
    <w:rsid w:val="00C56C44"/>
    <w:rsid w:val="00C56D65"/>
    <w:rsid w:val="00C56DDD"/>
    <w:rsid w:val="00C56E36"/>
    <w:rsid w:val="00C56E7B"/>
    <w:rsid w:val="00C57048"/>
    <w:rsid w:val="00C57051"/>
    <w:rsid w:val="00C5707E"/>
    <w:rsid w:val="00C57109"/>
    <w:rsid w:val="00C5712B"/>
    <w:rsid w:val="00C5720B"/>
    <w:rsid w:val="00C573B3"/>
    <w:rsid w:val="00C57436"/>
    <w:rsid w:val="00C574D6"/>
    <w:rsid w:val="00C57605"/>
    <w:rsid w:val="00C576FE"/>
    <w:rsid w:val="00C5772A"/>
    <w:rsid w:val="00C577C8"/>
    <w:rsid w:val="00C579EF"/>
    <w:rsid w:val="00C57A4F"/>
    <w:rsid w:val="00C57BB0"/>
    <w:rsid w:val="00C57BD0"/>
    <w:rsid w:val="00C57C06"/>
    <w:rsid w:val="00C57C99"/>
    <w:rsid w:val="00C57DD9"/>
    <w:rsid w:val="00C57E7A"/>
    <w:rsid w:val="00C60048"/>
    <w:rsid w:val="00C600FC"/>
    <w:rsid w:val="00C600FE"/>
    <w:rsid w:val="00C6021C"/>
    <w:rsid w:val="00C6024C"/>
    <w:rsid w:val="00C60267"/>
    <w:rsid w:val="00C602C1"/>
    <w:rsid w:val="00C6038C"/>
    <w:rsid w:val="00C603BD"/>
    <w:rsid w:val="00C603D0"/>
    <w:rsid w:val="00C6052D"/>
    <w:rsid w:val="00C60558"/>
    <w:rsid w:val="00C605F7"/>
    <w:rsid w:val="00C6066B"/>
    <w:rsid w:val="00C6072E"/>
    <w:rsid w:val="00C60748"/>
    <w:rsid w:val="00C60757"/>
    <w:rsid w:val="00C60762"/>
    <w:rsid w:val="00C60790"/>
    <w:rsid w:val="00C60805"/>
    <w:rsid w:val="00C6080F"/>
    <w:rsid w:val="00C60AA4"/>
    <w:rsid w:val="00C60B47"/>
    <w:rsid w:val="00C60C99"/>
    <w:rsid w:val="00C60CA0"/>
    <w:rsid w:val="00C60CC4"/>
    <w:rsid w:val="00C60CD1"/>
    <w:rsid w:val="00C60CEE"/>
    <w:rsid w:val="00C60E46"/>
    <w:rsid w:val="00C60F5D"/>
    <w:rsid w:val="00C60F97"/>
    <w:rsid w:val="00C61018"/>
    <w:rsid w:val="00C61143"/>
    <w:rsid w:val="00C6114F"/>
    <w:rsid w:val="00C611DD"/>
    <w:rsid w:val="00C61335"/>
    <w:rsid w:val="00C613E7"/>
    <w:rsid w:val="00C614BC"/>
    <w:rsid w:val="00C614EF"/>
    <w:rsid w:val="00C61565"/>
    <w:rsid w:val="00C615BF"/>
    <w:rsid w:val="00C616B6"/>
    <w:rsid w:val="00C616C7"/>
    <w:rsid w:val="00C61712"/>
    <w:rsid w:val="00C617AF"/>
    <w:rsid w:val="00C61832"/>
    <w:rsid w:val="00C6196B"/>
    <w:rsid w:val="00C6196E"/>
    <w:rsid w:val="00C61AF0"/>
    <w:rsid w:val="00C61B72"/>
    <w:rsid w:val="00C61C0A"/>
    <w:rsid w:val="00C61CBE"/>
    <w:rsid w:val="00C61CD9"/>
    <w:rsid w:val="00C61EB8"/>
    <w:rsid w:val="00C62127"/>
    <w:rsid w:val="00C62197"/>
    <w:rsid w:val="00C62292"/>
    <w:rsid w:val="00C622DF"/>
    <w:rsid w:val="00C62301"/>
    <w:rsid w:val="00C623E4"/>
    <w:rsid w:val="00C6248D"/>
    <w:rsid w:val="00C624FB"/>
    <w:rsid w:val="00C6257E"/>
    <w:rsid w:val="00C6258D"/>
    <w:rsid w:val="00C626A7"/>
    <w:rsid w:val="00C626A8"/>
    <w:rsid w:val="00C627C3"/>
    <w:rsid w:val="00C62804"/>
    <w:rsid w:val="00C62871"/>
    <w:rsid w:val="00C628C3"/>
    <w:rsid w:val="00C62A36"/>
    <w:rsid w:val="00C62AE1"/>
    <w:rsid w:val="00C62B59"/>
    <w:rsid w:val="00C62B5F"/>
    <w:rsid w:val="00C62B67"/>
    <w:rsid w:val="00C62C25"/>
    <w:rsid w:val="00C62C9D"/>
    <w:rsid w:val="00C62DA1"/>
    <w:rsid w:val="00C62DBA"/>
    <w:rsid w:val="00C62E94"/>
    <w:rsid w:val="00C62FEC"/>
    <w:rsid w:val="00C6301D"/>
    <w:rsid w:val="00C630CB"/>
    <w:rsid w:val="00C6313E"/>
    <w:rsid w:val="00C632A8"/>
    <w:rsid w:val="00C6332A"/>
    <w:rsid w:val="00C63361"/>
    <w:rsid w:val="00C6337F"/>
    <w:rsid w:val="00C633CC"/>
    <w:rsid w:val="00C63423"/>
    <w:rsid w:val="00C63433"/>
    <w:rsid w:val="00C634D0"/>
    <w:rsid w:val="00C634DE"/>
    <w:rsid w:val="00C637F0"/>
    <w:rsid w:val="00C638C3"/>
    <w:rsid w:val="00C638D7"/>
    <w:rsid w:val="00C63902"/>
    <w:rsid w:val="00C6396D"/>
    <w:rsid w:val="00C63974"/>
    <w:rsid w:val="00C63A1D"/>
    <w:rsid w:val="00C63ABC"/>
    <w:rsid w:val="00C63B0B"/>
    <w:rsid w:val="00C63BC8"/>
    <w:rsid w:val="00C63C09"/>
    <w:rsid w:val="00C63C43"/>
    <w:rsid w:val="00C63CE5"/>
    <w:rsid w:val="00C63E0D"/>
    <w:rsid w:val="00C63E86"/>
    <w:rsid w:val="00C63FE9"/>
    <w:rsid w:val="00C63FF9"/>
    <w:rsid w:val="00C6400A"/>
    <w:rsid w:val="00C64043"/>
    <w:rsid w:val="00C64090"/>
    <w:rsid w:val="00C640A2"/>
    <w:rsid w:val="00C640B9"/>
    <w:rsid w:val="00C64128"/>
    <w:rsid w:val="00C6415A"/>
    <w:rsid w:val="00C64178"/>
    <w:rsid w:val="00C641A5"/>
    <w:rsid w:val="00C641DF"/>
    <w:rsid w:val="00C6424B"/>
    <w:rsid w:val="00C64269"/>
    <w:rsid w:val="00C6433F"/>
    <w:rsid w:val="00C6446A"/>
    <w:rsid w:val="00C64541"/>
    <w:rsid w:val="00C64549"/>
    <w:rsid w:val="00C645AA"/>
    <w:rsid w:val="00C645BE"/>
    <w:rsid w:val="00C6467B"/>
    <w:rsid w:val="00C64727"/>
    <w:rsid w:val="00C64791"/>
    <w:rsid w:val="00C647D5"/>
    <w:rsid w:val="00C6481F"/>
    <w:rsid w:val="00C648FE"/>
    <w:rsid w:val="00C64913"/>
    <w:rsid w:val="00C64977"/>
    <w:rsid w:val="00C64A51"/>
    <w:rsid w:val="00C64AAC"/>
    <w:rsid w:val="00C64AE5"/>
    <w:rsid w:val="00C64B88"/>
    <w:rsid w:val="00C64BCF"/>
    <w:rsid w:val="00C64BD6"/>
    <w:rsid w:val="00C64BF7"/>
    <w:rsid w:val="00C64C8C"/>
    <w:rsid w:val="00C64C9E"/>
    <w:rsid w:val="00C64CEC"/>
    <w:rsid w:val="00C64D32"/>
    <w:rsid w:val="00C64D70"/>
    <w:rsid w:val="00C64E53"/>
    <w:rsid w:val="00C64E78"/>
    <w:rsid w:val="00C64EB4"/>
    <w:rsid w:val="00C64F48"/>
    <w:rsid w:val="00C65050"/>
    <w:rsid w:val="00C650A6"/>
    <w:rsid w:val="00C650EF"/>
    <w:rsid w:val="00C651C0"/>
    <w:rsid w:val="00C6525F"/>
    <w:rsid w:val="00C65277"/>
    <w:rsid w:val="00C65328"/>
    <w:rsid w:val="00C65366"/>
    <w:rsid w:val="00C653B3"/>
    <w:rsid w:val="00C65440"/>
    <w:rsid w:val="00C654DD"/>
    <w:rsid w:val="00C65529"/>
    <w:rsid w:val="00C655AE"/>
    <w:rsid w:val="00C656FD"/>
    <w:rsid w:val="00C6585F"/>
    <w:rsid w:val="00C65884"/>
    <w:rsid w:val="00C658F5"/>
    <w:rsid w:val="00C658FE"/>
    <w:rsid w:val="00C65B0A"/>
    <w:rsid w:val="00C65B96"/>
    <w:rsid w:val="00C65C5E"/>
    <w:rsid w:val="00C65C6A"/>
    <w:rsid w:val="00C65DD5"/>
    <w:rsid w:val="00C65E5B"/>
    <w:rsid w:val="00C65EC5"/>
    <w:rsid w:val="00C65EE1"/>
    <w:rsid w:val="00C66150"/>
    <w:rsid w:val="00C66159"/>
    <w:rsid w:val="00C66280"/>
    <w:rsid w:val="00C662F8"/>
    <w:rsid w:val="00C66394"/>
    <w:rsid w:val="00C663AC"/>
    <w:rsid w:val="00C663F0"/>
    <w:rsid w:val="00C6642E"/>
    <w:rsid w:val="00C66498"/>
    <w:rsid w:val="00C664FD"/>
    <w:rsid w:val="00C6667E"/>
    <w:rsid w:val="00C66748"/>
    <w:rsid w:val="00C66764"/>
    <w:rsid w:val="00C6677B"/>
    <w:rsid w:val="00C66831"/>
    <w:rsid w:val="00C668E7"/>
    <w:rsid w:val="00C668EA"/>
    <w:rsid w:val="00C66920"/>
    <w:rsid w:val="00C66A02"/>
    <w:rsid w:val="00C66AEC"/>
    <w:rsid w:val="00C66BEB"/>
    <w:rsid w:val="00C66BF8"/>
    <w:rsid w:val="00C66C51"/>
    <w:rsid w:val="00C66CAC"/>
    <w:rsid w:val="00C66CC9"/>
    <w:rsid w:val="00C66D27"/>
    <w:rsid w:val="00C66EE0"/>
    <w:rsid w:val="00C66F94"/>
    <w:rsid w:val="00C66FB7"/>
    <w:rsid w:val="00C6701C"/>
    <w:rsid w:val="00C67053"/>
    <w:rsid w:val="00C6708F"/>
    <w:rsid w:val="00C671D5"/>
    <w:rsid w:val="00C671DC"/>
    <w:rsid w:val="00C671F1"/>
    <w:rsid w:val="00C67246"/>
    <w:rsid w:val="00C673DD"/>
    <w:rsid w:val="00C67502"/>
    <w:rsid w:val="00C67540"/>
    <w:rsid w:val="00C675D9"/>
    <w:rsid w:val="00C675E5"/>
    <w:rsid w:val="00C676DA"/>
    <w:rsid w:val="00C676DB"/>
    <w:rsid w:val="00C676F5"/>
    <w:rsid w:val="00C677FA"/>
    <w:rsid w:val="00C67824"/>
    <w:rsid w:val="00C67844"/>
    <w:rsid w:val="00C678B3"/>
    <w:rsid w:val="00C67915"/>
    <w:rsid w:val="00C679D0"/>
    <w:rsid w:val="00C67A0E"/>
    <w:rsid w:val="00C67A23"/>
    <w:rsid w:val="00C67AD7"/>
    <w:rsid w:val="00C67BFB"/>
    <w:rsid w:val="00C67C07"/>
    <w:rsid w:val="00C67C71"/>
    <w:rsid w:val="00C67D0D"/>
    <w:rsid w:val="00C67D17"/>
    <w:rsid w:val="00C67D1D"/>
    <w:rsid w:val="00C67DBC"/>
    <w:rsid w:val="00C67DEA"/>
    <w:rsid w:val="00C67EA6"/>
    <w:rsid w:val="00C67F79"/>
    <w:rsid w:val="00C70028"/>
    <w:rsid w:val="00C700AC"/>
    <w:rsid w:val="00C702DC"/>
    <w:rsid w:val="00C702EC"/>
    <w:rsid w:val="00C70334"/>
    <w:rsid w:val="00C704B7"/>
    <w:rsid w:val="00C70518"/>
    <w:rsid w:val="00C70642"/>
    <w:rsid w:val="00C70805"/>
    <w:rsid w:val="00C708D6"/>
    <w:rsid w:val="00C7095A"/>
    <w:rsid w:val="00C709F3"/>
    <w:rsid w:val="00C70AB6"/>
    <w:rsid w:val="00C70B64"/>
    <w:rsid w:val="00C70BA5"/>
    <w:rsid w:val="00C70BAC"/>
    <w:rsid w:val="00C70BCC"/>
    <w:rsid w:val="00C70E85"/>
    <w:rsid w:val="00C70EAE"/>
    <w:rsid w:val="00C70EEB"/>
    <w:rsid w:val="00C70F9E"/>
    <w:rsid w:val="00C70FC5"/>
    <w:rsid w:val="00C710FA"/>
    <w:rsid w:val="00C710FC"/>
    <w:rsid w:val="00C7115D"/>
    <w:rsid w:val="00C7115E"/>
    <w:rsid w:val="00C71206"/>
    <w:rsid w:val="00C7129E"/>
    <w:rsid w:val="00C71347"/>
    <w:rsid w:val="00C713EF"/>
    <w:rsid w:val="00C7142E"/>
    <w:rsid w:val="00C71463"/>
    <w:rsid w:val="00C71490"/>
    <w:rsid w:val="00C714AD"/>
    <w:rsid w:val="00C714F5"/>
    <w:rsid w:val="00C71540"/>
    <w:rsid w:val="00C71568"/>
    <w:rsid w:val="00C715FC"/>
    <w:rsid w:val="00C71600"/>
    <w:rsid w:val="00C716BC"/>
    <w:rsid w:val="00C71868"/>
    <w:rsid w:val="00C71A74"/>
    <w:rsid w:val="00C71B14"/>
    <w:rsid w:val="00C71B4C"/>
    <w:rsid w:val="00C71D43"/>
    <w:rsid w:val="00C71D53"/>
    <w:rsid w:val="00C71DB0"/>
    <w:rsid w:val="00C71DF6"/>
    <w:rsid w:val="00C71E64"/>
    <w:rsid w:val="00C71E6E"/>
    <w:rsid w:val="00C71E8E"/>
    <w:rsid w:val="00C71F87"/>
    <w:rsid w:val="00C71FC2"/>
    <w:rsid w:val="00C720E6"/>
    <w:rsid w:val="00C72101"/>
    <w:rsid w:val="00C72138"/>
    <w:rsid w:val="00C72139"/>
    <w:rsid w:val="00C72143"/>
    <w:rsid w:val="00C72179"/>
    <w:rsid w:val="00C7217F"/>
    <w:rsid w:val="00C721E8"/>
    <w:rsid w:val="00C7225A"/>
    <w:rsid w:val="00C723B6"/>
    <w:rsid w:val="00C723BD"/>
    <w:rsid w:val="00C7240B"/>
    <w:rsid w:val="00C724C6"/>
    <w:rsid w:val="00C724F2"/>
    <w:rsid w:val="00C726E6"/>
    <w:rsid w:val="00C727EE"/>
    <w:rsid w:val="00C728BD"/>
    <w:rsid w:val="00C72931"/>
    <w:rsid w:val="00C72AD8"/>
    <w:rsid w:val="00C72B2D"/>
    <w:rsid w:val="00C72BA5"/>
    <w:rsid w:val="00C72BEA"/>
    <w:rsid w:val="00C72C46"/>
    <w:rsid w:val="00C72C6E"/>
    <w:rsid w:val="00C72CE4"/>
    <w:rsid w:val="00C72ED9"/>
    <w:rsid w:val="00C72FB6"/>
    <w:rsid w:val="00C73002"/>
    <w:rsid w:val="00C73083"/>
    <w:rsid w:val="00C73099"/>
    <w:rsid w:val="00C7318D"/>
    <w:rsid w:val="00C731C0"/>
    <w:rsid w:val="00C73206"/>
    <w:rsid w:val="00C7322E"/>
    <w:rsid w:val="00C73239"/>
    <w:rsid w:val="00C73291"/>
    <w:rsid w:val="00C73334"/>
    <w:rsid w:val="00C7338E"/>
    <w:rsid w:val="00C734A4"/>
    <w:rsid w:val="00C734F8"/>
    <w:rsid w:val="00C7359F"/>
    <w:rsid w:val="00C73618"/>
    <w:rsid w:val="00C736A3"/>
    <w:rsid w:val="00C7387D"/>
    <w:rsid w:val="00C7387E"/>
    <w:rsid w:val="00C7393A"/>
    <w:rsid w:val="00C73972"/>
    <w:rsid w:val="00C7397F"/>
    <w:rsid w:val="00C73998"/>
    <w:rsid w:val="00C739B9"/>
    <w:rsid w:val="00C739FB"/>
    <w:rsid w:val="00C73A1D"/>
    <w:rsid w:val="00C73BB5"/>
    <w:rsid w:val="00C73C3D"/>
    <w:rsid w:val="00C73C61"/>
    <w:rsid w:val="00C73C85"/>
    <w:rsid w:val="00C73CC7"/>
    <w:rsid w:val="00C73CFE"/>
    <w:rsid w:val="00C73D43"/>
    <w:rsid w:val="00C73DED"/>
    <w:rsid w:val="00C73E2F"/>
    <w:rsid w:val="00C73E87"/>
    <w:rsid w:val="00C74008"/>
    <w:rsid w:val="00C74012"/>
    <w:rsid w:val="00C7401E"/>
    <w:rsid w:val="00C74026"/>
    <w:rsid w:val="00C7411B"/>
    <w:rsid w:val="00C741B7"/>
    <w:rsid w:val="00C742A7"/>
    <w:rsid w:val="00C74399"/>
    <w:rsid w:val="00C743BF"/>
    <w:rsid w:val="00C743F2"/>
    <w:rsid w:val="00C7455B"/>
    <w:rsid w:val="00C745E3"/>
    <w:rsid w:val="00C745E4"/>
    <w:rsid w:val="00C74633"/>
    <w:rsid w:val="00C74663"/>
    <w:rsid w:val="00C746E9"/>
    <w:rsid w:val="00C74704"/>
    <w:rsid w:val="00C74822"/>
    <w:rsid w:val="00C7488E"/>
    <w:rsid w:val="00C748AB"/>
    <w:rsid w:val="00C74990"/>
    <w:rsid w:val="00C74A46"/>
    <w:rsid w:val="00C74AA7"/>
    <w:rsid w:val="00C74AC0"/>
    <w:rsid w:val="00C74C96"/>
    <w:rsid w:val="00C74E3B"/>
    <w:rsid w:val="00C74E3C"/>
    <w:rsid w:val="00C74EAC"/>
    <w:rsid w:val="00C74F30"/>
    <w:rsid w:val="00C74F8D"/>
    <w:rsid w:val="00C7510E"/>
    <w:rsid w:val="00C75174"/>
    <w:rsid w:val="00C75198"/>
    <w:rsid w:val="00C75253"/>
    <w:rsid w:val="00C75266"/>
    <w:rsid w:val="00C75276"/>
    <w:rsid w:val="00C752FE"/>
    <w:rsid w:val="00C75431"/>
    <w:rsid w:val="00C755DE"/>
    <w:rsid w:val="00C7560E"/>
    <w:rsid w:val="00C75669"/>
    <w:rsid w:val="00C75687"/>
    <w:rsid w:val="00C756FD"/>
    <w:rsid w:val="00C7574D"/>
    <w:rsid w:val="00C757E7"/>
    <w:rsid w:val="00C7581D"/>
    <w:rsid w:val="00C75874"/>
    <w:rsid w:val="00C7587B"/>
    <w:rsid w:val="00C75A56"/>
    <w:rsid w:val="00C75AB6"/>
    <w:rsid w:val="00C75B2C"/>
    <w:rsid w:val="00C75BA3"/>
    <w:rsid w:val="00C75BD8"/>
    <w:rsid w:val="00C75BDD"/>
    <w:rsid w:val="00C75C65"/>
    <w:rsid w:val="00C75C98"/>
    <w:rsid w:val="00C75CE2"/>
    <w:rsid w:val="00C75D43"/>
    <w:rsid w:val="00C75D57"/>
    <w:rsid w:val="00C75E3D"/>
    <w:rsid w:val="00C75E90"/>
    <w:rsid w:val="00C75F3A"/>
    <w:rsid w:val="00C75F85"/>
    <w:rsid w:val="00C76104"/>
    <w:rsid w:val="00C7612B"/>
    <w:rsid w:val="00C76139"/>
    <w:rsid w:val="00C7614A"/>
    <w:rsid w:val="00C7614C"/>
    <w:rsid w:val="00C761D6"/>
    <w:rsid w:val="00C76218"/>
    <w:rsid w:val="00C762F5"/>
    <w:rsid w:val="00C76352"/>
    <w:rsid w:val="00C7639E"/>
    <w:rsid w:val="00C7640D"/>
    <w:rsid w:val="00C76447"/>
    <w:rsid w:val="00C764B2"/>
    <w:rsid w:val="00C764C7"/>
    <w:rsid w:val="00C76517"/>
    <w:rsid w:val="00C7652B"/>
    <w:rsid w:val="00C76560"/>
    <w:rsid w:val="00C76572"/>
    <w:rsid w:val="00C76583"/>
    <w:rsid w:val="00C76595"/>
    <w:rsid w:val="00C7661B"/>
    <w:rsid w:val="00C7661D"/>
    <w:rsid w:val="00C766BC"/>
    <w:rsid w:val="00C7679C"/>
    <w:rsid w:val="00C7679E"/>
    <w:rsid w:val="00C768D8"/>
    <w:rsid w:val="00C7690F"/>
    <w:rsid w:val="00C769B5"/>
    <w:rsid w:val="00C769C1"/>
    <w:rsid w:val="00C769DD"/>
    <w:rsid w:val="00C769DE"/>
    <w:rsid w:val="00C76A3A"/>
    <w:rsid w:val="00C76A97"/>
    <w:rsid w:val="00C76AC0"/>
    <w:rsid w:val="00C76B87"/>
    <w:rsid w:val="00C76C33"/>
    <w:rsid w:val="00C76D8F"/>
    <w:rsid w:val="00C76DEB"/>
    <w:rsid w:val="00C76E76"/>
    <w:rsid w:val="00C76E9C"/>
    <w:rsid w:val="00C76F58"/>
    <w:rsid w:val="00C76F92"/>
    <w:rsid w:val="00C76FD3"/>
    <w:rsid w:val="00C77101"/>
    <w:rsid w:val="00C7715E"/>
    <w:rsid w:val="00C7717B"/>
    <w:rsid w:val="00C77193"/>
    <w:rsid w:val="00C7720F"/>
    <w:rsid w:val="00C77222"/>
    <w:rsid w:val="00C7729C"/>
    <w:rsid w:val="00C77353"/>
    <w:rsid w:val="00C77413"/>
    <w:rsid w:val="00C7750D"/>
    <w:rsid w:val="00C77638"/>
    <w:rsid w:val="00C776AE"/>
    <w:rsid w:val="00C7771A"/>
    <w:rsid w:val="00C77924"/>
    <w:rsid w:val="00C77AF9"/>
    <w:rsid w:val="00C77BFD"/>
    <w:rsid w:val="00C77C47"/>
    <w:rsid w:val="00C77C57"/>
    <w:rsid w:val="00C77DB1"/>
    <w:rsid w:val="00C77FAB"/>
    <w:rsid w:val="00C8000D"/>
    <w:rsid w:val="00C8007B"/>
    <w:rsid w:val="00C8017F"/>
    <w:rsid w:val="00C80210"/>
    <w:rsid w:val="00C80232"/>
    <w:rsid w:val="00C80274"/>
    <w:rsid w:val="00C803B1"/>
    <w:rsid w:val="00C803BF"/>
    <w:rsid w:val="00C804CA"/>
    <w:rsid w:val="00C80503"/>
    <w:rsid w:val="00C80653"/>
    <w:rsid w:val="00C80695"/>
    <w:rsid w:val="00C808D6"/>
    <w:rsid w:val="00C80912"/>
    <w:rsid w:val="00C809C4"/>
    <w:rsid w:val="00C80A2B"/>
    <w:rsid w:val="00C80B1A"/>
    <w:rsid w:val="00C80B6D"/>
    <w:rsid w:val="00C80C01"/>
    <w:rsid w:val="00C80C15"/>
    <w:rsid w:val="00C80CC6"/>
    <w:rsid w:val="00C80DDB"/>
    <w:rsid w:val="00C80DF2"/>
    <w:rsid w:val="00C80E1E"/>
    <w:rsid w:val="00C80EB2"/>
    <w:rsid w:val="00C80EDF"/>
    <w:rsid w:val="00C80EEB"/>
    <w:rsid w:val="00C812D1"/>
    <w:rsid w:val="00C81446"/>
    <w:rsid w:val="00C81537"/>
    <w:rsid w:val="00C81652"/>
    <w:rsid w:val="00C81709"/>
    <w:rsid w:val="00C817A1"/>
    <w:rsid w:val="00C81872"/>
    <w:rsid w:val="00C81879"/>
    <w:rsid w:val="00C818DC"/>
    <w:rsid w:val="00C81A22"/>
    <w:rsid w:val="00C81A28"/>
    <w:rsid w:val="00C81A8F"/>
    <w:rsid w:val="00C81AA3"/>
    <w:rsid w:val="00C81B33"/>
    <w:rsid w:val="00C81CCD"/>
    <w:rsid w:val="00C81E70"/>
    <w:rsid w:val="00C81F32"/>
    <w:rsid w:val="00C81FF4"/>
    <w:rsid w:val="00C8202F"/>
    <w:rsid w:val="00C820BA"/>
    <w:rsid w:val="00C82191"/>
    <w:rsid w:val="00C82366"/>
    <w:rsid w:val="00C82401"/>
    <w:rsid w:val="00C82418"/>
    <w:rsid w:val="00C82440"/>
    <w:rsid w:val="00C82448"/>
    <w:rsid w:val="00C824DD"/>
    <w:rsid w:val="00C824F2"/>
    <w:rsid w:val="00C8256D"/>
    <w:rsid w:val="00C82602"/>
    <w:rsid w:val="00C826DB"/>
    <w:rsid w:val="00C82722"/>
    <w:rsid w:val="00C82858"/>
    <w:rsid w:val="00C829C4"/>
    <w:rsid w:val="00C82A00"/>
    <w:rsid w:val="00C82A5D"/>
    <w:rsid w:val="00C82AEF"/>
    <w:rsid w:val="00C82B37"/>
    <w:rsid w:val="00C82B49"/>
    <w:rsid w:val="00C82B7B"/>
    <w:rsid w:val="00C82C4F"/>
    <w:rsid w:val="00C82C6D"/>
    <w:rsid w:val="00C82EFD"/>
    <w:rsid w:val="00C82F20"/>
    <w:rsid w:val="00C82F5A"/>
    <w:rsid w:val="00C82F73"/>
    <w:rsid w:val="00C82F8C"/>
    <w:rsid w:val="00C82FD5"/>
    <w:rsid w:val="00C83045"/>
    <w:rsid w:val="00C8306B"/>
    <w:rsid w:val="00C831B4"/>
    <w:rsid w:val="00C831DB"/>
    <w:rsid w:val="00C83271"/>
    <w:rsid w:val="00C83278"/>
    <w:rsid w:val="00C83296"/>
    <w:rsid w:val="00C832B5"/>
    <w:rsid w:val="00C833D6"/>
    <w:rsid w:val="00C83465"/>
    <w:rsid w:val="00C834C0"/>
    <w:rsid w:val="00C8351C"/>
    <w:rsid w:val="00C83531"/>
    <w:rsid w:val="00C835E4"/>
    <w:rsid w:val="00C83610"/>
    <w:rsid w:val="00C83737"/>
    <w:rsid w:val="00C83839"/>
    <w:rsid w:val="00C83858"/>
    <w:rsid w:val="00C83877"/>
    <w:rsid w:val="00C83887"/>
    <w:rsid w:val="00C83889"/>
    <w:rsid w:val="00C83952"/>
    <w:rsid w:val="00C83998"/>
    <w:rsid w:val="00C8399F"/>
    <w:rsid w:val="00C83A4E"/>
    <w:rsid w:val="00C83A7C"/>
    <w:rsid w:val="00C83B8D"/>
    <w:rsid w:val="00C83B92"/>
    <w:rsid w:val="00C83BC4"/>
    <w:rsid w:val="00C83C4F"/>
    <w:rsid w:val="00C83C63"/>
    <w:rsid w:val="00C83D40"/>
    <w:rsid w:val="00C83D61"/>
    <w:rsid w:val="00C83DD6"/>
    <w:rsid w:val="00C83FB6"/>
    <w:rsid w:val="00C84051"/>
    <w:rsid w:val="00C84246"/>
    <w:rsid w:val="00C842A8"/>
    <w:rsid w:val="00C845AF"/>
    <w:rsid w:val="00C845C0"/>
    <w:rsid w:val="00C845F4"/>
    <w:rsid w:val="00C84620"/>
    <w:rsid w:val="00C847D6"/>
    <w:rsid w:val="00C84813"/>
    <w:rsid w:val="00C84816"/>
    <w:rsid w:val="00C848F2"/>
    <w:rsid w:val="00C84932"/>
    <w:rsid w:val="00C84B59"/>
    <w:rsid w:val="00C84BF8"/>
    <w:rsid w:val="00C84C7A"/>
    <w:rsid w:val="00C84CAA"/>
    <w:rsid w:val="00C84D30"/>
    <w:rsid w:val="00C84E65"/>
    <w:rsid w:val="00C84EFD"/>
    <w:rsid w:val="00C84F0B"/>
    <w:rsid w:val="00C84F78"/>
    <w:rsid w:val="00C84FEC"/>
    <w:rsid w:val="00C85011"/>
    <w:rsid w:val="00C8507B"/>
    <w:rsid w:val="00C850B0"/>
    <w:rsid w:val="00C85126"/>
    <w:rsid w:val="00C85139"/>
    <w:rsid w:val="00C851A7"/>
    <w:rsid w:val="00C85200"/>
    <w:rsid w:val="00C85243"/>
    <w:rsid w:val="00C85253"/>
    <w:rsid w:val="00C85354"/>
    <w:rsid w:val="00C8536F"/>
    <w:rsid w:val="00C85396"/>
    <w:rsid w:val="00C85500"/>
    <w:rsid w:val="00C8558B"/>
    <w:rsid w:val="00C85624"/>
    <w:rsid w:val="00C856AD"/>
    <w:rsid w:val="00C85705"/>
    <w:rsid w:val="00C857D4"/>
    <w:rsid w:val="00C85974"/>
    <w:rsid w:val="00C85ACE"/>
    <w:rsid w:val="00C85AF4"/>
    <w:rsid w:val="00C85B17"/>
    <w:rsid w:val="00C85B7F"/>
    <w:rsid w:val="00C85C6C"/>
    <w:rsid w:val="00C85C82"/>
    <w:rsid w:val="00C85C83"/>
    <w:rsid w:val="00C85C9F"/>
    <w:rsid w:val="00C85CED"/>
    <w:rsid w:val="00C85CFB"/>
    <w:rsid w:val="00C85D17"/>
    <w:rsid w:val="00C85D3E"/>
    <w:rsid w:val="00C85D8D"/>
    <w:rsid w:val="00C85DD3"/>
    <w:rsid w:val="00C85DDC"/>
    <w:rsid w:val="00C85DF7"/>
    <w:rsid w:val="00C85E52"/>
    <w:rsid w:val="00C85E70"/>
    <w:rsid w:val="00C85E8D"/>
    <w:rsid w:val="00C85F06"/>
    <w:rsid w:val="00C85F5E"/>
    <w:rsid w:val="00C8602D"/>
    <w:rsid w:val="00C8608E"/>
    <w:rsid w:val="00C86104"/>
    <w:rsid w:val="00C86351"/>
    <w:rsid w:val="00C86358"/>
    <w:rsid w:val="00C86366"/>
    <w:rsid w:val="00C863DC"/>
    <w:rsid w:val="00C864AA"/>
    <w:rsid w:val="00C864AF"/>
    <w:rsid w:val="00C86541"/>
    <w:rsid w:val="00C866BF"/>
    <w:rsid w:val="00C866CE"/>
    <w:rsid w:val="00C866F4"/>
    <w:rsid w:val="00C86707"/>
    <w:rsid w:val="00C86734"/>
    <w:rsid w:val="00C868B0"/>
    <w:rsid w:val="00C869FB"/>
    <w:rsid w:val="00C86B5F"/>
    <w:rsid w:val="00C86B6E"/>
    <w:rsid w:val="00C86B83"/>
    <w:rsid w:val="00C86BDD"/>
    <w:rsid w:val="00C86C32"/>
    <w:rsid w:val="00C86C80"/>
    <w:rsid w:val="00C86D45"/>
    <w:rsid w:val="00C86D58"/>
    <w:rsid w:val="00C86DF3"/>
    <w:rsid w:val="00C86EF2"/>
    <w:rsid w:val="00C86FC6"/>
    <w:rsid w:val="00C86FFE"/>
    <w:rsid w:val="00C870AF"/>
    <w:rsid w:val="00C87102"/>
    <w:rsid w:val="00C8713C"/>
    <w:rsid w:val="00C872D9"/>
    <w:rsid w:val="00C87335"/>
    <w:rsid w:val="00C87382"/>
    <w:rsid w:val="00C87405"/>
    <w:rsid w:val="00C874F8"/>
    <w:rsid w:val="00C87511"/>
    <w:rsid w:val="00C87562"/>
    <w:rsid w:val="00C87678"/>
    <w:rsid w:val="00C876E5"/>
    <w:rsid w:val="00C87722"/>
    <w:rsid w:val="00C877F0"/>
    <w:rsid w:val="00C878A5"/>
    <w:rsid w:val="00C878CE"/>
    <w:rsid w:val="00C878EE"/>
    <w:rsid w:val="00C8795A"/>
    <w:rsid w:val="00C879F6"/>
    <w:rsid w:val="00C87A2D"/>
    <w:rsid w:val="00C87C8F"/>
    <w:rsid w:val="00C87E1C"/>
    <w:rsid w:val="00C87FBC"/>
    <w:rsid w:val="00C90008"/>
    <w:rsid w:val="00C900A4"/>
    <w:rsid w:val="00C9014E"/>
    <w:rsid w:val="00C90167"/>
    <w:rsid w:val="00C902CB"/>
    <w:rsid w:val="00C903B9"/>
    <w:rsid w:val="00C90452"/>
    <w:rsid w:val="00C905C8"/>
    <w:rsid w:val="00C905FC"/>
    <w:rsid w:val="00C9086F"/>
    <w:rsid w:val="00C909CF"/>
    <w:rsid w:val="00C909EF"/>
    <w:rsid w:val="00C90A15"/>
    <w:rsid w:val="00C90A31"/>
    <w:rsid w:val="00C90A32"/>
    <w:rsid w:val="00C90A9D"/>
    <w:rsid w:val="00C90B5D"/>
    <w:rsid w:val="00C90C86"/>
    <w:rsid w:val="00C90DAB"/>
    <w:rsid w:val="00C90E4D"/>
    <w:rsid w:val="00C90ED4"/>
    <w:rsid w:val="00C91090"/>
    <w:rsid w:val="00C910B8"/>
    <w:rsid w:val="00C910EA"/>
    <w:rsid w:val="00C910F4"/>
    <w:rsid w:val="00C911E3"/>
    <w:rsid w:val="00C9127D"/>
    <w:rsid w:val="00C91292"/>
    <w:rsid w:val="00C912CE"/>
    <w:rsid w:val="00C91305"/>
    <w:rsid w:val="00C91363"/>
    <w:rsid w:val="00C913A3"/>
    <w:rsid w:val="00C913EA"/>
    <w:rsid w:val="00C91452"/>
    <w:rsid w:val="00C91468"/>
    <w:rsid w:val="00C91531"/>
    <w:rsid w:val="00C915C5"/>
    <w:rsid w:val="00C91612"/>
    <w:rsid w:val="00C9163E"/>
    <w:rsid w:val="00C91677"/>
    <w:rsid w:val="00C916BC"/>
    <w:rsid w:val="00C916CE"/>
    <w:rsid w:val="00C916F0"/>
    <w:rsid w:val="00C91713"/>
    <w:rsid w:val="00C91759"/>
    <w:rsid w:val="00C91764"/>
    <w:rsid w:val="00C917FB"/>
    <w:rsid w:val="00C9192F"/>
    <w:rsid w:val="00C91956"/>
    <w:rsid w:val="00C919E8"/>
    <w:rsid w:val="00C919FD"/>
    <w:rsid w:val="00C91A0E"/>
    <w:rsid w:val="00C91A94"/>
    <w:rsid w:val="00C91AF4"/>
    <w:rsid w:val="00C91B5B"/>
    <w:rsid w:val="00C91BD7"/>
    <w:rsid w:val="00C91D04"/>
    <w:rsid w:val="00C91D46"/>
    <w:rsid w:val="00C91DB6"/>
    <w:rsid w:val="00C91E73"/>
    <w:rsid w:val="00C91F13"/>
    <w:rsid w:val="00C91F18"/>
    <w:rsid w:val="00C92014"/>
    <w:rsid w:val="00C920C1"/>
    <w:rsid w:val="00C920EF"/>
    <w:rsid w:val="00C9212F"/>
    <w:rsid w:val="00C9218B"/>
    <w:rsid w:val="00C9220C"/>
    <w:rsid w:val="00C9229B"/>
    <w:rsid w:val="00C922AE"/>
    <w:rsid w:val="00C922E3"/>
    <w:rsid w:val="00C9231C"/>
    <w:rsid w:val="00C92494"/>
    <w:rsid w:val="00C9268B"/>
    <w:rsid w:val="00C926AF"/>
    <w:rsid w:val="00C926F1"/>
    <w:rsid w:val="00C92753"/>
    <w:rsid w:val="00C927A4"/>
    <w:rsid w:val="00C9297F"/>
    <w:rsid w:val="00C929A0"/>
    <w:rsid w:val="00C929D7"/>
    <w:rsid w:val="00C92A84"/>
    <w:rsid w:val="00C92A89"/>
    <w:rsid w:val="00C92ADE"/>
    <w:rsid w:val="00C92AF4"/>
    <w:rsid w:val="00C92AFA"/>
    <w:rsid w:val="00C92B0A"/>
    <w:rsid w:val="00C92B42"/>
    <w:rsid w:val="00C92BB9"/>
    <w:rsid w:val="00C92C38"/>
    <w:rsid w:val="00C92C48"/>
    <w:rsid w:val="00C92C61"/>
    <w:rsid w:val="00C92CC2"/>
    <w:rsid w:val="00C92DF4"/>
    <w:rsid w:val="00C92E4A"/>
    <w:rsid w:val="00C92E77"/>
    <w:rsid w:val="00C92E9F"/>
    <w:rsid w:val="00C92ED1"/>
    <w:rsid w:val="00C92F8B"/>
    <w:rsid w:val="00C93106"/>
    <w:rsid w:val="00C9316C"/>
    <w:rsid w:val="00C932D7"/>
    <w:rsid w:val="00C93313"/>
    <w:rsid w:val="00C934CF"/>
    <w:rsid w:val="00C934EC"/>
    <w:rsid w:val="00C935B5"/>
    <w:rsid w:val="00C935CF"/>
    <w:rsid w:val="00C935ED"/>
    <w:rsid w:val="00C935FB"/>
    <w:rsid w:val="00C93607"/>
    <w:rsid w:val="00C9381A"/>
    <w:rsid w:val="00C93821"/>
    <w:rsid w:val="00C93886"/>
    <w:rsid w:val="00C938DC"/>
    <w:rsid w:val="00C93939"/>
    <w:rsid w:val="00C93991"/>
    <w:rsid w:val="00C93A56"/>
    <w:rsid w:val="00C93A71"/>
    <w:rsid w:val="00C93B2E"/>
    <w:rsid w:val="00C93BBE"/>
    <w:rsid w:val="00C93CA6"/>
    <w:rsid w:val="00C93D29"/>
    <w:rsid w:val="00C93E07"/>
    <w:rsid w:val="00C93EA9"/>
    <w:rsid w:val="00C93F80"/>
    <w:rsid w:val="00C94039"/>
    <w:rsid w:val="00C940E8"/>
    <w:rsid w:val="00C942EB"/>
    <w:rsid w:val="00C94320"/>
    <w:rsid w:val="00C94330"/>
    <w:rsid w:val="00C94345"/>
    <w:rsid w:val="00C94351"/>
    <w:rsid w:val="00C943DB"/>
    <w:rsid w:val="00C945A3"/>
    <w:rsid w:val="00C946A8"/>
    <w:rsid w:val="00C946E4"/>
    <w:rsid w:val="00C94743"/>
    <w:rsid w:val="00C947B0"/>
    <w:rsid w:val="00C947D9"/>
    <w:rsid w:val="00C9488B"/>
    <w:rsid w:val="00C948F3"/>
    <w:rsid w:val="00C94906"/>
    <w:rsid w:val="00C9492F"/>
    <w:rsid w:val="00C949AD"/>
    <w:rsid w:val="00C94A2C"/>
    <w:rsid w:val="00C94A64"/>
    <w:rsid w:val="00C94AC0"/>
    <w:rsid w:val="00C94BDF"/>
    <w:rsid w:val="00C94BFD"/>
    <w:rsid w:val="00C94C1F"/>
    <w:rsid w:val="00C94E0B"/>
    <w:rsid w:val="00C94E7D"/>
    <w:rsid w:val="00C94ECE"/>
    <w:rsid w:val="00C94EE0"/>
    <w:rsid w:val="00C94EFA"/>
    <w:rsid w:val="00C94F3E"/>
    <w:rsid w:val="00C94F64"/>
    <w:rsid w:val="00C94FEF"/>
    <w:rsid w:val="00C9512E"/>
    <w:rsid w:val="00C95185"/>
    <w:rsid w:val="00C951B6"/>
    <w:rsid w:val="00C951DE"/>
    <w:rsid w:val="00C95206"/>
    <w:rsid w:val="00C95342"/>
    <w:rsid w:val="00C9535C"/>
    <w:rsid w:val="00C95388"/>
    <w:rsid w:val="00C9538E"/>
    <w:rsid w:val="00C953B9"/>
    <w:rsid w:val="00C953BA"/>
    <w:rsid w:val="00C954AB"/>
    <w:rsid w:val="00C954C5"/>
    <w:rsid w:val="00C95591"/>
    <w:rsid w:val="00C955BF"/>
    <w:rsid w:val="00C955F0"/>
    <w:rsid w:val="00C9561C"/>
    <w:rsid w:val="00C95638"/>
    <w:rsid w:val="00C95706"/>
    <w:rsid w:val="00C95719"/>
    <w:rsid w:val="00C9575F"/>
    <w:rsid w:val="00C957C9"/>
    <w:rsid w:val="00C9582D"/>
    <w:rsid w:val="00C95834"/>
    <w:rsid w:val="00C95840"/>
    <w:rsid w:val="00C958CE"/>
    <w:rsid w:val="00C95906"/>
    <w:rsid w:val="00C95B1C"/>
    <w:rsid w:val="00C95B77"/>
    <w:rsid w:val="00C95B97"/>
    <w:rsid w:val="00C95BC7"/>
    <w:rsid w:val="00C95C0D"/>
    <w:rsid w:val="00C95D85"/>
    <w:rsid w:val="00C95E2F"/>
    <w:rsid w:val="00C95F76"/>
    <w:rsid w:val="00C9617E"/>
    <w:rsid w:val="00C962B0"/>
    <w:rsid w:val="00C962CE"/>
    <w:rsid w:val="00C96451"/>
    <w:rsid w:val="00C96486"/>
    <w:rsid w:val="00C964F7"/>
    <w:rsid w:val="00C964F9"/>
    <w:rsid w:val="00C965A0"/>
    <w:rsid w:val="00C965A5"/>
    <w:rsid w:val="00C965A7"/>
    <w:rsid w:val="00C96749"/>
    <w:rsid w:val="00C96788"/>
    <w:rsid w:val="00C969F8"/>
    <w:rsid w:val="00C96A32"/>
    <w:rsid w:val="00C96A33"/>
    <w:rsid w:val="00C96B0F"/>
    <w:rsid w:val="00C96CE6"/>
    <w:rsid w:val="00C96D64"/>
    <w:rsid w:val="00C96D7B"/>
    <w:rsid w:val="00C96D96"/>
    <w:rsid w:val="00C96DDC"/>
    <w:rsid w:val="00C96E54"/>
    <w:rsid w:val="00C96EC2"/>
    <w:rsid w:val="00C96F9D"/>
    <w:rsid w:val="00C97009"/>
    <w:rsid w:val="00C9702B"/>
    <w:rsid w:val="00C9704D"/>
    <w:rsid w:val="00C97063"/>
    <w:rsid w:val="00C97132"/>
    <w:rsid w:val="00C97180"/>
    <w:rsid w:val="00C971F5"/>
    <w:rsid w:val="00C972E9"/>
    <w:rsid w:val="00C97357"/>
    <w:rsid w:val="00C973CF"/>
    <w:rsid w:val="00C9755D"/>
    <w:rsid w:val="00C97564"/>
    <w:rsid w:val="00C97624"/>
    <w:rsid w:val="00C9788C"/>
    <w:rsid w:val="00C97B85"/>
    <w:rsid w:val="00C97C0B"/>
    <w:rsid w:val="00C97C92"/>
    <w:rsid w:val="00C97E82"/>
    <w:rsid w:val="00C97ED9"/>
    <w:rsid w:val="00C97F4E"/>
    <w:rsid w:val="00C97FBF"/>
    <w:rsid w:val="00CA0060"/>
    <w:rsid w:val="00CA0085"/>
    <w:rsid w:val="00CA00D9"/>
    <w:rsid w:val="00CA0103"/>
    <w:rsid w:val="00CA0105"/>
    <w:rsid w:val="00CA01B4"/>
    <w:rsid w:val="00CA01D0"/>
    <w:rsid w:val="00CA0295"/>
    <w:rsid w:val="00CA02CB"/>
    <w:rsid w:val="00CA032F"/>
    <w:rsid w:val="00CA0394"/>
    <w:rsid w:val="00CA03BC"/>
    <w:rsid w:val="00CA040E"/>
    <w:rsid w:val="00CA0465"/>
    <w:rsid w:val="00CA0527"/>
    <w:rsid w:val="00CA069D"/>
    <w:rsid w:val="00CA06B0"/>
    <w:rsid w:val="00CA081D"/>
    <w:rsid w:val="00CA087D"/>
    <w:rsid w:val="00CA089F"/>
    <w:rsid w:val="00CA0A76"/>
    <w:rsid w:val="00CA0AAF"/>
    <w:rsid w:val="00CA0ABB"/>
    <w:rsid w:val="00CA0AEF"/>
    <w:rsid w:val="00CA0BAD"/>
    <w:rsid w:val="00CA0BFB"/>
    <w:rsid w:val="00CA0C3E"/>
    <w:rsid w:val="00CA0C53"/>
    <w:rsid w:val="00CA0D23"/>
    <w:rsid w:val="00CA0D7A"/>
    <w:rsid w:val="00CA0F75"/>
    <w:rsid w:val="00CA1094"/>
    <w:rsid w:val="00CA10B3"/>
    <w:rsid w:val="00CA11AF"/>
    <w:rsid w:val="00CA1297"/>
    <w:rsid w:val="00CA12B1"/>
    <w:rsid w:val="00CA1431"/>
    <w:rsid w:val="00CA14EB"/>
    <w:rsid w:val="00CA152F"/>
    <w:rsid w:val="00CA1585"/>
    <w:rsid w:val="00CA158E"/>
    <w:rsid w:val="00CA159A"/>
    <w:rsid w:val="00CA15AA"/>
    <w:rsid w:val="00CA16EF"/>
    <w:rsid w:val="00CA1754"/>
    <w:rsid w:val="00CA17E3"/>
    <w:rsid w:val="00CA17E6"/>
    <w:rsid w:val="00CA180B"/>
    <w:rsid w:val="00CA187F"/>
    <w:rsid w:val="00CA1896"/>
    <w:rsid w:val="00CA18F7"/>
    <w:rsid w:val="00CA193B"/>
    <w:rsid w:val="00CA19F1"/>
    <w:rsid w:val="00CA1AB7"/>
    <w:rsid w:val="00CA1ACC"/>
    <w:rsid w:val="00CA1B37"/>
    <w:rsid w:val="00CA1B58"/>
    <w:rsid w:val="00CA1B7C"/>
    <w:rsid w:val="00CA1BAE"/>
    <w:rsid w:val="00CA1BB8"/>
    <w:rsid w:val="00CA1C3B"/>
    <w:rsid w:val="00CA1C3F"/>
    <w:rsid w:val="00CA1D5B"/>
    <w:rsid w:val="00CA1DD6"/>
    <w:rsid w:val="00CA1E3A"/>
    <w:rsid w:val="00CA1E74"/>
    <w:rsid w:val="00CA1FFE"/>
    <w:rsid w:val="00CA2035"/>
    <w:rsid w:val="00CA20AF"/>
    <w:rsid w:val="00CA21DE"/>
    <w:rsid w:val="00CA21F6"/>
    <w:rsid w:val="00CA23F2"/>
    <w:rsid w:val="00CA2471"/>
    <w:rsid w:val="00CA24D3"/>
    <w:rsid w:val="00CA266B"/>
    <w:rsid w:val="00CA27B7"/>
    <w:rsid w:val="00CA2851"/>
    <w:rsid w:val="00CA2873"/>
    <w:rsid w:val="00CA28EC"/>
    <w:rsid w:val="00CA294C"/>
    <w:rsid w:val="00CA29E3"/>
    <w:rsid w:val="00CA2B30"/>
    <w:rsid w:val="00CA2BA5"/>
    <w:rsid w:val="00CA2CCA"/>
    <w:rsid w:val="00CA2DC2"/>
    <w:rsid w:val="00CA2DCF"/>
    <w:rsid w:val="00CA2E01"/>
    <w:rsid w:val="00CA2E0B"/>
    <w:rsid w:val="00CA2F3E"/>
    <w:rsid w:val="00CA2F6E"/>
    <w:rsid w:val="00CA307F"/>
    <w:rsid w:val="00CA3104"/>
    <w:rsid w:val="00CA314D"/>
    <w:rsid w:val="00CA319E"/>
    <w:rsid w:val="00CA3412"/>
    <w:rsid w:val="00CA3493"/>
    <w:rsid w:val="00CA34E4"/>
    <w:rsid w:val="00CA368D"/>
    <w:rsid w:val="00CA37F1"/>
    <w:rsid w:val="00CA383C"/>
    <w:rsid w:val="00CA387F"/>
    <w:rsid w:val="00CA392E"/>
    <w:rsid w:val="00CA393F"/>
    <w:rsid w:val="00CA3A64"/>
    <w:rsid w:val="00CA3A90"/>
    <w:rsid w:val="00CA3AB5"/>
    <w:rsid w:val="00CA3BE4"/>
    <w:rsid w:val="00CA3CFC"/>
    <w:rsid w:val="00CA3E8C"/>
    <w:rsid w:val="00CA3F41"/>
    <w:rsid w:val="00CA3FE8"/>
    <w:rsid w:val="00CA4010"/>
    <w:rsid w:val="00CA4070"/>
    <w:rsid w:val="00CA4099"/>
    <w:rsid w:val="00CA40A9"/>
    <w:rsid w:val="00CA40D6"/>
    <w:rsid w:val="00CA429F"/>
    <w:rsid w:val="00CA44A8"/>
    <w:rsid w:val="00CA44F1"/>
    <w:rsid w:val="00CA459E"/>
    <w:rsid w:val="00CA45AE"/>
    <w:rsid w:val="00CA45B8"/>
    <w:rsid w:val="00CA45E7"/>
    <w:rsid w:val="00CA4656"/>
    <w:rsid w:val="00CA4710"/>
    <w:rsid w:val="00CA478B"/>
    <w:rsid w:val="00CA4792"/>
    <w:rsid w:val="00CA47AE"/>
    <w:rsid w:val="00CA47C4"/>
    <w:rsid w:val="00CA47EE"/>
    <w:rsid w:val="00CA48C1"/>
    <w:rsid w:val="00CA4AD4"/>
    <w:rsid w:val="00CA4AEC"/>
    <w:rsid w:val="00CA4DE7"/>
    <w:rsid w:val="00CA4E11"/>
    <w:rsid w:val="00CA4EA2"/>
    <w:rsid w:val="00CA4EB6"/>
    <w:rsid w:val="00CA4EE6"/>
    <w:rsid w:val="00CA4F17"/>
    <w:rsid w:val="00CA50AB"/>
    <w:rsid w:val="00CA50AD"/>
    <w:rsid w:val="00CA50E2"/>
    <w:rsid w:val="00CA51C4"/>
    <w:rsid w:val="00CA51C7"/>
    <w:rsid w:val="00CA523E"/>
    <w:rsid w:val="00CA5248"/>
    <w:rsid w:val="00CA524D"/>
    <w:rsid w:val="00CA5297"/>
    <w:rsid w:val="00CA537C"/>
    <w:rsid w:val="00CA53B4"/>
    <w:rsid w:val="00CA53B6"/>
    <w:rsid w:val="00CA5429"/>
    <w:rsid w:val="00CA5473"/>
    <w:rsid w:val="00CA54D2"/>
    <w:rsid w:val="00CA5636"/>
    <w:rsid w:val="00CA56CA"/>
    <w:rsid w:val="00CA56F2"/>
    <w:rsid w:val="00CA57AA"/>
    <w:rsid w:val="00CA5816"/>
    <w:rsid w:val="00CA597E"/>
    <w:rsid w:val="00CA59CB"/>
    <w:rsid w:val="00CA59D0"/>
    <w:rsid w:val="00CA5A42"/>
    <w:rsid w:val="00CA5A72"/>
    <w:rsid w:val="00CA5ABC"/>
    <w:rsid w:val="00CA5B1A"/>
    <w:rsid w:val="00CA5B23"/>
    <w:rsid w:val="00CA5B2F"/>
    <w:rsid w:val="00CA5B3D"/>
    <w:rsid w:val="00CA5CCE"/>
    <w:rsid w:val="00CA5D0A"/>
    <w:rsid w:val="00CA5D74"/>
    <w:rsid w:val="00CA5E49"/>
    <w:rsid w:val="00CA5F00"/>
    <w:rsid w:val="00CA600C"/>
    <w:rsid w:val="00CA60D8"/>
    <w:rsid w:val="00CA6235"/>
    <w:rsid w:val="00CA6250"/>
    <w:rsid w:val="00CA627B"/>
    <w:rsid w:val="00CA629A"/>
    <w:rsid w:val="00CA6434"/>
    <w:rsid w:val="00CA65B6"/>
    <w:rsid w:val="00CA6646"/>
    <w:rsid w:val="00CA66C7"/>
    <w:rsid w:val="00CA66F2"/>
    <w:rsid w:val="00CA6774"/>
    <w:rsid w:val="00CA6800"/>
    <w:rsid w:val="00CA6825"/>
    <w:rsid w:val="00CA6869"/>
    <w:rsid w:val="00CA69BA"/>
    <w:rsid w:val="00CA69D1"/>
    <w:rsid w:val="00CA6AC3"/>
    <w:rsid w:val="00CA6BD3"/>
    <w:rsid w:val="00CA6C00"/>
    <w:rsid w:val="00CA6C32"/>
    <w:rsid w:val="00CA6C90"/>
    <w:rsid w:val="00CA6DAD"/>
    <w:rsid w:val="00CA6DE9"/>
    <w:rsid w:val="00CA6DED"/>
    <w:rsid w:val="00CA6F70"/>
    <w:rsid w:val="00CA6F7B"/>
    <w:rsid w:val="00CA6FEB"/>
    <w:rsid w:val="00CA7038"/>
    <w:rsid w:val="00CA705E"/>
    <w:rsid w:val="00CA706B"/>
    <w:rsid w:val="00CA70DC"/>
    <w:rsid w:val="00CA7164"/>
    <w:rsid w:val="00CA7223"/>
    <w:rsid w:val="00CA724A"/>
    <w:rsid w:val="00CA725D"/>
    <w:rsid w:val="00CA72DA"/>
    <w:rsid w:val="00CA7473"/>
    <w:rsid w:val="00CA752C"/>
    <w:rsid w:val="00CA758E"/>
    <w:rsid w:val="00CA76F9"/>
    <w:rsid w:val="00CA780E"/>
    <w:rsid w:val="00CA799B"/>
    <w:rsid w:val="00CA79B8"/>
    <w:rsid w:val="00CA7A01"/>
    <w:rsid w:val="00CA7AE1"/>
    <w:rsid w:val="00CA7B06"/>
    <w:rsid w:val="00CA7B96"/>
    <w:rsid w:val="00CA7C71"/>
    <w:rsid w:val="00CA7D11"/>
    <w:rsid w:val="00CA7D12"/>
    <w:rsid w:val="00CA7DC6"/>
    <w:rsid w:val="00CA7DD0"/>
    <w:rsid w:val="00CA7E21"/>
    <w:rsid w:val="00CA7EAF"/>
    <w:rsid w:val="00CA7EE8"/>
    <w:rsid w:val="00CA7F32"/>
    <w:rsid w:val="00CB0022"/>
    <w:rsid w:val="00CB0055"/>
    <w:rsid w:val="00CB00AF"/>
    <w:rsid w:val="00CB00FC"/>
    <w:rsid w:val="00CB013D"/>
    <w:rsid w:val="00CB022C"/>
    <w:rsid w:val="00CB0232"/>
    <w:rsid w:val="00CB038B"/>
    <w:rsid w:val="00CB0395"/>
    <w:rsid w:val="00CB03F9"/>
    <w:rsid w:val="00CB0430"/>
    <w:rsid w:val="00CB047C"/>
    <w:rsid w:val="00CB06F3"/>
    <w:rsid w:val="00CB0736"/>
    <w:rsid w:val="00CB0740"/>
    <w:rsid w:val="00CB07A6"/>
    <w:rsid w:val="00CB085D"/>
    <w:rsid w:val="00CB0920"/>
    <w:rsid w:val="00CB09B6"/>
    <w:rsid w:val="00CB09BE"/>
    <w:rsid w:val="00CB0AC3"/>
    <w:rsid w:val="00CB0B5A"/>
    <w:rsid w:val="00CB0B63"/>
    <w:rsid w:val="00CB0CC8"/>
    <w:rsid w:val="00CB0CF0"/>
    <w:rsid w:val="00CB0D0A"/>
    <w:rsid w:val="00CB0E4E"/>
    <w:rsid w:val="00CB0FCE"/>
    <w:rsid w:val="00CB101C"/>
    <w:rsid w:val="00CB1280"/>
    <w:rsid w:val="00CB129E"/>
    <w:rsid w:val="00CB1308"/>
    <w:rsid w:val="00CB1347"/>
    <w:rsid w:val="00CB1386"/>
    <w:rsid w:val="00CB1585"/>
    <w:rsid w:val="00CB15E0"/>
    <w:rsid w:val="00CB15E4"/>
    <w:rsid w:val="00CB15F5"/>
    <w:rsid w:val="00CB174D"/>
    <w:rsid w:val="00CB17F1"/>
    <w:rsid w:val="00CB181F"/>
    <w:rsid w:val="00CB1822"/>
    <w:rsid w:val="00CB19CF"/>
    <w:rsid w:val="00CB1A00"/>
    <w:rsid w:val="00CB1AE2"/>
    <w:rsid w:val="00CB1B1C"/>
    <w:rsid w:val="00CB1B92"/>
    <w:rsid w:val="00CB1B95"/>
    <w:rsid w:val="00CB1BB9"/>
    <w:rsid w:val="00CB1C07"/>
    <w:rsid w:val="00CB1C2C"/>
    <w:rsid w:val="00CB1C32"/>
    <w:rsid w:val="00CB1D05"/>
    <w:rsid w:val="00CB1DFA"/>
    <w:rsid w:val="00CB1F6D"/>
    <w:rsid w:val="00CB1FF2"/>
    <w:rsid w:val="00CB200F"/>
    <w:rsid w:val="00CB202A"/>
    <w:rsid w:val="00CB2130"/>
    <w:rsid w:val="00CB216A"/>
    <w:rsid w:val="00CB222E"/>
    <w:rsid w:val="00CB22DB"/>
    <w:rsid w:val="00CB2361"/>
    <w:rsid w:val="00CB2390"/>
    <w:rsid w:val="00CB23C0"/>
    <w:rsid w:val="00CB248A"/>
    <w:rsid w:val="00CB24EA"/>
    <w:rsid w:val="00CB25DE"/>
    <w:rsid w:val="00CB2648"/>
    <w:rsid w:val="00CB26C1"/>
    <w:rsid w:val="00CB26D6"/>
    <w:rsid w:val="00CB27F2"/>
    <w:rsid w:val="00CB2889"/>
    <w:rsid w:val="00CB29D4"/>
    <w:rsid w:val="00CB2AD0"/>
    <w:rsid w:val="00CB2ADC"/>
    <w:rsid w:val="00CB2AE5"/>
    <w:rsid w:val="00CB2B32"/>
    <w:rsid w:val="00CB2B35"/>
    <w:rsid w:val="00CB2C04"/>
    <w:rsid w:val="00CB2C22"/>
    <w:rsid w:val="00CB2CC9"/>
    <w:rsid w:val="00CB2CDB"/>
    <w:rsid w:val="00CB2D31"/>
    <w:rsid w:val="00CB2D9B"/>
    <w:rsid w:val="00CB2DF4"/>
    <w:rsid w:val="00CB2E47"/>
    <w:rsid w:val="00CB2E95"/>
    <w:rsid w:val="00CB2F04"/>
    <w:rsid w:val="00CB30B2"/>
    <w:rsid w:val="00CB3153"/>
    <w:rsid w:val="00CB319C"/>
    <w:rsid w:val="00CB319E"/>
    <w:rsid w:val="00CB31AD"/>
    <w:rsid w:val="00CB3248"/>
    <w:rsid w:val="00CB3283"/>
    <w:rsid w:val="00CB32B6"/>
    <w:rsid w:val="00CB3313"/>
    <w:rsid w:val="00CB333D"/>
    <w:rsid w:val="00CB33AE"/>
    <w:rsid w:val="00CB3432"/>
    <w:rsid w:val="00CB3520"/>
    <w:rsid w:val="00CB3584"/>
    <w:rsid w:val="00CB3646"/>
    <w:rsid w:val="00CB36BC"/>
    <w:rsid w:val="00CB3832"/>
    <w:rsid w:val="00CB3A01"/>
    <w:rsid w:val="00CB3B0B"/>
    <w:rsid w:val="00CB3B72"/>
    <w:rsid w:val="00CB3BAA"/>
    <w:rsid w:val="00CB3BD1"/>
    <w:rsid w:val="00CB3C17"/>
    <w:rsid w:val="00CB3EB2"/>
    <w:rsid w:val="00CB3EFE"/>
    <w:rsid w:val="00CB4015"/>
    <w:rsid w:val="00CB401B"/>
    <w:rsid w:val="00CB410F"/>
    <w:rsid w:val="00CB41AE"/>
    <w:rsid w:val="00CB4236"/>
    <w:rsid w:val="00CB42D6"/>
    <w:rsid w:val="00CB42E1"/>
    <w:rsid w:val="00CB43C3"/>
    <w:rsid w:val="00CB4402"/>
    <w:rsid w:val="00CB4516"/>
    <w:rsid w:val="00CB46E2"/>
    <w:rsid w:val="00CB477D"/>
    <w:rsid w:val="00CB480C"/>
    <w:rsid w:val="00CB48A2"/>
    <w:rsid w:val="00CB48B2"/>
    <w:rsid w:val="00CB48D7"/>
    <w:rsid w:val="00CB4AAE"/>
    <w:rsid w:val="00CB4B11"/>
    <w:rsid w:val="00CB4B47"/>
    <w:rsid w:val="00CB4C50"/>
    <w:rsid w:val="00CB4C62"/>
    <w:rsid w:val="00CB4C82"/>
    <w:rsid w:val="00CB4D19"/>
    <w:rsid w:val="00CB4E46"/>
    <w:rsid w:val="00CB4E6D"/>
    <w:rsid w:val="00CB4EAD"/>
    <w:rsid w:val="00CB4EB8"/>
    <w:rsid w:val="00CB4F13"/>
    <w:rsid w:val="00CB4F3E"/>
    <w:rsid w:val="00CB4F42"/>
    <w:rsid w:val="00CB4F8D"/>
    <w:rsid w:val="00CB4F9D"/>
    <w:rsid w:val="00CB4FF1"/>
    <w:rsid w:val="00CB503A"/>
    <w:rsid w:val="00CB517A"/>
    <w:rsid w:val="00CB5294"/>
    <w:rsid w:val="00CB529B"/>
    <w:rsid w:val="00CB534F"/>
    <w:rsid w:val="00CB5372"/>
    <w:rsid w:val="00CB5548"/>
    <w:rsid w:val="00CB55C2"/>
    <w:rsid w:val="00CB5616"/>
    <w:rsid w:val="00CB5651"/>
    <w:rsid w:val="00CB572A"/>
    <w:rsid w:val="00CB576B"/>
    <w:rsid w:val="00CB582A"/>
    <w:rsid w:val="00CB582F"/>
    <w:rsid w:val="00CB5851"/>
    <w:rsid w:val="00CB588A"/>
    <w:rsid w:val="00CB58CD"/>
    <w:rsid w:val="00CB591E"/>
    <w:rsid w:val="00CB594E"/>
    <w:rsid w:val="00CB59D0"/>
    <w:rsid w:val="00CB59F0"/>
    <w:rsid w:val="00CB5A1C"/>
    <w:rsid w:val="00CB5A27"/>
    <w:rsid w:val="00CB5ACF"/>
    <w:rsid w:val="00CB5B2C"/>
    <w:rsid w:val="00CB5B2D"/>
    <w:rsid w:val="00CB5BA9"/>
    <w:rsid w:val="00CB5BDE"/>
    <w:rsid w:val="00CB5D9A"/>
    <w:rsid w:val="00CB5E7C"/>
    <w:rsid w:val="00CB5ED0"/>
    <w:rsid w:val="00CB5F20"/>
    <w:rsid w:val="00CB621C"/>
    <w:rsid w:val="00CB624D"/>
    <w:rsid w:val="00CB62F1"/>
    <w:rsid w:val="00CB62FD"/>
    <w:rsid w:val="00CB6352"/>
    <w:rsid w:val="00CB6414"/>
    <w:rsid w:val="00CB6417"/>
    <w:rsid w:val="00CB646E"/>
    <w:rsid w:val="00CB6538"/>
    <w:rsid w:val="00CB6606"/>
    <w:rsid w:val="00CB67BF"/>
    <w:rsid w:val="00CB6879"/>
    <w:rsid w:val="00CB68CD"/>
    <w:rsid w:val="00CB6907"/>
    <w:rsid w:val="00CB693D"/>
    <w:rsid w:val="00CB693E"/>
    <w:rsid w:val="00CB6989"/>
    <w:rsid w:val="00CB6A89"/>
    <w:rsid w:val="00CB6AB6"/>
    <w:rsid w:val="00CB6B00"/>
    <w:rsid w:val="00CB6BC3"/>
    <w:rsid w:val="00CB6C5A"/>
    <w:rsid w:val="00CB6CD0"/>
    <w:rsid w:val="00CB6CFE"/>
    <w:rsid w:val="00CB6D01"/>
    <w:rsid w:val="00CB6F0B"/>
    <w:rsid w:val="00CB6F1F"/>
    <w:rsid w:val="00CB6F57"/>
    <w:rsid w:val="00CB6FAB"/>
    <w:rsid w:val="00CB70D7"/>
    <w:rsid w:val="00CB70EF"/>
    <w:rsid w:val="00CB72BE"/>
    <w:rsid w:val="00CB73BB"/>
    <w:rsid w:val="00CB740D"/>
    <w:rsid w:val="00CB7419"/>
    <w:rsid w:val="00CB7425"/>
    <w:rsid w:val="00CB743B"/>
    <w:rsid w:val="00CB7507"/>
    <w:rsid w:val="00CB7598"/>
    <w:rsid w:val="00CB75B1"/>
    <w:rsid w:val="00CB7648"/>
    <w:rsid w:val="00CB766E"/>
    <w:rsid w:val="00CB76BE"/>
    <w:rsid w:val="00CB76EE"/>
    <w:rsid w:val="00CB7713"/>
    <w:rsid w:val="00CB79F2"/>
    <w:rsid w:val="00CB7A34"/>
    <w:rsid w:val="00CB7A68"/>
    <w:rsid w:val="00CB7A75"/>
    <w:rsid w:val="00CB7A96"/>
    <w:rsid w:val="00CB7B0C"/>
    <w:rsid w:val="00CB7B4C"/>
    <w:rsid w:val="00CB7CFE"/>
    <w:rsid w:val="00CB7D92"/>
    <w:rsid w:val="00CB7DA9"/>
    <w:rsid w:val="00CB7E21"/>
    <w:rsid w:val="00CC012E"/>
    <w:rsid w:val="00CC0148"/>
    <w:rsid w:val="00CC0182"/>
    <w:rsid w:val="00CC0202"/>
    <w:rsid w:val="00CC0531"/>
    <w:rsid w:val="00CC0562"/>
    <w:rsid w:val="00CC06B7"/>
    <w:rsid w:val="00CC093B"/>
    <w:rsid w:val="00CC095A"/>
    <w:rsid w:val="00CC09CA"/>
    <w:rsid w:val="00CC0B2A"/>
    <w:rsid w:val="00CC0B56"/>
    <w:rsid w:val="00CC0BFE"/>
    <w:rsid w:val="00CC0C4E"/>
    <w:rsid w:val="00CC0CA1"/>
    <w:rsid w:val="00CC0D1D"/>
    <w:rsid w:val="00CC0D8D"/>
    <w:rsid w:val="00CC0DD2"/>
    <w:rsid w:val="00CC0FE6"/>
    <w:rsid w:val="00CC110E"/>
    <w:rsid w:val="00CC11CD"/>
    <w:rsid w:val="00CC126D"/>
    <w:rsid w:val="00CC1336"/>
    <w:rsid w:val="00CC1385"/>
    <w:rsid w:val="00CC13CE"/>
    <w:rsid w:val="00CC143D"/>
    <w:rsid w:val="00CC1543"/>
    <w:rsid w:val="00CC1563"/>
    <w:rsid w:val="00CC162C"/>
    <w:rsid w:val="00CC18DF"/>
    <w:rsid w:val="00CC1A1F"/>
    <w:rsid w:val="00CC1A48"/>
    <w:rsid w:val="00CC1A72"/>
    <w:rsid w:val="00CC1A78"/>
    <w:rsid w:val="00CC1B10"/>
    <w:rsid w:val="00CC1B18"/>
    <w:rsid w:val="00CC1B45"/>
    <w:rsid w:val="00CC1BEB"/>
    <w:rsid w:val="00CC1BF9"/>
    <w:rsid w:val="00CC1C39"/>
    <w:rsid w:val="00CC1D75"/>
    <w:rsid w:val="00CC1DBE"/>
    <w:rsid w:val="00CC1E2A"/>
    <w:rsid w:val="00CC1EC3"/>
    <w:rsid w:val="00CC1FD1"/>
    <w:rsid w:val="00CC2151"/>
    <w:rsid w:val="00CC215E"/>
    <w:rsid w:val="00CC2180"/>
    <w:rsid w:val="00CC221C"/>
    <w:rsid w:val="00CC22A0"/>
    <w:rsid w:val="00CC22F9"/>
    <w:rsid w:val="00CC23F3"/>
    <w:rsid w:val="00CC2412"/>
    <w:rsid w:val="00CC2499"/>
    <w:rsid w:val="00CC25DD"/>
    <w:rsid w:val="00CC2606"/>
    <w:rsid w:val="00CC2693"/>
    <w:rsid w:val="00CC2696"/>
    <w:rsid w:val="00CC26B9"/>
    <w:rsid w:val="00CC26DC"/>
    <w:rsid w:val="00CC2710"/>
    <w:rsid w:val="00CC2775"/>
    <w:rsid w:val="00CC278F"/>
    <w:rsid w:val="00CC27D6"/>
    <w:rsid w:val="00CC281E"/>
    <w:rsid w:val="00CC2857"/>
    <w:rsid w:val="00CC2901"/>
    <w:rsid w:val="00CC290C"/>
    <w:rsid w:val="00CC299A"/>
    <w:rsid w:val="00CC29CD"/>
    <w:rsid w:val="00CC2A6D"/>
    <w:rsid w:val="00CC2AB2"/>
    <w:rsid w:val="00CC2AE6"/>
    <w:rsid w:val="00CC2C17"/>
    <w:rsid w:val="00CC2CAC"/>
    <w:rsid w:val="00CC2D17"/>
    <w:rsid w:val="00CC2DF0"/>
    <w:rsid w:val="00CC2E17"/>
    <w:rsid w:val="00CC2E49"/>
    <w:rsid w:val="00CC2F9C"/>
    <w:rsid w:val="00CC2FFF"/>
    <w:rsid w:val="00CC3034"/>
    <w:rsid w:val="00CC30F4"/>
    <w:rsid w:val="00CC3280"/>
    <w:rsid w:val="00CC32E6"/>
    <w:rsid w:val="00CC330F"/>
    <w:rsid w:val="00CC3337"/>
    <w:rsid w:val="00CC33BE"/>
    <w:rsid w:val="00CC34EC"/>
    <w:rsid w:val="00CC3707"/>
    <w:rsid w:val="00CC3760"/>
    <w:rsid w:val="00CC38DD"/>
    <w:rsid w:val="00CC3941"/>
    <w:rsid w:val="00CC3956"/>
    <w:rsid w:val="00CC3975"/>
    <w:rsid w:val="00CC398F"/>
    <w:rsid w:val="00CC39B7"/>
    <w:rsid w:val="00CC3A1D"/>
    <w:rsid w:val="00CC3AE7"/>
    <w:rsid w:val="00CC3B42"/>
    <w:rsid w:val="00CC3C22"/>
    <w:rsid w:val="00CC3CC2"/>
    <w:rsid w:val="00CC3CD6"/>
    <w:rsid w:val="00CC3D50"/>
    <w:rsid w:val="00CC3D58"/>
    <w:rsid w:val="00CC3E3A"/>
    <w:rsid w:val="00CC3E50"/>
    <w:rsid w:val="00CC3F3F"/>
    <w:rsid w:val="00CC3FEF"/>
    <w:rsid w:val="00CC4018"/>
    <w:rsid w:val="00CC4106"/>
    <w:rsid w:val="00CC411F"/>
    <w:rsid w:val="00CC4129"/>
    <w:rsid w:val="00CC420D"/>
    <w:rsid w:val="00CC43F8"/>
    <w:rsid w:val="00CC4407"/>
    <w:rsid w:val="00CC4477"/>
    <w:rsid w:val="00CC44D6"/>
    <w:rsid w:val="00CC44E2"/>
    <w:rsid w:val="00CC461F"/>
    <w:rsid w:val="00CC4626"/>
    <w:rsid w:val="00CC4645"/>
    <w:rsid w:val="00CC479C"/>
    <w:rsid w:val="00CC4835"/>
    <w:rsid w:val="00CC4858"/>
    <w:rsid w:val="00CC487C"/>
    <w:rsid w:val="00CC48BB"/>
    <w:rsid w:val="00CC48F7"/>
    <w:rsid w:val="00CC4971"/>
    <w:rsid w:val="00CC49DD"/>
    <w:rsid w:val="00CC4A8E"/>
    <w:rsid w:val="00CC4B73"/>
    <w:rsid w:val="00CC4D71"/>
    <w:rsid w:val="00CC4DBD"/>
    <w:rsid w:val="00CC4DD6"/>
    <w:rsid w:val="00CC4E60"/>
    <w:rsid w:val="00CC4ECC"/>
    <w:rsid w:val="00CC4EE4"/>
    <w:rsid w:val="00CC4F95"/>
    <w:rsid w:val="00CC501E"/>
    <w:rsid w:val="00CC50D1"/>
    <w:rsid w:val="00CC50E4"/>
    <w:rsid w:val="00CC514C"/>
    <w:rsid w:val="00CC517E"/>
    <w:rsid w:val="00CC51EE"/>
    <w:rsid w:val="00CC523B"/>
    <w:rsid w:val="00CC52B3"/>
    <w:rsid w:val="00CC52D7"/>
    <w:rsid w:val="00CC530B"/>
    <w:rsid w:val="00CC5405"/>
    <w:rsid w:val="00CC54E4"/>
    <w:rsid w:val="00CC558D"/>
    <w:rsid w:val="00CC55DE"/>
    <w:rsid w:val="00CC5695"/>
    <w:rsid w:val="00CC56DD"/>
    <w:rsid w:val="00CC56F3"/>
    <w:rsid w:val="00CC573B"/>
    <w:rsid w:val="00CC574E"/>
    <w:rsid w:val="00CC586C"/>
    <w:rsid w:val="00CC5932"/>
    <w:rsid w:val="00CC59CF"/>
    <w:rsid w:val="00CC5A0E"/>
    <w:rsid w:val="00CC5A2E"/>
    <w:rsid w:val="00CC5A3A"/>
    <w:rsid w:val="00CC5B9A"/>
    <w:rsid w:val="00CC5C10"/>
    <w:rsid w:val="00CC5C66"/>
    <w:rsid w:val="00CC5D0E"/>
    <w:rsid w:val="00CC5D4C"/>
    <w:rsid w:val="00CC5DC8"/>
    <w:rsid w:val="00CC5DF4"/>
    <w:rsid w:val="00CC5E0D"/>
    <w:rsid w:val="00CC5E0E"/>
    <w:rsid w:val="00CC5F0A"/>
    <w:rsid w:val="00CC60A8"/>
    <w:rsid w:val="00CC60E2"/>
    <w:rsid w:val="00CC6279"/>
    <w:rsid w:val="00CC629F"/>
    <w:rsid w:val="00CC63FD"/>
    <w:rsid w:val="00CC6419"/>
    <w:rsid w:val="00CC6423"/>
    <w:rsid w:val="00CC66D5"/>
    <w:rsid w:val="00CC6700"/>
    <w:rsid w:val="00CC673A"/>
    <w:rsid w:val="00CC6742"/>
    <w:rsid w:val="00CC677E"/>
    <w:rsid w:val="00CC678C"/>
    <w:rsid w:val="00CC6799"/>
    <w:rsid w:val="00CC6800"/>
    <w:rsid w:val="00CC690E"/>
    <w:rsid w:val="00CC694B"/>
    <w:rsid w:val="00CC6970"/>
    <w:rsid w:val="00CC6A6C"/>
    <w:rsid w:val="00CC6B28"/>
    <w:rsid w:val="00CC6B2C"/>
    <w:rsid w:val="00CC6B4A"/>
    <w:rsid w:val="00CC6BBE"/>
    <w:rsid w:val="00CC6CF5"/>
    <w:rsid w:val="00CC6D42"/>
    <w:rsid w:val="00CC6DA4"/>
    <w:rsid w:val="00CC6DA7"/>
    <w:rsid w:val="00CC6E3E"/>
    <w:rsid w:val="00CC7040"/>
    <w:rsid w:val="00CC706D"/>
    <w:rsid w:val="00CC7107"/>
    <w:rsid w:val="00CC71A0"/>
    <w:rsid w:val="00CC71C9"/>
    <w:rsid w:val="00CC7379"/>
    <w:rsid w:val="00CC73D0"/>
    <w:rsid w:val="00CC7461"/>
    <w:rsid w:val="00CC7473"/>
    <w:rsid w:val="00CC759D"/>
    <w:rsid w:val="00CC75E5"/>
    <w:rsid w:val="00CC75F0"/>
    <w:rsid w:val="00CC76D0"/>
    <w:rsid w:val="00CC76DF"/>
    <w:rsid w:val="00CC779B"/>
    <w:rsid w:val="00CC7977"/>
    <w:rsid w:val="00CC7B7D"/>
    <w:rsid w:val="00CC7BB0"/>
    <w:rsid w:val="00CC7C1F"/>
    <w:rsid w:val="00CC7C81"/>
    <w:rsid w:val="00CC7CB9"/>
    <w:rsid w:val="00CC7CD1"/>
    <w:rsid w:val="00CC7CD5"/>
    <w:rsid w:val="00CC7CE3"/>
    <w:rsid w:val="00CC7D31"/>
    <w:rsid w:val="00CC7D6E"/>
    <w:rsid w:val="00CC7D8E"/>
    <w:rsid w:val="00CC7D94"/>
    <w:rsid w:val="00CC7DDA"/>
    <w:rsid w:val="00CC7DED"/>
    <w:rsid w:val="00CC7F50"/>
    <w:rsid w:val="00CC7F57"/>
    <w:rsid w:val="00CC7F5A"/>
    <w:rsid w:val="00CD0050"/>
    <w:rsid w:val="00CD0053"/>
    <w:rsid w:val="00CD013E"/>
    <w:rsid w:val="00CD02C8"/>
    <w:rsid w:val="00CD0470"/>
    <w:rsid w:val="00CD0498"/>
    <w:rsid w:val="00CD04C3"/>
    <w:rsid w:val="00CD054D"/>
    <w:rsid w:val="00CD059C"/>
    <w:rsid w:val="00CD05C8"/>
    <w:rsid w:val="00CD06B8"/>
    <w:rsid w:val="00CD078E"/>
    <w:rsid w:val="00CD07F6"/>
    <w:rsid w:val="00CD08F0"/>
    <w:rsid w:val="00CD08FA"/>
    <w:rsid w:val="00CD0A96"/>
    <w:rsid w:val="00CD0AA6"/>
    <w:rsid w:val="00CD0C0C"/>
    <w:rsid w:val="00CD0C92"/>
    <w:rsid w:val="00CD0CA5"/>
    <w:rsid w:val="00CD0CC2"/>
    <w:rsid w:val="00CD0D37"/>
    <w:rsid w:val="00CD0D8A"/>
    <w:rsid w:val="00CD0E02"/>
    <w:rsid w:val="00CD0ECE"/>
    <w:rsid w:val="00CD0F37"/>
    <w:rsid w:val="00CD0F6E"/>
    <w:rsid w:val="00CD0F87"/>
    <w:rsid w:val="00CD0FB7"/>
    <w:rsid w:val="00CD0FE2"/>
    <w:rsid w:val="00CD0FE4"/>
    <w:rsid w:val="00CD10DC"/>
    <w:rsid w:val="00CD118B"/>
    <w:rsid w:val="00CD11F0"/>
    <w:rsid w:val="00CD12E0"/>
    <w:rsid w:val="00CD1337"/>
    <w:rsid w:val="00CD138B"/>
    <w:rsid w:val="00CD13B2"/>
    <w:rsid w:val="00CD1408"/>
    <w:rsid w:val="00CD1434"/>
    <w:rsid w:val="00CD14A5"/>
    <w:rsid w:val="00CD14FD"/>
    <w:rsid w:val="00CD153E"/>
    <w:rsid w:val="00CD165D"/>
    <w:rsid w:val="00CD1693"/>
    <w:rsid w:val="00CD16ED"/>
    <w:rsid w:val="00CD1726"/>
    <w:rsid w:val="00CD1872"/>
    <w:rsid w:val="00CD1898"/>
    <w:rsid w:val="00CD18B7"/>
    <w:rsid w:val="00CD1930"/>
    <w:rsid w:val="00CD19AD"/>
    <w:rsid w:val="00CD19D2"/>
    <w:rsid w:val="00CD1A50"/>
    <w:rsid w:val="00CD1AA5"/>
    <w:rsid w:val="00CD1AAE"/>
    <w:rsid w:val="00CD1BC9"/>
    <w:rsid w:val="00CD1C69"/>
    <w:rsid w:val="00CD1DE9"/>
    <w:rsid w:val="00CD1E17"/>
    <w:rsid w:val="00CD1E63"/>
    <w:rsid w:val="00CD1E78"/>
    <w:rsid w:val="00CD1EF2"/>
    <w:rsid w:val="00CD1FCE"/>
    <w:rsid w:val="00CD201F"/>
    <w:rsid w:val="00CD202F"/>
    <w:rsid w:val="00CD2085"/>
    <w:rsid w:val="00CD20F8"/>
    <w:rsid w:val="00CD20F9"/>
    <w:rsid w:val="00CD21C5"/>
    <w:rsid w:val="00CD2210"/>
    <w:rsid w:val="00CD2284"/>
    <w:rsid w:val="00CD234C"/>
    <w:rsid w:val="00CD234E"/>
    <w:rsid w:val="00CD2375"/>
    <w:rsid w:val="00CD23F6"/>
    <w:rsid w:val="00CD2420"/>
    <w:rsid w:val="00CD2552"/>
    <w:rsid w:val="00CD269D"/>
    <w:rsid w:val="00CD26B0"/>
    <w:rsid w:val="00CD26B3"/>
    <w:rsid w:val="00CD26BF"/>
    <w:rsid w:val="00CD271D"/>
    <w:rsid w:val="00CD29AB"/>
    <w:rsid w:val="00CD29C1"/>
    <w:rsid w:val="00CD29FA"/>
    <w:rsid w:val="00CD2A27"/>
    <w:rsid w:val="00CD2A77"/>
    <w:rsid w:val="00CD2BB4"/>
    <w:rsid w:val="00CD2C25"/>
    <w:rsid w:val="00CD2C56"/>
    <w:rsid w:val="00CD2CC5"/>
    <w:rsid w:val="00CD2CC9"/>
    <w:rsid w:val="00CD2D0E"/>
    <w:rsid w:val="00CD2D6D"/>
    <w:rsid w:val="00CD2D96"/>
    <w:rsid w:val="00CD2DB6"/>
    <w:rsid w:val="00CD2E0D"/>
    <w:rsid w:val="00CD2E7D"/>
    <w:rsid w:val="00CD2EBA"/>
    <w:rsid w:val="00CD2F20"/>
    <w:rsid w:val="00CD2F57"/>
    <w:rsid w:val="00CD2FBD"/>
    <w:rsid w:val="00CD3016"/>
    <w:rsid w:val="00CD306E"/>
    <w:rsid w:val="00CD312D"/>
    <w:rsid w:val="00CD3138"/>
    <w:rsid w:val="00CD318F"/>
    <w:rsid w:val="00CD31F0"/>
    <w:rsid w:val="00CD3263"/>
    <w:rsid w:val="00CD3310"/>
    <w:rsid w:val="00CD33AD"/>
    <w:rsid w:val="00CD33CE"/>
    <w:rsid w:val="00CD349C"/>
    <w:rsid w:val="00CD34AC"/>
    <w:rsid w:val="00CD354E"/>
    <w:rsid w:val="00CD37EB"/>
    <w:rsid w:val="00CD38EA"/>
    <w:rsid w:val="00CD3A0A"/>
    <w:rsid w:val="00CD3A3B"/>
    <w:rsid w:val="00CD3AD3"/>
    <w:rsid w:val="00CD3AE1"/>
    <w:rsid w:val="00CD3B4E"/>
    <w:rsid w:val="00CD3CE1"/>
    <w:rsid w:val="00CD3D08"/>
    <w:rsid w:val="00CD3D33"/>
    <w:rsid w:val="00CD3D9E"/>
    <w:rsid w:val="00CD3EBA"/>
    <w:rsid w:val="00CD3EF0"/>
    <w:rsid w:val="00CD3EF8"/>
    <w:rsid w:val="00CD3F59"/>
    <w:rsid w:val="00CD3F7E"/>
    <w:rsid w:val="00CD3FEE"/>
    <w:rsid w:val="00CD402C"/>
    <w:rsid w:val="00CD4071"/>
    <w:rsid w:val="00CD4088"/>
    <w:rsid w:val="00CD40C7"/>
    <w:rsid w:val="00CD40CC"/>
    <w:rsid w:val="00CD4119"/>
    <w:rsid w:val="00CD4226"/>
    <w:rsid w:val="00CD436D"/>
    <w:rsid w:val="00CD437F"/>
    <w:rsid w:val="00CD43E0"/>
    <w:rsid w:val="00CD43F5"/>
    <w:rsid w:val="00CD4504"/>
    <w:rsid w:val="00CD4558"/>
    <w:rsid w:val="00CD45D9"/>
    <w:rsid w:val="00CD4650"/>
    <w:rsid w:val="00CD48BA"/>
    <w:rsid w:val="00CD4A23"/>
    <w:rsid w:val="00CD4A99"/>
    <w:rsid w:val="00CD4B51"/>
    <w:rsid w:val="00CD4B57"/>
    <w:rsid w:val="00CD4B66"/>
    <w:rsid w:val="00CD4B7A"/>
    <w:rsid w:val="00CD4BCE"/>
    <w:rsid w:val="00CD4BE7"/>
    <w:rsid w:val="00CD4C62"/>
    <w:rsid w:val="00CD4CA3"/>
    <w:rsid w:val="00CD4CB1"/>
    <w:rsid w:val="00CD4CB6"/>
    <w:rsid w:val="00CD4D0A"/>
    <w:rsid w:val="00CD4F72"/>
    <w:rsid w:val="00CD50D5"/>
    <w:rsid w:val="00CD522F"/>
    <w:rsid w:val="00CD536B"/>
    <w:rsid w:val="00CD539F"/>
    <w:rsid w:val="00CD53CF"/>
    <w:rsid w:val="00CD5504"/>
    <w:rsid w:val="00CD5520"/>
    <w:rsid w:val="00CD563F"/>
    <w:rsid w:val="00CD56F2"/>
    <w:rsid w:val="00CD57BC"/>
    <w:rsid w:val="00CD594A"/>
    <w:rsid w:val="00CD5A9F"/>
    <w:rsid w:val="00CD5AA4"/>
    <w:rsid w:val="00CD5AA7"/>
    <w:rsid w:val="00CD5AB0"/>
    <w:rsid w:val="00CD5BB7"/>
    <w:rsid w:val="00CD5BBC"/>
    <w:rsid w:val="00CD5C0A"/>
    <w:rsid w:val="00CD5CB8"/>
    <w:rsid w:val="00CD5E4E"/>
    <w:rsid w:val="00CD5ED8"/>
    <w:rsid w:val="00CD5F1C"/>
    <w:rsid w:val="00CD5FB8"/>
    <w:rsid w:val="00CD5FD8"/>
    <w:rsid w:val="00CD5FDE"/>
    <w:rsid w:val="00CD611F"/>
    <w:rsid w:val="00CD6178"/>
    <w:rsid w:val="00CD61CD"/>
    <w:rsid w:val="00CD6228"/>
    <w:rsid w:val="00CD62D3"/>
    <w:rsid w:val="00CD62D4"/>
    <w:rsid w:val="00CD633D"/>
    <w:rsid w:val="00CD640E"/>
    <w:rsid w:val="00CD6425"/>
    <w:rsid w:val="00CD644F"/>
    <w:rsid w:val="00CD6452"/>
    <w:rsid w:val="00CD6481"/>
    <w:rsid w:val="00CD6485"/>
    <w:rsid w:val="00CD64E3"/>
    <w:rsid w:val="00CD6567"/>
    <w:rsid w:val="00CD658D"/>
    <w:rsid w:val="00CD65EB"/>
    <w:rsid w:val="00CD66BA"/>
    <w:rsid w:val="00CD66C1"/>
    <w:rsid w:val="00CD67E4"/>
    <w:rsid w:val="00CD6818"/>
    <w:rsid w:val="00CD6861"/>
    <w:rsid w:val="00CD6992"/>
    <w:rsid w:val="00CD69EB"/>
    <w:rsid w:val="00CD6A54"/>
    <w:rsid w:val="00CD6AB7"/>
    <w:rsid w:val="00CD6AC4"/>
    <w:rsid w:val="00CD6AEB"/>
    <w:rsid w:val="00CD6D79"/>
    <w:rsid w:val="00CD6D7E"/>
    <w:rsid w:val="00CD6DA1"/>
    <w:rsid w:val="00CD6E96"/>
    <w:rsid w:val="00CD6F3F"/>
    <w:rsid w:val="00CD6FD3"/>
    <w:rsid w:val="00CD7032"/>
    <w:rsid w:val="00CD713D"/>
    <w:rsid w:val="00CD72B1"/>
    <w:rsid w:val="00CD730C"/>
    <w:rsid w:val="00CD730E"/>
    <w:rsid w:val="00CD7325"/>
    <w:rsid w:val="00CD737F"/>
    <w:rsid w:val="00CD738E"/>
    <w:rsid w:val="00CD73CC"/>
    <w:rsid w:val="00CD7467"/>
    <w:rsid w:val="00CD747D"/>
    <w:rsid w:val="00CD7524"/>
    <w:rsid w:val="00CD75B5"/>
    <w:rsid w:val="00CD75F9"/>
    <w:rsid w:val="00CD767F"/>
    <w:rsid w:val="00CD76D5"/>
    <w:rsid w:val="00CD76E2"/>
    <w:rsid w:val="00CD76FF"/>
    <w:rsid w:val="00CD770E"/>
    <w:rsid w:val="00CD77AD"/>
    <w:rsid w:val="00CD781C"/>
    <w:rsid w:val="00CD7835"/>
    <w:rsid w:val="00CD7855"/>
    <w:rsid w:val="00CD788C"/>
    <w:rsid w:val="00CD78E5"/>
    <w:rsid w:val="00CD7984"/>
    <w:rsid w:val="00CD79D4"/>
    <w:rsid w:val="00CD79F9"/>
    <w:rsid w:val="00CD7B17"/>
    <w:rsid w:val="00CD7B1F"/>
    <w:rsid w:val="00CD7BE1"/>
    <w:rsid w:val="00CD7CA6"/>
    <w:rsid w:val="00CD7CAE"/>
    <w:rsid w:val="00CD7D63"/>
    <w:rsid w:val="00CD7D7D"/>
    <w:rsid w:val="00CD7DF9"/>
    <w:rsid w:val="00CD7ECB"/>
    <w:rsid w:val="00CD7F63"/>
    <w:rsid w:val="00CD7FA9"/>
    <w:rsid w:val="00CD7FFD"/>
    <w:rsid w:val="00CE00E3"/>
    <w:rsid w:val="00CE0137"/>
    <w:rsid w:val="00CE0146"/>
    <w:rsid w:val="00CE0188"/>
    <w:rsid w:val="00CE01A2"/>
    <w:rsid w:val="00CE01AE"/>
    <w:rsid w:val="00CE0224"/>
    <w:rsid w:val="00CE024F"/>
    <w:rsid w:val="00CE0377"/>
    <w:rsid w:val="00CE0459"/>
    <w:rsid w:val="00CE045C"/>
    <w:rsid w:val="00CE04F4"/>
    <w:rsid w:val="00CE04F8"/>
    <w:rsid w:val="00CE0607"/>
    <w:rsid w:val="00CE06BE"/>
    <w:rsid w:val="00CE073D"/>
    <w:rsid w:val="00CE077D"/>
    <w:rsid w:val="00CE07BB"/>
    <w:rsid w:val="00CE07E7"/>
    <w:rsid w:val="00CE0852"/>
    <w:rsid w:val="00CE0A54"/>
    <w:rsid w:val="00CE0A63"/>
    <w:rsid w:val="00CE0AC0"/>
    <w:rsid w:val="00CE0D0B"/>
    <w:rsid w:val="00CE0D27"/>
    <w:rsid w:val="00CE0D41"/>
    <w:rsid w:val="00CE0E05"/>
    <w:rsid w:val="00CE10C1"/>
    <w:rsid w:val="00CE10D9"/>
    <w:rsid w:val="00CE111F"/>
    <w:rsid w:val="00CE1206"/>
    <w:rsid w:val="00CE1439"/>
    <w:rsid w:val="00CE14C1"/>
    <w:rsid w:val="00CE154A"/>
    <w:rsid w:val="00CE1563"/>
    <w:rsid w:val="00CE156C"/>
    <w:rsid w:val="00CE15C2"/>
    <w:rsid w:val="00CE15D8"/>
    <w:rsid w:val="00CE16AB"/>
    <w:rsid w:val="00CE16C0"/>
    <w:rsid w:val="00CE173E"/>
    <w:rsid w:val="00CE183F"/>
    <w:rsid w:val="00CE1871"/>
    <w:rsid w:val="00CE1922"/>
    <w:rsid w:val="00CE196E"/>
    <w:rsid w:val="00CE19D5"/>
    <w:rsid w:val="00CE1A03"/>
    <w:rsid w:val="00CE1B4F"/>
    <w:rsid w:val="00CE1B56"/>
    <w:rsid w:val="00CE1DE6"/>
    <w:rsid w:val="00CE1E85"/>
    <w:rsid w:val="00CE1ECC"/>
    <w:rsid w:val="00CE1F96"/>
    <w:rsid w:val="00CE1FA8"/>
    <w:rsid w:val="00CE1FC6"/>
    <w:rsid w:val="00CE2034"/>
    <w:rsid w:val="00CE20CA"/>
    <w:rsid w:val="00CE20DD"/>
    <w:rsid w:val="00CE20EF"/>
    <w:rsid w:val="00CE2109"/>
    <w:rsid w:val="00CE216F"/>
    <w:rsid w:val="00CE21E1"/>
    <w:rsid w:val="00CE221D"/>
    <w:rsid w:val="00CE23EC"/>
    <w:rsid w:val="00CE2454"/>
    <w:rsid w:val="00CE24A1"/>
    <w:rsid w:val="00CE250F"/>
    <w:rsid w:val="00CE25BA"/>
    <w:rsid w:val="00CE263E"/>
    <w:rsid w:val="00CE2660"/>
    <w:rsid w:val="00CE26E5"/>
    <w:rsid w:val="00CE2715"/>
    <w:rsid w:val="00CE279C"/>
    <w:rsid w:val="00CE2899"/>
    <w:rsid w:val="00CE28B3"/>
    <w:rsid w:val="00CE28BF"/>
    <w:rsid w:val="00CE2941"/>
    <w:rsid w:val="00CE2961"/>
    <w:rsid w:val="00CE2A40"/>
    <w:rsid w:val="00CE2A5A"/>
    <w:rsid w:val="00CE2B53"/>
    <w:rsid w:val="00CE2B5A"/>
    <w:rsid w:val="00CE2B68"/>
    <w:rsid w:val="00CE2B98"/>
    <w:rsid w:val="00CE2BA4"/>
    <w:rsid w:val="00CE2C85"/>
    <w:rsid w:val="00CE2D59"/>
    <w:rsid w:val="00CE2DBA"/>
    <w:rsid w:val="00CE2DC3"/>
    <w:rsid w:val="00CE2EA6"/>
    <w:rsid w:val="00CE2F05"/>
    <w:rsid w:val="00CE2F5A"/>
    <w:rsid w:val="00CE3183"/>
    <w:rsid w:val="00CE3220"/>
    <w:rsid w:val="00CE322C"/>
    <w:rsid w:val="00CE325A"/>
    <w:rsid w:val="00CE328F"/>
    <w:rsid w:val="00CE32DB"/>
    <w:rsid w:val="00CE3402"/>
    <w:rsid w:val="00CE349A"/>
    <w:rsid w:val="00CE3546"/>
    <w:rsid w:val="00CE3550"/>
    <w:rsid w:val="00CE356A"/>
    <w:rsid w:val="00CE35DC"/>
    <w:rsid w:val="00CE3611"/>
    <w:rsid w:val="00CE367B"/>
    <w:rsid w:val="00CE36EC"/>
    <w:rsid w:val="00CE3734"/>
    <w:rsid w:val="00CE379C"/>
    <w:rsid w:val="00CE37D7"/>
    <w:rsid w:val="00CE3A81"/>
    <w:rsid w:val="00CE3B0D"/>
    <w:rsid w:val="00CE3B88"/>
    <w:rsid w:val="00CE3BF9"/>
    <w:rsid w:val="00CE3CBE"/>
    <w:rsid w:val="00CE3E04"/>
    <w:rsid w:val="00CE3EC4"/>
    <w:rsid w:val="00CE4029"/>
    <w:rsid w:val="00CE4118"/>
    <w:rsid w:val="00CE4133"/>
    <w:rsid w:val="00CE430E"/>
    <w:rsid w:val="00CE432A"/>
    <w:rsid w:val="00CE4355"/>
    <w:rsid w:val="00CE43B6"/>
    <w:rsid w:val="00CE43FE"/>
    <w:rsid w:val="00CE44A8"/>
    <w:rsid w:val="00CE450A"/>
    <w:rsid w:val="00CE45DE"/>
    <w:rsid w:val="00CE45E2"/>
    <w:rsid w:val="00CE4614"/>
    <w:rsid w:val="00CE4641"/>
    <w:rsid w:val="00CE46B2"/>
    <w:rsid w:val="00CE480F"/>
    <w:rsid w:val="00CE48C3"/>
    <w:rsid w:val="00CE494E"/>
    <w:rsid w:val="00CE4955"/>
    <w:rsid w:val="00CE4A04"/>
    <w:rsid w:val="00CE4A1D"/>
    <w:rsid w:val="00CE4A35"/>
    <w:rsid w:val="00CE4A66"/>
    <w:rsid w:val="00CE4ACD"/>
    <w:rsid w:val="00CE4BFA"/>
    <w:rsid w:val="00CE4CD7"/>
    <w:rsid w:val="00CE4D78"/>
    <w:rsid w:val="00CE4DF4"/>
    <w:rsid w:val="00CE4E15"/>
    <w:rsid w:val="00CE4E34"/>
    <w:rsid w:val="00CE4F0A"/>
    <w:rsid w:val="00CE4FFC"/>
    <w:rsid w:val="00CE50A7"/>
    <w:rsid w:val="00CE50D0"/>
    <w:rsid w:val="00CE50F3"/>
    <w:rsid w:val="00CE515A"/>
    <w:rsid w:val="00CE5186"/>
    <w:rsid w:val="00CE518E"/>
    <w:rsid w:val="00CE51B9"/>
    <w:rsid w:val="00CE5327"/>
    <w:rsid w:val="00CE541D"/>
    <w:rsid w:val="00CE54A6"/>
    <w:rsid w:val="00CE553E"/>
    <w:rsid w:val="00CE559D"/>
    <w:rsid w:val="00CE568F"/>
    <w:rsid w:val="00CE5744"/>
    <w:rsid w:val="00CE577C"/>
    <w:rsid w:val="00CE577F"/>
    <w:rsid w:val="00CE58B5"/>
    <w:rsid w:val="00CE591F"/>
    <w:rsid w:val="00CE5A10"/>
    <w:rsid w:val="00CE5A5D"/>
    <w:rsid w:val="00CE5AB4"/>
    <w:rsid w:val="00CE5B65"/>
    <w:rsid w:val="00CE5BA4"/>
    <w:rsid w:val="00CE5E14"/>
    <w:rsid w:val="00CE5EB2"/>
    <w:rsid w:val="00CE5EFD"/>
    <w:rsid w:val="00CE5F74"/>
    <w:rsid w:val="00CE5F84"/>
    <w:rsid w:val="00CE5FA6"/>
    <w:rsid w:val="00CE6121"/>
    <w:rsid w:val="00CE62C1"/>
    <w:rsid w:val="00CE62D0"/>
    <w:rsid w:val="00CE63B7"/>
    <w:rsid w:val="00CE63C3"/>
    <w:rsid w:val="00CE642D"/>
    <w:rsid w:val="00CE644B"/>
    <w:rsid w:val="00CE6469"/>
    <w:rsid w:val="00CE6527"/>
    <w:rsid w:val="00CE6554"/>
    <w:rsid w:val="00CE6625"/>
    <w:rsid w:val="00CE665F"/>
    <w:rsid w:val="00CE6704"/>
    <w:rsid w:val="00CE67F4"/>
    <w:rsid w:val="00CE6ACA"/>
    <w:rsid w:val="00CE6AE4"/>
    <w:rsid w:val="00CE6B05"/>
    <w:rsid w:val="00CE6B61"/>
    <w:rsid w:val="00CE6BA3"/>
    <w:rsid w:val="00CE6DFA"/>
    <w:rsid w:val="00CE6E94"/>
    <w:rsid w:val="00CE6F65"/>
    <w:rsid w:val="00CE7049"/>
    <w:rsid w:val="00CE711C"/>
    <w:rsid w:val="00CE7504"/>
    <w:rsid w:val="00CE7526"/>
    <w:rsid w:val="00CE753F"/>
    <w:rsid w:val="00CE758B"/>
    <w:rsid w:val="00CE76C5"/>
    <w:rsid w:val="00CE76D6"/>
    <w:rsid w:val="00CE776F"/>
    <w:rsid w:val="00CE7826"/>
    <w:rsid w:val="00CE783E"/>
    <w:rsid w:val="00CE7A25"/>
    <w:rsid w:val="00CE7A76"/>
    <w:rsid w:val="00CE7B0F"/>
    <w:rsid w:val="00CE7BF8"/>
    <w:rsid w:val="00CE7C90"/>
    <w:rsid w:val="00CE7D21"/>
    <w:rsid w:val="00CE7D4A"/>
    <w:rsid w:val="00CE7D86"/>
    <w:rsid w:val="00CE7D95"/>
    <w:rsid w:val="00CE7E45"/>
    <w:rsid w:val="00CE7E57"/>
    <w:rsid w:val="00CF0038"/>
    <w:rsid w:val="00CF0077"/>
    <w:rsid w:val="00CF00B7"/>
    <w:rsid w:val="00CF00F7"/>
    <w:rsid w:val="00CF017E"/>
    <w:rsid w:val="00CF02EC"/>
    <w:rsid w:val="00CF0326"/>
    <w:rsid w:val="00CF0637"/>
    <w:rsid w:val="00CF069F"/>
    <w:rsid w:val="00CF06EE"/>
    <w:rsid w:val="00CF0741"/>
    <w:rsid w:val="00CF0796"/>
    <w:rsid w:val="00CF07B1"/>
    <w:rsid w:val="00CF07B2"/>
    <w:rsid w:val="00CF07B5"/>
    <w:rsid w:val="00CF08C5"/>
    <w:rsid w:val="00CF0929"/>
    <w:rsid w:val="00CF0A1D"/>
    <w:rsid w:val="00CF0A2C"/>
    <w:rsid w:val="00CF0A53"/>
    <w:rsid w:val="00CF0A63"/>
    <w:rsid w:val="00CF0A94"/>
    <w:rsid w:val="00CF0B39"/>
    <w:rsid w:val="00CF0BB5"/>
    <w:rsid w:val="00CF0C33"/>
    <w:rsid w:val="00CF0CBB"/>
    <w:rsid w:val="00CF0D7E"/>
    <w:rsid w:val="00CF0DD2"/>
    <w:rsid w:val="00CF0E1B"/>
    <w:rsid w:val="00CF0E28"/>
    <w:rsid w:val="00CF0EFA"/>
    <w:rsid w:val="00CF0F76"/>
    <w:rsid w:val="00CF0F89"/>
    <w:rsid w:val="00CF1013"/>
    <w:rsid w:val="00CF1015"/>
    <w:rsid w:val="00CF101A"/>
    <w:rsid w:val="00CF1135"/>
    <w:rsid w:val="00CF1180"/>
    <w:rsid w:val="00CF11CD"/>
    <w:rsid w:val="00CF11F4"/>
    <w:rsid w:val="00CF121C"/>
    <w:rsid w:val="00CF12CC"/>
    <w:rsid w:val="00CF1316"/>
    <w:rsid w:val="00CF1345"/>
    <w:rsid w:val="00CF13A5"/>
    <w:rsid w:val="00CF142C"/>
    <w:rsid w:val="00CF145B"/>
    <w:rsid w:val="00CF14D9"/>
    <w:rsid w:val="00CF14DD"/>
    <w:rsid w:val="00CF152C"/>
    <w:rsid w:val="00CF15A4"/>
    <w:rsid w:val="00CF1601"/>
    <w:rsid w:val="00CF162B"/>
    <w:rsid w:val="00CF1728"/>
    <w:rsid w:val="00CF1757"/>
    <w:rsid w:val="00CF176F"/>
    <w:rsid w:val="00CF17A5"/>
    <w:rsid w:val="00CF1825"/>
    <w:rsid w:val="00CF1890"/>
    <w:rsid w:val="00CF1918"/>
    <w:rsid w:val="00CF1923"/>
    <w:rsid w:val="00CF1987"/>
    <w:rsid w:val="00CF1A94"/>
    <w:rsid w:val="00CF1AB0"/>
    <w:rsid w:val="00CF1BBC"/>
    <w:rsid w:val="00CF1C21"/>
    <w:rsid w:val="00CF1C33"/>
    <w:rsid w:val="00CF1C41"/>
    <w:rsid w:val="00CF1C80"/>
    <w:rsid w:val="00CF1CCA"/>
    <w:rsid w:val="00CF1D2F"/>
    <w:rsid w:val="00CF1E69"/>
    <w:rsid w:val="00CF1EDC"/>
    <w:rsid w:val="00CF1F29"/>
    <w:rsid w:val="00CF1F33"/>
    <w:rsid w:val="00CF2079"/>
    <w:rsid w:val="00CF208E"/>
    <w:rsid w:val="00CF20B2"/>
    <w:rsid w:val="00CF2252"/>
    <w:rsid w:val="00CF23C8"/>
    <w:rsid w:val="00CF251C"/>
    <w:rsid w:val="00CF252D"/>
    <w:rsid w:val="00CF253A"/>
    <w:rsid w:val="00CF257A"/>
    <w:rsid w:val="00CF2588"/>
    <w:rsid w:val="00CF2640"/>
    <w:rsid w:val="00CF273A"/>
    <w:rsid w:val="00CF2761"/>
    <w:rsid w:val="00CF278A"/>
    <w:rsid w:val="00CF283B"/>
    <w:rsid w:val="00CF2896"/>
    <w:rsid w:val="00CF28EF"/>
    <w:rsid w:val="00CF294F"/>
    <w:rsid w:val="00CF2A39"/>
    <w:rsid w:val="00CF2A3A"/>
    <w:rsid w:val="00CF2A7C"/>
    <w:rsid w:val="00CF2A98"/>
    <w:rsid w:val="00CF2AC8"/>
    <w:rsid w:val="00CF2B08"/>
    <w:rsid w:val="00CF2B9F"/>
    <w:rsid w:val="00CF2BB2"/>
    <w:rsid w:val="00CF2C5E"/>
    <w:rsid w:val="00CF2C6F"/>
    <w:rsid w:val="00CF2C84"/>
    <w:rsid w:val="00CF2CAD"/>
    <w:rsid w:val="00CF2D31"/>
    <w:rsid w:val="00CF2E51"/>
    <w:rsid w:val="00CF2EA6"/>
    <w:rsid w:val="00CF2F16"/>
    <w:rsid w:val="00CF2F24"/>
    <w:rsid w:val="00CF2F69"/>
    <w:rsid w:val="00CF307B"/>
    <w:rsid w:val="00CF30BD"/>
    <w:rsid w:val="00CF31AB"/>
    <w:rsid w:val="00CF322C"/>
    <w:rsid w:val="00CF3269"/>
    <w:rsid w:val="00CF3349"/>
    <w:rsid w:val="00CF33AF"/>
    <w:rsid w:val="00CF346D"/>
    <w:rsid w:val="00CF34E2"/>
    <w:rsid w:val="00CF35CC"/>
    <w:rsid w:val="00CF367D"/>
    <w:rsid w:val="00CF367E"/>
    <w:rsid w:val="00CF3748"/>
    <w:rsid w:val="00CF374D"/>
    <w:rsid w:val="00CF37EF"/>
    <w:rsid w:val="00CF38C7"/>
    <w:rsid w:val="00CF3985"/>
    <w:rsid w:val="00CF3A46"/>
    <w:rsid w:val="00CF3DDF"/>
    <w:rsid w:val="00CF3E39"/>
    <w:rsid w:val="00CF3E9D"/>
    <w:rsid w:val="00CF3EA8"/>
    <w:rsid w:val="00CF3ED9"/>
    <w:rsid w:val="00CF3F8B"/>
    <w:rsid w:val="00CF4029"/>
    <w:rsid w:val="00CF42D1"/>
    <w:rsid w:val="00CF43B6"/>
    <w:rsid w:val="00CF43F9"/>
    <w:rsid w:val="00CF43FE"/>
    <w:rsid w:val="00CF4426"/>
    <w:rsid w:val="00CF44C2"/>
    <w:rsid w:val="00CF44C4"/>
    <w:rsid w:val="00CF4573"/>
    <w:rsid w:val="00CF45C0"/>
    <w:rsid w:val="00CF4940"/>
    <w:rsid w:val="00CF4A78"/>
    <w:rsid w:val="00CF4A8D"/>
    <w:rsid w:val="00CF4A9A"/>
    <w:rsid w:val="00CF4B79"/>
    <w:rsid w:val="00CF4BA9"/>
    <w:rsid w:val="00CF4C20"/>
    <w:rsid w:val="00CF4D26"/>
    <w:rsid w:val="00CF4D8C"/>
    <w:rsid w:val="00CF4DE1"/>
    <w:rsid w:val="00CF4EF3"/>
    <w:rsid w:val="00CF4F3E"/>
    <w:rsid w:val="00CF5027"/>
    <w:rsid w:val="00CF5047"/>
    <w:rsid w:val="00CF5092"/>
    <w:rsid w:val="00CF511D"/>
    <w:rsid w:val="00CF5341"/>
    <w:rsid w:val="00CF534A"/>
    <w:rsid w:val="00CF540B"/>
    <w:rsid w:val="00CF5446"/>
    <w:rsid w:val="00CF54AE"/>
    <w:rsid w:val="00CF54F6"/>
    <w:rsid w:val="00CF553E"/>
    <w:rsid w:val="00CF554F"/>
    <w:rsid w:val="00CF5646"/>
    <w:rsid w:val="00CF5653"/>
    <w:rsid w:val="00CF5789"/>
    <w:rsid w:val="00CF5803"/>
    <w:rsid w:val="00CF585A"/>
    <w:rsid w:val="00CF58AA"/>
    <w:rsid w:val="00CF58CE"/>
    <w:rsid w:val="00CF5994"/>
    <w:rsid w:val="00CF5A33"/>
    <w:rsid w:val="00CF5A53"/>
    <w:rsid w:val="00CF5ABC"/>
    <w:rsid w:val="00CF5B0A"/>
    <w:rsid w:val="00CF5CA5"/>
    <w:rsid w:val="00CF5D41"/>
    <w:rsid w:val="00CF5E82"/>
    <w:rsid w:val="00CF5F1D"/>
    <w:rsid w:val="00CF5FF2"/>
    <w:rsid w:val="00CF60A3"/>
    <w:rsid w:val="00CF60F3"/>
    <w:rsid w:val="00CF6212"/>
    <w:rsid w:val="00CF622E"/>
    <w:rsid w:val="00CF6242"/>
    <w:rsid w:val="00CF6253"/>
    <w:rsid w:val="00CF6273"/>
    <w:rsid w:val="00CF62BE"/>
    <w:rsid w:val="00CF6422"/>
    <w:rsid w:val="00CF646C"/>
    <w:rsid w:val="00CF653C"/>
    <w:rsid w:val="00CF66E5"/>
    <w:rsid w:val="00CF66E6"/>
    <w:rsid w:val="00CF675E"/>
    <w:rsid w:val="00CF6777"/>
    <w:rsid w:val="00CF67CE"/>
    <w:rsid w:val="00CF684F"/>
    <w:rsid w:val="00CF68AB"/>
    <w:rsid w:val="00CF68F7"/>
    <w:rsid w:val="00CF6910"/>
    <w:rsid w:val="00CF6946"/>
    <w:rsid w:val="00CF69AF"/>
    <w:rsid w:val="00CF69EB"/>
    <w:rsid w:val="00CF6B42"/>
    <w:rsid w:val="00CF6B7E"/>
    <w:rsid w:val="00CF6BBC"/>
    <w:rsid w:val="00CF6BCC"/>
    <w:rsid w:val="00CF6C70"/>
    <w:rsid w:val="00CF6CA1"/>
    <w:rsid w:val="00CF6CC9"/>
    <w:rsid w:val="00CF6D1A"/>
    <w:rsid w:val="00CF6DE2"/>
    <w:rsid w:val="00CF6E1C"/>
    <w:rsid w:val="00CF6E5F"/>
    <w:rsid w:val="00CF6E94"/>
    <w:rsid w:val="00CF6EAB"/>
    <w:rsid w:val="00CF6EB7"/>
    <w:rsid w:val="00CF716B"/>
    <w:rsid w:val="00CF717B"/>
    <w:rsid w:val="00CF726F"/>
    <w:rsid w:val="00CF7291"/>
    <w:rsid w:val="00CF72A5"/>
    <w:rsid w:val="00CF72FF"/>
    <w:rsid w:val="00CF74CD"/>
    <w:rsid w:val="00CF74EC"/>
    <w:rsid w:val="00CF74FD"/>
    <w:rsid w:val="00CF76CF"/>
    <w:rsid w:val="00CF772A"/>
    <w:rsid w:val="00CF7751"/>
    <w:rsid w:val="00CF77D1"/>
    <w:rsid w:val="00CF77D3"/>
    <w:rsid w:val="00CF78B5"/>
    <w:rsid w:val="00CF7990"/>
    <w:rsid w:val="00CF7A6A"/>
    <w:rsid w:val="00CF7BBF"/>
    <w:rsid w:val="00CF7C5E"/>
    <w:rsid w:val="00CF7C69"/>
    <w:rsid w:val="00CF7D90"/>
    <w:rsid w:val="00CF7DD9"/>
    <w:rsid w:val="00CF7E6A"/>
    <w:rsid w:val="00CF7EE2"/>
    <w:rsid w:val="00CF7F52"/>
    <w:rsid w:val="00CF7FDB"/>
    <w:rsid w:val="00D000C1"/>
    <w:rsid w:val="00D00111"/>
    <w:rsid w:val="00D00112"/>
    <w:rsid w:val="00D001F5"/>
    <w:rsid w:val="00D002CD"/>
    <w:rsid w:val="00D002FC"/>
    <w:rsid w:val="00D003C5"/>
    <w:rsid w:val="00D00575"/>
    <w:rsid w:val="00D005B0"/>
    <w:rsid w:val="00D007AC"/>
    <w:rsid w:val="00D007DC"/>
    <w:rsid w:val="00D00930"/>
    <w:rsid w:val="00D0098B"/>
    <w:rsid w:val="00D00A43"/>
    <w:rsid w:val="00D00A61"/>
    <w:rsid w:val="00D00AD0"/>
    <w:rsid w:val="00D00B3E"/>
    <w:rsid w:val="00D00B42"/>
    <w:rsid w:val="00D00B78"/>
    <w:rsid w:val="00D00C58"/>
    <w:rsid w:val="00D00D61"/>
    <w:rsid w:val="00D00E23"/>
    <w:rsid w:val="00D00E7C"/>
    <w:rsid w:val="00D00F9D"/>
    <w:rsid w:val="00D00FE7"/>
    <w:rsid w:val="00D0100B"/>
    <w:rsid w:val="00D01056"/>
    <w:rsid w:val="00D0107B"/>
    <w:rsid w:val="00D01165"/>
    <w:rsid w:val="00D01193"/>
    <w:rsid w:val="00D0126F"/>
    <w:rsid w:val="00D012B5"/>
    <w:rsid w:val="00D01356"/>
    <w:rsid w:val="00D014F3"/>
    <w:rsid w:val="00D01520"/>
    <w:rsid w:val="00D015D9"/>
    <w:rsid w:val="00D0161D"/>
    <w:rsid w:val="00D016BA"/>
    <w:rsid w:val="00D0189B"/>
    <w:rsid w:val="00D018D6"/>
    <w:rsid w:val="00D01912"/>
    <w:rsid w:val="00D01995"/>
    <w:rsid w:val="00D01A62"/>
    <w:rsid w:val="00D01A66"/>
    <w:rsid w:val="00D01A91"/>
    <w:rsid w:val="00D01C0A"/>
    <w:rsid w:val="00D01CFC"/>
    <w:rsid w:val="00D01D32"/>
    <w:rsid w:val="00D01DC0"/>
    <w:rsid w:val="00D01DE3"/>
    <w:rsid w:val="00D01E19"/>
    <w:rsid w:val="00D01E76"/>
    <w:rsid w:val="00D01EE1"/>
    <w:rsid w:val="00D01EEC"/>
    <w:rsid w:val="00D01F24"/>
    <w:rsid w:val="00D01F4B"/>
    <w:rsid w:val="00D01F84"/>
    <w:rsid w:val="00D02049"/>
    <w:rsid w:val="00D02068"/>
    <w:rsid w:val="00D0207A"/>
    <w:rsid w:val="00D020EA"/>
    <w:rsid w:val="00D021E5"/>
    <w:rsid w:val="00D022A2"/>
    <w:rsid w:val="00D022C2"/>
    <w:rsid w:val="00D022D6"/>
    <w:rsid w:val="00D02338"/>
    <w:rsid w:val="00D02449"/>
    <w:rsid w:val="00D02539"/>
    <w:rsid w:val="00D0257C"/>
    <w:rsid w:val="00D025C9"/>
    <w:rsid w:val="00D0260C"/>
    <w:rsid w:val="00D02683"/>
    <w:rsid w:val="00D02691"/>
    <w:rsid w:val="00D027C2"/>
    <w:rsid w:val="00D02905"/>
    <w:rsid w:val="00D0294C"/>
    <w:rsid w:val="00D029B0"/>
    <w:rsid w:val="00D029B5"/>
    <w:rsid w:val="00D02AE4"/>
    <w:rsid w:val="00D02CA8"/>
    <w:rsid w:val="00D02CC2"/>
    <w:rsid w:val="00D02CE9"/>
    <w:rsid w:val="00D02D4E"/>
    <w:rsid w:val="00D02DE3"/>
    <w:rsid w:val="00D02E0B"/>
    <w:rsid w:val="00D02F27"/>
    <w:rsid w:val="00D02F85"/>
    <w:rsid w:val="00D02FDF"/>
    <w:rsid w:val="00D030C3"/>
    <w:rsid w:val="00D030FD"/>
    <w:rsid w:val="00D03107"/>
    <w:rsid w:val="00D031BF"/>
    <w:rsid w:val="00D0326A"/>
    <w:rsid w:val="00D032C0"/>
    <w:rsid w:val="00D03300"/>
    <w:rsid w:val="00D03388"/>
    <w:rsid w:val="00D033FE"/>
    <w:rsid w:val="00D03416"/>
    <w:rsid w:val="00D03658"/>
    <w:rsid w:val="00D03686"/>
    <w:rsid w:val="00D036EA"/>
    <w:rsid w:val="00D03802"/>
    <w:rsid w:val="00D03865"/>
    <w:rsid w:val="00D038FA"/>
    <w:rsid w:val="00D03AD7"/>
    <w:rsid w:val="00D03C55"/>
    <w:rsid w:val="00D03CAE"/>
    <w:rsid w:val="00D03D99"/>
    <w:rsid w:val="00D03E5B"/>
    <w:rsid w:val="00D03E6A"/>
    <w:rsid w:val="00D03E9A"/>
    <w:rsid w:val="00D03F6A"/>
    <w:rsid w:val="00D03F75"/>
    <w:rsid w:val="00D03F96"/>
    <w:rsid w:val="00D03FB8"/>
    <w:rsid w:val="00D0409E"/>
    <w:rsid w:val="00D041CD"/>
    <w:rsid w:val="00D04227"/>
    <w:rsid w:val="00D042C2"/>
    <w:rsid w:val="00D042D0"/>
    <w:rsid w:val="00D04451"/>
    <w:rsid w:val="00D0450D"/>
    <w:rsid w:val="00D04518"/>
    <w:rsid w:val="00D04610"/>
    <w:rsid w:val="00D046C2"/>
    <w:rsid w:val="00D04724"/>
    <w:rsid w:val="00D0477A"/>
    <w:rsid w:val="00D047DB"/>
    <w:rsid w:val="00D0489C"/>
    <w:rsid w:val="00D0493C"/>
    <w:rsid w:val="00D049B6"/>
    <w:rsid w:val="00D049FC"/>
    <w:rsid w:val="00D04A46"/>
    <w:rsid w:val="00D04AF2"/>
    <w:rsid w:val="00D04B08"/>
    <w:rsid w:val="00D04B91"/>
    <w:rsid w:val="00D04BE1"/>
    <w:rsid w:val="00D04BF8"/>
    <w:rsid w:val="00D04C16"/>
    <w:rsid w:val="00D04C82"/>
    <w:rsid w:val="00D04E9B"/>
    <w:rsid w:val="00D04EF6"/>
    <w:rsid w:val="00D04FF3"/>
    <w:rsid w:val="00D0519D"/>
    <w:rsid w:val="00D0526C"/>
    <w:rsid w:val="00D052DA"/>
    <w:rsid w:val="00D052EE"/>
    <w:rsid w:val="00D053D8"/>
    <w:rsid w:val="00D054B1"/>
    <w:rsid w:val="00D05691"/>
    <w:rsid w:val="00D056B3"/>
    <w:rsid w:val="00D0574B"/>
    <w:rsid w:val="00D057BC"/>
    <w:rsid w:val="00D057D4"/>
    <w:rsid w:val="00D0581B"/>
    <w:rsid w:val="00D05827"/>
    <w:rsid w:val="00D05842"/>
    <w:rsid w:val="00D058ED"/>
    <w:rsid w:val="00D059AC"/>
    <w:rsid w:val="00D059AD"/>
    <w:rsid w:val="00D059DD"/>
    <w:rsid w:val="00D05AA7"/>
    <w:rsid w:val="00D05B5B"/>
    <w:rsid w:val="00D05C22"/>
    <w:rsid w:val="00D05C49"/>
    <w:rsid w:val="00D05D36"/>
    <w:rsid w:val="00D05E49"/>
    <w:rsid w:val="00D05F44"/>
    <w:rsid w:val="00D060DD"/>
    <w:rsid w:val="00D060F8"/>
    <w:rsid w:val="00D0619F"/>
    <w:rsid w:val="00D0629F"/>
    <w:rsid w:val="00D063F5"/>
    <w:rsid w:val="00D06518"/>
    <w:rsid w:val="00D0654D"/>
    <w:rsid w:val="00D065A5"/>
    <w:rsid w:val="00D065F5"/>
    <w:rsid w:val="00D06605"/>
    <w:rsid w:val="00D06702"/>
    <w:rsid w:val="00D0674C"/>
    <w:rsid w:val="00D06847"/>
    <w:rsid w:val="00D06948"/>
    <w:rsid w:val="00D0698F"/>
    <w:rsid w:val="00D06A31"/>
    <w:rsid w:val="00D06A4E"/>
    <w:rsid w:val="00D06A6A"/>
    <w:rsid w:val="00D06AE0"/>
    <w:rsid w:val="00D06AF0"/>
    <w:rsid w:val="00D06B09"/>
    <w:rsid w:val="00D06C7A"/>
    <w:rsid w:val="00D06D1A"/>
    <w:rsid w:val="00D06D5A"/>
    <w:rsid w:val="00D06D7C"/>
    <w:rsid w:val="00D06E68"/>
    <w:rsid w:val="00D06E8E"/>
    <w:rsid w:val="00D06F13"/>
    <w:rsid w:val="00D06F6F"/>
    <w:rsid w:val="00D06F76"/>
    <w:rsid w:val="00D070D9"/>
    <w:rsid w:val="00D071B4"/>
    <w:rsid w:val="00D071D5"/>
    <w:rsid w:val="00D0732F"/>
    <w:rsid w:val="00D07369"/>
    <w:rsid w:val="00D0738F"/>
    <w:rsid w:val="00D07513"/>
    <w:rsid w:val="00D0752F"/>
    <w:rsid w:val="00D07530"/>
    <w:rsid w:val="00D0760F"/>
    <w:rsid w:val="00D07649"/>
    <w:rsid w:val="00D076CA"/>
    <w:rsid w:val="00D076E6"/>
    <w:rsid w:val="00D0772D"/>
    <w:rsid w:val="00D07821"/>
    <w:rsid w:val="00D0786D"/>
    <w:rsid w:val="00D07875"/>
    <w:rsid w:val="00D0794E"/>
    <w:rsid w:val="00D07967"/>
    <w:rsid w:val="00D07998"/>
    <w:rsid w:val="00D07A74"/>
    <w:rsid w:val="00D07B8F"/>
    <w:rsid w:val="00D07CC5"/>
    <w:rsid w:val="00D07CDD"/>
    <w:rsid w:val="00D07D6B"/>
    <w:rsid w:val="00D07D86"/>
    <w:rsid w:val="00D07DB5"/>
    <w:rsid w:val="00D07DE5"/>
    <w:rsid w:val="00D07E1B"/>
    <w:rsid w:val="00D1008B"/>
    <w:rsid w:val="00D100E9"/>
    <w:rsid w:val="00D100F7"/>
    <w:rsid w:val="00D10168"/>
    <w:rsid w:val="00D1020F"/>
    <w:rsid w:val="00D10250"/>
    <w:rsid w:val="00D102B8"/>
    <w:rsid w:val="00D10325"/>
    <w:rsid w:val="00D10329"/>
    <w:rsid w:val="00D10418"/>
    <w:rsid w:val="00D10490"/>
    <w:rsid w:val="00D104AE"/>
    <w:rsid w:val="00D10599"/>
    <w:rsid w:val="00D10616"/>
    <w:rsid w:val="00D10795"/>
    <w:rsid w:val="00D107B9"/>
    <w:rsid w:val="00D10839"/>
    <w:rsid w:val="00D1084E"/>
    <w:rsid w:val="00D10922"/>
    <w:rsid w:val="00D109B0"/>
    <w:rsid w:val="00D10A15"/>
    <w:rsid w:val="00D10A84"/>
    <w:rsid w:val="00D10B7D"/>
    <w:rsid w:val="00D10B88"/>
    <w:rsid w:val="00D10BD6"/>
    <w:rsid w:val="00D10D78"/>
    <w:rsid w:val="00D10DE5"/>
    <w:rsid w:val="00D10E91"/>
    <w:rsid w:val="00D10EC5"/>
    <w:rsid w:val="00D10F28"/>
    <w:rsid w:val="00D110AF"/>
    <w:rsid w:val="00D110BE"/>
    <w:rsid w:val="00D11181"/>
    <w:rsid w:val="00D11182"/>
    <w:rsid w:val="00D11296"/>
    <w:rsid w:val="00D112A6"/>
    <w:rsid w:val="00D112A7"/>
    <w:rsid w:val="00D112D3"/>
    <w:rsid w:val="00D1130F"/>
    <w:rsid w:val="00D113A9"/>
    <w:rsid w:val="00D1148A"/>
    <w:rsid w:val="00D1153A"/>
    <w:rsid w:val="00D115CE"/>
    <w:rsid w:val="00D1160E"/>
    <w:rsid w:val="00D11620"/>
    <w:rsid w:val="00D11632"/>
    <w:rsid w:val="00D116CC"/>
    <w:rsid w:val="00D116E5"/>
    <w:rsid w:val="00D11746"/>
    <w:rsid w:val="00D1177E"/>
    <w:rsid w:val="00D1181F"/>
    <w:rsid w:val="00D118AB"/>
    <w:rsid w:val="00D11A93"/>
    <w:rsid w:val="00D11AE6"/>
    <w:rsid w:val="00D11B12"/>
    <w:rsid w:val="00D11B47"/>
    <w:rsid w:val="00D11B6A"/>
    <w:rsid w:val="00D11C43"/>
    <w:rsid w:val="00D11CD1"/>
    <w:rsid w:val="00D11CDB"/>
    <w:rsid w:val="00D11CEE"/>
    <w:rsid w:val="00D11F9B"/>
    <w:rsid w:val="00D120D9"/>
    <w:rsid w:val="00D120E7"/>
    <w:rsid w:val="00D1211F"/>
    <w:rsid w:val="00D121C2"/>
    <w:rsid w:val="00D12250"/>
    <w:rsid w:val="00D1231E"/>
    <w:rsid w:val="00D1239F"/>
    <w:rsid w:val="00D124A6"/>
    <w:rsid w:val="00D124ED"/>
    <w:rsid w:val="00D1252B"/>
    <w:rsid w:val="00D12575"/>
    <w:rsid w:val="00D12592"/>
    <w:rsid w:val="00D1259A"/>
    <w:rsid w:val="00D125AB"/>
    <w:rsid w:val="00D125F1"/>
    <w:rsid w:val="00D12635"/>
    <w:rsid w:val="00D12823"/>
    <w:rsid w:val="00D12869"/>
    <w:rsid w:val="00D12896"/>
    <w:rsid w:val="00D128B6"/>
    <w:rsid w:val="00D128C7"/>
    <w:rsid w:val="00D128CC"/>
    <w:rsid w:val="00D1295D"/>
    <w:rsid w:val="00D12970"/>
    <w:rsid w:val="00D129DE"/>
    <w:rsid w:val="00D12A02"/>
    <w:rsid w:val="00D12A0D"/>
    <w:rsid w:val="00D12AF0"/>
    <w:rsid w:val="00D12B0B"/>
    <w:rsid w:val="00D12BFB"/>
    <w:rsid w:val="00D12C51"/>
    <w:rsid w:val="00D12C67"/>
    <w:rsid w:val="00D12C83"/>
    <w:rsid w:val="00D12CBD"/>
    <w:rsid w:val="00D12D9D"/>
    <w:rsid w:val="00D12ED1"/>
    <w:rsid w:val="00D12FC6"/>
    <w:rsid w:val="00D131D0"/>
    <w:rsid w:val="00D134AC"/>
    <w:rsid w:val="00D134C6"/>
    <w:rsid w:val="00D134E4"/>
    <w:rsid w:val="00D134F4"/>
    <w:rsid w:val="00D1356A"/>
    <w:rsid w:val="00D1356C"/>
    <w:rsid w:val="00D135C0"/>
    <w:rsid w:val="00D135DA"/>
    <w:rsid w:val="00D13690"/>
    <w:rsid w:val="00D136F7"/>
    <w:rsid w:val="00D1370B"/>
    <w:rsid w:val="00D137FE"/>
    <w:rsid w:val="00D139CC"/>
    <w:rsid w:val="00D13A32"/>
    <w:rsid w:val="00D13A58"/>
    <w:rsid w:val="00D13A8F"/>
    <w:rsid w:val="00D13A9D"/>
    <w:rsid w:val="00D13AC3"/>
    <w:rsid w:val="00D13B67"/>
    <w:rsid w:val="00D13BAF"/>
    <w:rsid w:val="00D13CFF"/>
    <w:rsid w:val="00D13D41"/>
    <w:rsid w:val="00D13DDC"/>
    <w:rsid w:val="00D13DE1"/>
    <w:rsid w:val="00D13E21"/>
    <w:rsid w:val="00D13F72"/>
    <w:rsid w:val="00D13FCC"/>
    <w:rsid w:val="00D14055"/>
    <w:rsid w:val="00D14216"/>
    <w:rsid w:val="00D143CF"/>
    <w:rsid w:val="00D14414"/>
    <w:rsid w:val="00D14459"/>
    <w:rsid w:val="00D1448A"/>
    <w:rsid w:val="00D1451F"/>
    <w:rsid w:val="00D14677"/>
    <w:rsid w:val="00D14698"/>
    <w:rsid w:val="00D146F4"/>
    <w:rsid w:val="00D1470B"/>
    <w:rsid w:val="00D147A2"/>
    <w:rsid w:val="00D147DB"/>
    <w:rsid w:val="00D14831"/>
    <w:rsid w:val="00D14938"/>
    <w:rsid w:val="00D149B9"/>
    <w:rsid w:val="00D14A18"/>
    <w:rsid w:val="00D14A45"/>
    <w:rsid w:val="00D14A47"/>
    <w:rsid w:val="00D14B1A"/>
    <w:rsid w:val="00D14B82"/>
    <w:rsid w:val="00D14B83"/>
    <w:rsid w:val="00D14C26"/>
    <w:rsid w:val="00D14CC2"/>
    <w:rsid w:val="00D14D66"/>
    <w:rsid w:val="00D14D99"/>
    <w:rsid w:val="00D14E52"/>
    <w:rsid w:val="00D14F24"/>
    <w:rsid w:val="00D14F71"/>
    <w:rsid w:val="00D14F84"/>
    <w:rsid w:val="00D1506B"/>
    <w:rsid w:val="00D1510F"/>
    <w:rsid w:val="00D15121"/>
    <w:rsid w:val="00D15152"/>
    <w:rsid w:val="00D1518C"/>
    <w:rsid w:val="00D15298"/>
    <w:rsid w:val="00D1529B"/>
    <w:rsid w:val="00D152A1"/>
    <w:rsid w:val="00D152E4"/>
    <w:rsid w:val="00D1530A"/>
    <w:rsid w:val="00D15355"/>
    <w:rsid w:val="00D15416"/>
    <w:rsid w:val="00D15494"/>
    <w:rsid w:val="00D15516"/>
    <w:rsid w:val="00D155B1"/>
    <w:rsid w:val="00D1576D"/>
    <w:rsid w:val="00D157E9"/>
    <w:rsid w:val="00D1586F"/>
    <w:rsid w:val="00D158CF"/>
    <w:rsid w:val="00D158E4"/>
    <w:rsid w:val="00D158F0"/>
    <w:rsid w:val="00D15AF1"/>
    <w:rsid w:val="00D15BA6"/>
    <w:rsid w:val="00D15BA8"/>
    <w:rsid w:val="00D15C19"/>
    <w:rsid w:val="00D15D52"/>
    <w:rsid w:val="00D15DD1"/>
    <w:rsid w:val="00D15EB7"/>
    <w:rsid w:val="00D160DE"/>
    <w:rsid w:val="00D16183"/>
    <w:rsid w:val="00D161B7"/>
    <w:rsid w:val="00D161F9"/>
    <w:rsid w:val="00D1628F"/>
    <w:rsid w:val="00D16291"/>
    <w:rsid w:val="00D16352"/>
    <w:rsid w:val="00D163A8"/>
    <w:rsid w:val="00D163EA"/>
    <w:rsid w:val="00D1646A"/>
    <w:rsid w:val="00D16580"/>
    <w:rsid w:val="00D16590"/>
    <w:rsid w:val="00D165AB"/>
    <w:rsid w:val="00D16671"/>
    <w:rsid w:val="00D166A1"/>
    <w:rsid w:val="00D1674B"/>
    <w:rsid w:val="00D1692B"/>
    <w:rsid w:val="00D1693F"/>
    <w:rsid w:val="00D1699D"/>
    <w:rsid w:val="00D169B1"/>
    <w:rsid w:val="00D169BF"/>
    <w:rsid w:val="00D16A40"/>
    <w:rsid w:val="00D16A6F"/>
    <w:rsid w:val="00D16B58"/>
    <w:rsid w:val="00D16C5C"/>
    <w:rsid w:val="00D16CFF"/>
    <w:rsid w:val="00D16D26"/>
    <w:rsid w:val="00D16DE7"/>
    <w:rsid w:val="00D16E9D"/>
    <w:rsid w:val="00D16EA8"/>
    <w:rsid w:val="00D16F57"/>
    <w:rsid w:val="00D17031"/>
    <w:rsid w:val="00D1707D"/>
    <w:rsid w:val="00D1707E"/>
    <w:rsid w:val="00D171AC"/>
    <w:rsid w:val="00D1723E"/>
    <w:rsid w:val="00D1726F"/>
    <w:rsid w:val="00D1729F"/>
    <w:rsid w:val="00D17369"/>
    <w:rsid w:val="00D1739F"/>
    <w:rsid w:val="00D173EB"/>
    <w:rsid w:val="00D17425"/>
    <w:rsid w:val="00D17433"/>
    <w:rsid w:val="00D17476"/>
    <w:rsid w:val="00D1763E"/>
    <w:rsid w:val="00D177E4"/>
    <w:rsid w:val="00D17819"/>
    <w:rsid w:val="00D1786C"/>
    <w:rsid w:val="00D178D3"/>
    <w:rsid w:val="00D178F9"/>
    <w:rsid w:val="00D17977"/>
    <w:rsid w:val="00D17AE3"/>
    <w:rsid w:val="00D17B04"/>
    <w:rsid w:val="00D17B62"/>
    <w:rsid w:val="00D17B6E"/>
    <w:rsid w:val="00D17C0C"/>
    <w:rsid w:val="00D17C3C"/>
    <w:rsid w:val="00D17C59"/>
    <w:rsid w:val="00D17C7E"/>
    <w:rsid w:val="00D17D89"/>
    <w:rsid w:val="00D17DAC"/>
    <w:rsid w:val="00D17F4A"/>
    <w:rsid w:val="00D17FC2"/>
    <w:rsid w:val="00D2002E"/>
    <w:rsid w:val="00D200DC"/>
    <w:rsid w:val="00D20136"/>
    <w:rsid w:val="00D201B3"/>
    <w:rsid w:val="00D201C5"/>
    <w:rsid w:val="00D2020C"/>
    <w:rsid w:val="00D203DC"/>
    <w:rsid w:val="00D20417"/>
    <w:rsid w:val="00D20450"/>
    <w:rsid w:val="00D20527"/>
    <w:rsid w:val="00D20581"/>
    <w:rsid w:val="00D20582"/>
    <w:rsid w:val="00D205A3"/>
    <w:rsid w:val="00D20620"/>
    <w:rsid w:val="00D2062E"/>
    <w:rsid w:val="00D20634"/>
    <w:rsid w:val="00D2081E"/>
    <w:rsid w:val="00D2084F"/>
    <w:rsid w:val="00D208E2"/>
    <w:rsid w:val="00D20918"/>
    <w:rsid w:val="00D20A28"/>
    <w:rsid w:val="00D20A5D"/>
    <w:rsid w:val="00D20AF8"/>
    <w:rsid w:val="00D20C94"/>
    <w:rsid w:val="00D20CD9"/>
    <w:rsid w:val="00D20D2C"/>
    <w:rsid w:val="00D20EEE"/>
    <w:rsid w:val="00D20F6E"/>
    <w:rsid w:val="00D21007"/>
    <w:rsid w:val="00D2120E"/>
    <w:rsid w:val="00D212E9"/>
    <w:rsid w:val="00D213BC"/>
    <w:rsid w:val="00D213F6"/>
    <w:rsid w:val="00D214C5"/>
    <w:rsid w:val="00D2156A"/>
    <w:rsid w:val="00D21589"/>
    <w:rsid w:val="00D215BE"/>
    <w:rsid w:val="00D2169C"/>
    <w:rsid w:val="00D216AA"/>
    <w:rsid w:val="00D2174D"/>
    <w:rsid w:val="00D217BB"/>
    <w:rsid w:val="00D218DE"/>
    <w:rsid w:val="00D2198A"/>
    <w:rsid w:val="00D21A07"/>
    <w:rsid w:val="00D21A70"/>
    <w:rsid w:val="00D21AF2"/>
    <w:rsid w:val="00D21B14"/>
    <w:rsid w:val="00D21B2B"/>
    <w:rsid w:val="00D21BD2"/>
    <w:rsid w:val="00D21C34"/>
    <w:rsid w:val="00D21CDF"/>
    <w:rsid w:val="00D21D17"/>
    <w:rsid w:val="00D21E07"/>
    <w:rsid w:val="00D21E16"/>
    <w:rsid w:val="00D21F0C"/>
    <w:rsid w:val="00D2202C"/>
    <w:rsid w:val="00D22097"/>
    <w:rsid w:val="00D220EA"/>
    <w:rsid w:val="00D22203"/>
    <w:rsid w:val="00D2220E"/>
    <w:rsid w:val="00D223C5"/>
    <w:rsid w:val="00D22415"/>
    <w:rsid w:val="00D2246F"/>
    <w:rsid w:val="00D22596"/>
    <w:rsid w:val="00D22600"/>
    <w:rsid w:val="00D22662"/>
    <w:rsid w:val="00D2267D"/>
    <w:rsid w:val="00D22692"/>
    <w:rsid w:val="00D226AE"/>
    <w:rsid w:val="00D2278C"/>
    <w:rsid w:val="00D2296C"/>
    <w:rsid w:val="00D2299F"/>
    <w:rsid w:val="00D229EF"/>
    <w:rsid w:val="00D22A24"/>
    <w:rsid w:val="00D22A2B"/>
    <w:rsid w:val="00D22AF6"/>
    <w:rsid w:val="00D22B0D"/>
    <w:rsid w:val="00D22B10"/>
    <w:rsid w:val="00D22B73"/>
    <w:rsid w:val="00D22C0B"/>
    <w:rsid w:val="00D22C65"/>
    <w:rsid w:val="00D22C69"/>
    <w:rsid w:val="00D22CC1"/>
    <w:rsid w:val="00D22CCE"/>
    <w:rsid w:val="00D22D08"/>
    <w:rsid w:val="00D22DA0"/>
    <w:rsid w:val="00D22DDC"/>
    <w:rsid w:val="00D22DE7"/>
    <w:rsid w:val="00D22E04"/>
    <w:rsid w:val="00D22E11"/>
    <w:rsid w:val="00D22E91"/>
    <w:rsid w:val="00D22F37"/>
    <w:rsid w:val="00D22FF6"/>
    <w:rsid w:val="00D2304F"/>
    <w:rsid w:val="00D230E8"/>
    <w:rsid w:val="00D2318C"/>
    <w:rsid w:val="00D2338F"/>
    <w:rsid w:val="00D2341B"/>
    <w:rsid w:val="00D2341E"/>
    <w:rsid w:val="00D23430"/>
    <w:rsid w:val="00D23465"/>
    <w:rsid w:val="00D234B6"/>
    <w:rsid w:val="00D234C6"/>
    <w:rsid w:val="00D23677"/>
    <w:rsid w:val="00D236FE"/>
    <w:rsid w:val="00D23768"/>
    <w:rsid w:val="00D2377B"/>
    <w:rsid w:val="00D2380D"/>
    <w:rsid w:val="00D238C0"/>
    <w:rsid w:val="00D239F0"/>
    <w:rsid w:val="00D23A77"/>
    <w:rsid w:val="00D23AC8"/>
    <w:rsid w:val="00D23BCB"/>
    <w:rsid w:val="00D23BEE"/>
    <w:rsid w:val="00D23C1A"/>
    <w:rsid w:val="00D23C1F"/>
    <w:rsid w:val="00D23CB3"/>
    <w:rsid w:val="00D23CCD"/>
    <w:rsid w:val="00D23DBF"/>
    <w:rsid w:val="00D23E85"/>
    <w:rsid w:val="00D23EC6"/>
    <w:rsid w:val="00D23EC8"/>
    <w:rsid w:val="00D23EE9"/>
    <w:rsid w:val="00D23F18"/>
    <w:rsid w:val="00D23FD2"/>
    <w:rsid w:val="00D24137"/>
    <w:rsid w:val="00D241AA"/>
    <w:rsid w:val="00D2427D"/>
    <w:rsid w:val="00D2438F"/>
    <w:rsid w:val="00D243DD"/>
    <w:rsid w:val="00D2440D"/>
    <w:rsid w:val="00D244CC"/>
    <w:rsid w:val="00D244CE"/>
    <w:rsid w:val="00D2460D"/>
    <w:rsid w:val="00D24687"/>
    <w:rsid w:val="00D246F9"/>
    <w:rsid w:val="00D24748"/>
    <w:rsid w:val="00D2477A"/>
    <w:rsid w:val="00D24820"/>
    <w:rsid w:val="00D2489F"/>
    <w:rsid w:val="00D248BE"/>
    <w:rsid w:val="00D24AD9"/>
    <w:rsid w:val="00D24AFC"/>
    <w:rsid w:val="00D24BD3"/>
    <w:rsid w:val="00D24C0C"/>
    <w:rsid w:val="00D24CC5"/>
    <w:rsid w:val="00D24E25"/>
    <w:rsid w:val="00D24E5A"/>
    <w:rsid w:val="00D24E6E"/>
    <w:rsid w:val="00D24E81"/>
    <w:rsid w:val="00D24F02"/>
    <w:rsid w:val="00D24FAC"/>
    <w:rsid w:val="00D25041"/>
    <w:rsid w:val="00D250B8"/>
    <w:rsid w:val="00D2514A"/>
    <w:rsid w:val="00D25244"/>
    <w:rsid w:val="00D25251"/>
    <w:rsid w:val="00D252DE"/>
    <w:rsid w:val="00D25443"/>
    <w:rsid w:val="00D25461"/>
    <w:rsid w:val="00D25602"/>
    <w:rsid w:val="00D257B7"/>
    <w:rsid w:val="00D257BE"/>
    <w:rsid w:val="00D25829"/>
    <w:rsid w:val="00D258CF"/>
    <w:rsid w:val="00D2590C"/>
    <w:rsid w:val="00D25A43"/>
    <w:rsid w:val="00D25A9E"/>
    <w:rsid w:val="00D25AC2"/>
    <w:rsid w:val="00D25B0F"/>
    <w:rsid w:val="00D25B12"/>
    <w:rsid w:val="00D25B13"/>
    <w:rsid w:val="00D25B3F"/>
    <w:rsid w:val="00D25C50"/>
    <w:rsid w:val="00D25C99"/>
    <w:rsid w:val="00D25D3E"/>
    <w:rsid w:val="00D25D5A"/>
    <w:rsid w:val="00D25E31"/>
    <w:rsid w:val="00D25F0F"/>
    <w:rsid w:val="00D25F35"/>
    <w:rsid w:val="00D2603A"/>
    <w:rsid w:val="00D26049"/>
    <w:rsid w:val="00D260A3"/>
    <w:rsid w:val="00D2611A"/>
    <w:rsid w:val="00D261D2"/>
    <w:rsid w:val="00D261DB"/>
    <w:rsid w:val="00D261EA"/>
    <w:rsid w:val="00D2628A"/>
    <w:rsid w:val="00D2628E"/>
    <w:rsid w:val="00D26318"/>
    <w:rsid w:val="00D263D8"/>
    <w:rsid w:val="00D26765"/>
    <w:rsid w:val="00D26AC2"/>
    <w:rsid w:val="00D26ACE"/>
    <w:rsid w:val="00D26B4D"/>
    <w:rsid w:val="00D26C39"/>
    <w:rsid w:val="00D26CD3"/>
    <w:rsid w:val="00D26DF5"/>
    <w:rsid w:val="00D26E1E"/>
    <w:rsid w:val="00D26E25"/>
    <w:rsid w:val="00D26F2F"/>
    <w:rsid w:val="00D26FC8"/>
    <w:rsid w:val="00D27074"/>
    <w:rsid w:val="00D27136"/>
    <w:rsid w:val="00D27184"/>
    <w:rsid w:val="00D271D6"/>
    <w:rsid w:val="00D272AC"/>
    <w:rsid w:val="00D272E6"/>
    <w:rsid w:val="00D2732A"/>
    <w:rsid w:val="00D27443"/>
    <w:rsid w:val="00D2744F"/>
    <w:rsid w:val="00D2746C"/>
    <w:rsid w:val="00D27490"/>
    <w:rsid w:val="00D2751F"/>
    <w:rsid w:val="00D275DC"/>
    <w:rsid w:val="00D275EA"/>
    <w:rsid w:val="00D27626"/>
    <w:rsid w:val="00D27631"/>
    <w:rsid w:val="00D276DF"/>
    <w:rsid w:val="00D27865"/>
    <w:rsid w:val="00D27984"/>
    <w:rsid w:val="00D27A51"/>
    <w:rsid w:val="00D27B2A"/>
    <w:rsid w:val="00D27C1D"/>
    <w:rsid w:val="00D27C95"/>
    <w:rsid w:val="00D27D0E"/>
    <w:rsid w:val="00D27D98"/>
    <w:rsid w:val="00D27DE1"/>
    <w:rsid w:val="00D27DEA"/>
    <w:rsid w:val="00D27E69"/>
    <w:rsid w:val="00D27EC6"/>
    <w:rsid w:val="00D27F65"/>
    <w:rsid w:val="00D27F85"/>
    <w:rsid w:val="00D27FBD"/>
    <w:rsid w:val="00D27FE0"/>
    <w:rsid w:val="00D300FF"/>
    <w:rsid w:val="00D30106"/>
    <w:rsid w:val="00D301DF"/>
    <w:rsid w:val="00D3021F"/>
    <w:rsid w:val="00D30248"/>
    <w:rsid w:val="00D30357"/>
    <w:rsid w:val="00D3039D"/>
    <w:rsid w:val="00D30537"/>
    <w:rsid w:val="00D306F2"/>
    <w:rsid w:val="00D306FF"/>
    <w:rsid w:val="00D30805"/>
    <w:rsid w:val="00D308C6"/>
    <w:rsid w:val="00D30925"/>
    <w:rsid w:val="00D309FD"/>
    <w:rsid w:val="00D30B22"/>
    <w:rsid w:val="00D30B32"/>
    <w:rsid w:val="00D30BCE"/>
    <w:rsid w:val="00D30BF7"/>
    <w:rsid w:val="00D30C09"/>
    <w:rsid w:val="00D30E5A"/>
    <w:rsid w:val="00D30E65"/>
    <w:rsid w:val="00D30F16"/>
    <w:rsid w:val="00D3107E"/>
    <w:rsid w:val="00D310B9"/>
    <w:rsid w:val="00D3120C"/>
    <w:rsid w:val="00D31212"/>
    <w:rsid w:val="00D3121C"/>
    <w:rsid w:val="00D31226"/>
    <w:rsid w:val="00D3134F"/>
    <w:rsid w:val="00D3139B"/>
    <w:rsid w:val="00D313BA"/>
    <w:rsid w:val="00D31408"/>
    <w:rsid w:val="00D31517"/>
    <w:rsid w:val="00D3159E"/>
    <w:rsid w:val="00D315ED"/>
    <w:rsid w:val="00D316FC"/>
    <w:rsid w:val="00D31713"/>
    <w:rsid w:val="00D31773"/>
    <w:rsid w:val="00D317C6"/>
    <w:rsid w:val="00D3187A"/>
    <w:rsid w:val="00D31880"/>
    <w:rsid w:val="00D31885"/>
    <w:rsid w:val="00D31905"/>
    <w:rsid w:val="00D319A5"/>
    <w:rsid w:val="00D319AC"/>
    <w:rsid w:val="00D319C2"/>
    <w:rsid w:val="00D319D0"/>
    <w:rsid w:val="00D31A2E"/>
    <w:rsid w:val="00D31A81"/>
    <w:rsid w:val="00D31A93"/>
    <w:rsid w:val="00D31B02"/>
    <w:rsid w:val="00D31BA5"/>
    <w:rsid w:val="00D31BA8"/>
    <w:rsid w:val="00D31BE6"/>
    <w:rsid w:val="00D31D2A"/>
    <w:rsid w:val="00D31D60"/>
    <w:rsid w:val="00D31D8E"/>
    <w:rsid w:val="00D31E33"/>
    <w:rsid w:val="00D31FA8"/>
    <w:rsid w:val="00D31FBB"/>
    <w:rsid w:val="00D31FBC"/>
    <w:rsid w:val="00D32064"/>
    <w:rsid w:val="00D320D5"/>
    <w:rsid w:val="00D320EC"/>
    <w:rsid w:val="00D32111"/>
    <w:rsid w:val="00D32122"/>
    <w:rsid w:val="00D32169"/>
    <w:rsid w:val="00D32207"/>
    <w:rsid w:val="00D322CC"/>
    <w:rsid w:val="00D3244A"/>
    <w:rsid w:val="00D3263F"/>
    <w:rsid w:val="00D32673"/>
    <w:rsid w:val="00D32678"/>
    <w:rsid w:val="00D32760"/>
    <w:rsid w:val="00D327E9"/>
    <w:rsid w:val="00D32826"/>
    <w:rsid w:val="00D32949"/>
    <w:rsid w:val="00D3298C"/>
    <w:rsid w:val="00D32A30"/>
    <w:rsid w:val="00D32B61"/>
    <w:rsid w:val="00D32D09"/>
    <w:rsid w:val="00D32DFA"/>
    <w:rsid w:val="00D32E39"/>
    <w:rsid w:val="00D32EA8"/>
    <w:rsid w:val="00D32EFE"/>
    <w:rsid w:val="00D32F71"/>
    <w:rsid w:val="00D32FB4"/>
    <w:rsid w:val="00D33012"/>
    <w:rsid w:val="00D33084"/>
    <w:rsid w:val="00D33096"/>
    <w:rsid w:val="00D3314A"/>
    <w:rsid w:val="00D331E8"/>
    <w:rsid w:val="00D33241"/>
    <w:rsid w:val="00D33267"/>
    <w:rsid w:val="00D33313"/>
    <w:rsid w:val="00D3331F"/>
    <w:rsid w:val="00D33346"/>
    <w:rsid w:val="00D33372"/>
    <w:rsid w:val="00D333AB"/>
    <w:rsid w:val="00D3350D"/>
    <w:rsid w:val="00D335E4"/>
    <w:rsid w:val="00D3360D"/>
    <w:rsid w:val="00D336C9"/>
    <w:rsid w:val="00D33776"/>
    <w:rsid w:val="00D33856"/>
    <w:rsid w:val="00D33907"/>
    <w:rsid w:val="00D3390E"/>
    <w:rsid w:val="00D33A0F"/>
    <w:rsid w:val="00D33C12"/>
    <w:rsid w:val="00D33C39"/>
    <w:rsid w:val="00D33DC9"/>
    <w:rsid w:val="00D33DCD"/>
    <w:rsid w:val="00D33F1B"/>
    <w:rsid w:val="00D33F70"/>
    <w:rsid w:val="00D33FC1"/>
    <w:rsid w:val="00D3403B"/>
    <w:rsid w:val="00D3409B"/>
    <w:rsid w:val="00D3416F"/>
    <w:rsid w:val="00D34175"/>
    <w:rsid w:val="00D341F6"/>
    <w:rsid w:val="00D3423B"/>
    <w:rsid w:val="00D342AD"/>
    <w:rsid w:val="00D3437C"/>
    <w:rsid w:val="00D34473"/>
    <w:rsid w:val="00D344C5"/>
    <w:rsid w:val="00D344CA"/>
    <w:rsid w:val="00D34714"/>
    <w:rsid w:val="00D34784"/>
    <w:rsid w:val="00D34849"/>
    <w:rsid w:val="00D348B7"/>
    <w:rsid w:val="00D34933"/>
    <w:rsid w:val="00D34965"/>
    <w:rsid w:val="00D34B30"/>
    <w:rsid w:val="00D34B56"/>
    <w:rsid w:val="00D34BEC"/>
    <w:rsid w:val="00D34BF8"/>
    <w:rsid w:val="00D34C22"/>
    <w:rsid w:val="00D34C53"/>
    <w:rsid w:val="00D34D1C"/>
    <w:rsid w:val="00D34D9A"/>
    <w:rsid w:val="00D34DF2"/>
    <w:rsid w:val="00D34E3F"/>
    <w:rsid w:val="00D34EF2"/>
    <w:rsid w:val="00D34EF6"/>
    <w:rsid w:val="00D34F51"/>
    <w:rsid w:val="00D34FC3"/>
    <w:rsid w:val="00D350E4"/>
    <w:rsid w:val="00D3511B"/>
    <w:rsid w:val="00D351BE"/>
    <w:rsid w:val="00D35211"/>
    <w:rsid w:val="00D35252"/>
    <w:rsid w:val="00D3526B"/>
    <w:rsid w:val="00D352FC"/>
    <w:rsid w:val="00D353FB"/>
    <w:rsid w:val="00D35560"/>
    <w:rsid w:val="00D35564"/>
    <w:rsid w:val="00D35593"/>
    <w:rsid w:val="00D35633"/>
    <w:rsid w:val="00D356BC"/>
    <w:rsid w:val="00D356F3"/>
    <w:rsid w:val="00D35773"/>
    <w:rsid w:val="00D35775"/>
    <w:rsid w:val="00D3578E"/>
    <w:rsid w:val="00D35852"/>
    <w:rsid w:val="00D35954"/>
    <w:rsid w:val="00D3595A"/>
    <w:rsid w:val="00D35991"/>
    <w:rsid w:val="00D359B8"/>
    <w:rsid w:val="00D35A11"/>
    <w:rsid w:val="00D35B2A"/>
    <w:rsid w:val="00D35B3B"/>
    <w:rsid w:val="00D35BB9"/>
    <w:rsid w:val="00D35BDA"/>
    <w:rsid w:val="00D35C68"/>
    <w:rsid w:val="00D35D74"/>
    <w:rsid w:val="00D35DD4"/>
    <w:rsid w:val="00D35E02"/>
    <w:rsid w:val="00D35E12"/>
    <w:rsid w:val="00D35E32"/>
    <w:rsid w:val="00D35E4A"/>
    <w:rsid w:val="00D35EAA"/>
    <w:rsid w:val="00D35ECA"/>
    <w:rsid w:val="00D35F96"/>
    <w:rsid w:val="00D35FB5"/>
    <w:rsid w:val="00D35FE9"/>
    <w:rsid w:val="00D3612A"/>
    <w:rsid w:val="00D3625E"/>
    <w:rsid w:val="00D36280"/>
    <w:rsid w:val="00D36333"/>
    <w:rsid w:val="00D36354"/>
    <w:rsid w:val="00D3642C"/>
    <w:rsid w:val="00D364D4"/>
    <w:rsid w:val="00D36575"/>
    <w:rsid w:val="00D365D7"/>
    <w:rsid w:val="00D366F0"/>
    <w:rsid w:val="00D36704"/>
    <w:rsid w:val="00D3672E"/>
    <w:rsid w:val="00D367C7"/>
    <w:rsid w:val="00D36875"/>
    <w:rsid w:val="00D368C3"/>
    <w:rsid w:val="00D36903"/>
    <w:rsid w:val="00D36937"/>
    <w:rsid w:val="00D36AB7"/>
    <w:rsid w:val="00D36AC0"/>
    <w:rsid w:val="00D36C1B"/>
    <w:rsid w:val="00D36C4D"/>
    <w:rsid w:val="00D36C6D"/>
    <w:rsid w:val="00D36CE8"/>
    <w:rsid w:val="00D36D14"/>
    <w:rsid w:val="00D36EA0"/>
    <w:rsid w:val="00D36EA4"/>
    <w:rsid w:val="00D36F34"/>
    <w:rsid w:val="00D36FD0"/>
    <w:rsid w:val="00D37081"/>
    <w:rsid w:val="00D37090"/>
    <w:rsid w:val="00D371A3"/>
    <w:rsid w:val="00D37210"/>
    <w:rsid w:val="00D373D9"/>
    <w:rsid w:val="00D374DE"/>
    <w:rsid w:val="00D37506"/>
    <w:rsid w:val="00D3758D"/>
    <w:rsid w:val="00D375E7"/>
    <w:rsid w:val="00D376A5"/>
    <w:rsid w:val="00D3777D"/>
    <w:rsid w:val="00D37814"/>
    <w:rsid w:val="00D37949"/>
    <w:rsid w:val="00D37966"/>
    <w:rsid w:val="00D37A5A"/>
    <w:rsid w:val="00D37ABE"/>
    <w:rsid w:val="00D37AE2"/>
    <w:rsid w:val="00D37B99"/>
    <w:rsid w:val="00D37C6C"/>
    <w:rsid w:val="00D37D27"/>
    <w:rsid w:val="00D37D9E"/>
    <w:rsid w:val="00D37E33"/>
    <w:rsid w:val="00D37F1D"/>
    <w:rsid w:val="00D37FDB"/>
    <w:rsid w:val="00D37FE4"/>
    <w:rsid w:val="00D40172"/>
    <w:rsid w:val="00D401AA"/>
    <w:rsid w:val="00D40376"/>
    <w:rsid w:val="00D40396"/>
    <w:rsid w:val="00D403BD"/>
    <w:rsid w:val="00D40442"/>
    <w:rsid w:val="00D40454"/>
    <w:rsid w:val="00D4048C"/>
    <w:rsid w:val="00D404AA"/>
    <w:rsid w:val="00D40507"/>
    <w:rsid w:val="00D40511"/>
    <w:rsid w:val="00D40537"/>
    <w:rsid w:val="00D405A1"/>
    <w:rsid w:val="00D405C6"/>
    <w:rsid w:val="00D406FB"/>
    <w:rsid w:val="00D40768"/>
    <w:rsid w:val="00D408F6"/>
    <w:rsid w:val="00D409EF"/>
    <w:rsid w:val="00D40A02"/>
    <w:rsid w:val="00D40A38"/>
    <w:rsid w:val="00D40A42"/>
    <w:rsid w:val="00D40B47"/>
    <w:rsid w:val="00D40BAE"/>
    <w:rsid w:val="00D40BB7"/>
    <w:rsid w:val="00D40BDE"/>
    <w:rsid w:val="00D40CA3"/>
    <w:rsid w:val="00D40D13"/>
    <w:rsid w:val="00D40D50"/>
    <w:rsid w:val="00D40DF9"/>
    <w:rsid w:val="00D40E14"/>
    <w:rsid w:val="00D40E3E"/>
    <w:rsid w:val="00D40EC7"/>
    <w:rsid w:val="00D40EC8"/>
    <w:rsid w:val="00D40F1B"/>
    <w:rsid w:val="00D40F2A"/>
    <w:rsid w:val="00D40F51"/>
    <w:rsid w:val="00D40F77"/>
    <w:rsid w:val="00D40FB7"/>
    <w:rsid w:val="00D40FF1"/>
    <w:rsid w:val="00D410A1"/>
    <w:rsid w:val="00D41158"/>
    <w:rsid w:val="00D41220"/>
    <w:rsid w:val="00D41226"/>
    <w:rsid w:val="00D41234"/>
    <w:rsid w:val="00D41301"/>
    <w:rsid w:val="00D4145A"/>
    <w:rsid w:val="00D41471"/>
    <w:rsid w:val="00D414D3"/>
    <w:rsid w:val="00D41525"/>
    <w:rsid w:val="00D41801"/>
    <w:rsid w:val="00D4180D"/>
    <w:rsid w:val="00D418DC"/>
    <w:rsid w:val="00D41A2A"/>
    <w:rsid w:val="00D41A42"/>
    <w:rsid w:val="00D41A5B"/>
    <w:rsid w:val="00D41A68"/>
    <w:rsid w:val="00D41B2A"/>
    <w:rsid w:val="00D41B4D"/>
    <w:rsid w:val="00D41BDA"/>
    <w:rsid w:val="00D41C36"/>
    <w:rsid w:val="00D41CD7"/>
    <w:rsid w:val="00D41D2E"/>
    <w:rsid w:val="00D41DC9"/>
    <w:rsid w:val="00D41DF8"/>
    <w:rsid w:val="00D41E01"/>
    <w:rsid w:val="00D41E5A"/>
    <w:rsid w:val="00D41E6F"/>
    <w:rsid w:val="00D41F99"/>
    <w:rsid w:val="00D42015"/>
    <w:rsid w:val="00D420C1"/>
    <w:rsid w:val="00D42267"/>
    <w:rsid w:val="00D425B2"/>
    <w:rsid w:val="00D4266C"/>
    <w:rsid w:val="00D426EF"/>
    <w:rsid w:val="00D427DF"/>
    <w:rsid w:val="00D4296B"/>
    <w:rsid w:val="00D42999"/>
    <w:rsid w:val="00D429E4"/>
    <w:rsid w:val="00D42AA9"/>
    <w:rsid w:val="00D42B27"/>
    <w:rsid w:val="00D42BB5"/>
    <w:rsid w:val="00D42BF8"/>
    <w:rsid w:val="00D42D22"/>
    <w:rsid w:val="00D42F65"/>
    <w:rsid w:val="00D430A7"/>
    <w:rsid w:val="00D430BC"/>
    <w:rsid w:val="00D43229"/>
    <w:rsid w:val="00D4325C"/>
    <w:rsid w:val="00D43318"/>
    <w:rsid w:val="00D4337C"/>
    <w:rsid w:val="00D43383"/>
    <w:rsid w:val="00D433B4"/>
    <w:rsid w:val="00D4341B"/>
    <w:rsid w:val="00D43491"/>
    <w:rsid w:val="00D435DA"/>
    <w:rsid w:val="00D43644"/>
    <w:rsid w:val="00D4364C"/>
    <w:rsid w:val="00D437E4"/>
    <w:rsid w:val="00D43815"/>
    <w:rsid w:val="00D43956"/>
    <w:rsid w:val="00D43983"/>
    <w:rsid w:val="00D43990"/>
    <w:rsid w:val="00D439C4"/>
    <w:rsid w:val="00D43A30"/>
    <w:rsid w:val="00D43B0F"/>
    <w:rsid w:val="00D43B2D"/>
    <w:rsid w:val="00D43B68"/>
    <w:rsid w:val="00D43C4C"/>
    <w:rsid w:val="00D43CC8"/>
    <w:rsid w:val="00D43CCA"/>
    <w:rsid w:val="00D43D44"/>
    <w:rsid w:val="00D43E3B"/>
    <w:rsid w:val="00D43E69"/>
    <w:rsid w:val="00D43E6F"/>
    <w:rsid w:val="00D43F18"/>
    <w:rsid w:val="00D44023"/>
    <w:rsid w:val="00D4402F"/>
    <w:rsid w:val="00D4408A"/>
    <w:rsid w:val="00D440B4"/>
    <w:rsid w:val="00D440C1"/>
    <w:rsid w:val="00D44153"/>
    <w:rsid w:val="00D441C3"/>
    <w:rsid w:val="00D442B6"/>
    <w:rsid w:val="00D4438B"/>
    <w:rsid w:val="00D44489"/>
    <w:rsid w:val="00D444C6"/>
    <w:rsid w:val="00D44538"/>
    <w:rsid w:val="00D445D0"/>
    <w:rsid w:val="00D446AA"/>
    <w:rsid w:val="00D44701"/>
    <w:rsid w:val="00D44744"/>
    <w:rsid w:val="00D44754"/>
    <w:rsid w:val="00D447CB"/>
    <w:rsid w:val="00D447D9"/>
    <w:rsid w:val="00D4494D"/>
    <w:rsid w:val="00D4498A"/>
    <w:rsid w:val="00D44A76"/>
    <w:rsid w:val="00D44AC0"/>
    <w:rsid w:val="00D44B3E"/>
    <w:rsid w:val="00D44BB1"/>
    <w:rsid w:val="00D44C5B"/>
    <w:rsid w:val="00D44DD9"/>
    <w:rsid w:val="00D44DEA"/>
    <w:rsid w:val="00D44F3A"/>
    <w:rsid w:val="00D44F94"/>
    <w:rsid w:val="00D450EB"/>
    <w:rsid w:val="00D451FC"/>
    <w:rsid w:val="00D45209"/>
    <w:rsid w:val="00D4521B"/>
    <w:rsid w:val="00D45265"/>
    <w:rsid w:val="00D45334"/>
    <w:rsid w:val="00D4539B"/>
    <w:rsid w:val="00D45508"/>
    <w:rsid w:val="00D45550"/>
    <w:rsid w:val="00D455FB"/>
    <w:rsid w:val="00D4564D"/>
    <w:rsid w:val="00D45693"/>
    <w:rsid w:val="00D45719"/>
    <w:rsid w:val="00D4580E"/>
    <w:rsid w:val="00D45839"/>
    <w:rsid w:val="00D45872"/>
    <w:rsid w:val="00D458FB"/>
    <w:rsid w:val="00D45964"/>
    <w:rsid w:val="00D459A0"/>
    <w:rsid w:val="00D45A44"/>
    <w:rsid w:val="00D45B8C"/>
    <w:rsid w:val="00D45BCF"/>
    <w:rsid w:val="00D45BD9"/>
    <w:rsid w:val="00D45C13"/>
    <w:rsid w:val="00D45CCD"/>
    <w:rsid w:val="00D45D75"/>
    <w:rsid w:val="00D45D8E"/>
    <w:rsid w:val="00D45DC1"/>
    <w:rsid w:val="00D45DC8"/>
    <w:rsid w:val="00D45DD4"/>
    <w:rsid w:val="00D45DD9"/>
    <w:rsid w:val="00D45ED8"/>
    <w:rsid w:val="00D45FDC"/>
    <w:rsid w:val="00D46003"/>
    <w:rsid w:val="00D4613B"/>
    <w:rsid w:val="00D46140"/>
    <w:rsid w:val="00D46160"/>
    <w:rsid w:val="00D461E4"/>
    <w:rsid w:val="00D46276"/>
    <w:rsid w:val="00D46295"/>
    <w:rsid w:val="00D46498"/>
    <w:rsid w:val="00D465D2"/>
    <w:rsid w:val="00D465E3"/>
    <w:rsid w:val="00D46614"/>
    <w:rsid w:val="00D46655"/>
    <w:rsid w:val="00D467F1"/>
    <w:rsid w:val="00D46927"/>
    <w:rsid w:val="00D46AAA"/>
    <w:rsid w:val="00D46B16"/>
    <w:rsid w:val="00D46D5B"/>
    <w:rsid w:val="00D46DAC"/>
    <w:rsid w:val="00D46DFB"/>
    <w:rsid w:val="00D46DFF"/>
    <w:rsid w:val="00D46E4B"/>
    <w:rsid w:val="00D46E7F"/>
    <w:rsid w:val="00D46F5F"/>
    <w:rsid w:val="00D4705A"/>
    <w:rsid w:val="00D4706E"/>
    <w:rsid w:val="00D47158"/>
    <w:rsid w:val="00D47169"/>
    <w:rsid w:val="00D47198"/>
    <w:rsid w:val="00D4723B"/>
    <w:rsid w:val="00D472F0"/>
    <w:rsid w:val="00D4735E"/>
    <w:rsid w:val="00D47557"/>
    <w:rsid w:val="00D4763B"/>
    <w:rsid w:val="00D47645"/>
    <w:rsid w:val="00D4767A"/>
    <w:rsid w:val="00D47731"/>
    <w:rsid w:val="00D477AB"/>
    <w:rsid w:val="00D478F2"/>
    <w:rsid w:val="00D47AFD"/>
    <w:rsid w:val="00D47BC8"/>
    <w:rsid w:val="00D47C06"/>
    <w:rsid w:val="00D47C8B"/>
    <w:rsid w:val="00D47D47"/>
    <w:rsid w:val="00D47DB1"/>
    <w:rsid w:val="00D47DD6"/>
    <w:rsid w:val="00D47DFC"/>
    <w:rsid w:val="00D47E89"/>
    <w:rsid w:val="00D47FC1"/>
    <w:rsid w:val="00D5004B"/>
    <w:rsid w:val="00D500EF"/>
    <w:rsid w:val="00D500FB"/>
    <w:rsid w:val="00D50179"/>
    <w:rsid w:val="00D50189"/>
    <w:rsid w:val="00D501C6"/>
    <w:rsid w:val="00D502F3"/>
    <w:rsid w:val="00D50353"/>
    <w:rsid w:val="00D5040C"/>
    <w:rsid w:val="00D50461"/>
    <w:rsid w:val="00D50473"/>
    <w:rsid w:val="00D504FB"/>
    <w:rsid w:val="00D5053C"/>
    <w:rsid w:val="00D5060E"/>
    <w:rsid w:val="00D50679"/>
    <w:rsid w:val="00D506F6"/>
    <w:rsid w:val="00D507AB"/>
    <w:rsid w:val="00D508B9"/>
    <w:rsid w:val="00D508C3"/>
    <w:rsid w:val="00D50B7D"/>
    <w:rsid w:val="00D50BBE"/>
    <w:rsid w:val="00D50BD5"/>
    <w:rsid w:val="00D50C31"/>
    <w:rsid w:val="00D50E09"/>
    <w:rsid w:val="00D50E37"/>
    <w:rsid w:val="00D50E83"/>
    <w:rsid w:val="00D50EDB"/>
    <w:rsid w:val="00D50F27"/>
    <w:rsid w:val="00D50F64"/>
    <w:rsid w:val="00D50F8E"/>
    <w:rsid w:val="00D50FF0"/>
    <w:rsid w:val="00D51073"/>
    <w:rsid w:val="00D5112E"/>
    <w:rsid w:val="00D511D4"/>
    <w:rsid w:val="00D512D6"/>
    <w:rsid w:val="00D51318"/>
    <w:rsid w:val="00D513D9"/>
    <w:rsid w:val="00D51420"/>
    <w:rsid w:val="00D51437"/>
    <w:rsid w:val="00D51484"/>
    <w:rsid w:val="00D514AC"/>
    <w:rsid w:val="00D5157C"/>
    <w:rsid w:val="00D516CA"/>
    <w:rsid w:val="00D516F7"/>
    <w:rsid w:val="00D51710"/>
    <w:rsid w:val="00D51774"/>
    <w:rsid w:val="00D517F4"/>
    <w:rsid w:val="00D518B1"/>
    <w:rsid w:val="00D5197B"/>
    <w:rsid w:val="00D51A4F"/>
    <w:rsid w:val="00D51AB1"/>
    <w:rsid w:val="00D51B05"/>
    <w:rsid w:val="00D51B7B"/>
    <w:rsid w:val="00D51D37"/>
    <w:rsid w:val="00D51DE4"/>
    <w:rsid w:val="00D51DF5"/>
    <w:rsid w:val="00D52051"/>
    <w:rsid w:val="00D521CE"/>
    <w:rsid w:val="00D52205"/>
    <w:rsid w:val="00D52220"/>
    <w:rsid w:val="00D52258"/>
    <w:rsid w:val="00D52266"/>
    <w:rsid w:val="00D52331"/>
    <w:rsid w:val="00D524A8"/>
    <w:rsid w:val="00D5263A"/>
    <w:rsid w:val="00D526CF"/>
    <w:rsid w:val="00D5271F"/>
    <w:rsid w:val="00D527F4"/>
    <w:rsid w:val="00D52870"/>
    <w:rsid w:val="00D52875"/>
    <w:rsid w:val="00D5287E"/>
    <w:rsid w:val="00D52888"/>
    <w:rsid w:val="00D528AF"/>
    <w:rsid w:val="00D528BE"/>
    <w:rsid w:val="00D52900"/>
    <w:rsid w:val="00D52961"/>
    <w:rsid w:val="00D5297C"/>
    <w:rsid w:val="00D52980"/>
    <w:rsid w:val="00D529CA"/>
    <w:rsid w:val="00D52B1B"/>
    <w:rsid w:val="00D52B39"/>
    <w:rsid w:val="00D52BED"/>
    <w:rsid w:val="00D52D06"/>
    <w:rsid w:val="00D52D11"/>
    <w:rsid w:val="00D52D2A"/>
    <w:rsid w:val="00D52DAA"/>
    <w:rsid w:val="00D52DD5"/>
    <w:rsid w:val="00D52F2C"/>
    <w:rsid w:val="00D52F68"/>
    <w:rsid w:val="00D52FD3"/>
    <w:rsid w:val="00D530EE"/>
    <w:rsid w:val="00D5315C"/>
    <w:rsid w:val="00D5332B"/>
    <w:rsid w:val="00D53358"/>
    <w:rsid w:val="00D53369"/>
    <w:rsid w:val="00D53393"/>
    <w:rsid w:val="00D5341B"/>
    <w:rsid w:val="00D53439"/>
    <w:rsid w:val="00D53447"/>
    <w:rsid w:val="00D534A8"/>
    <w:rsid w:val="00D538E9"/>
    <w:rsid w:val="00D53915"/>
    <w:rsid w:val="00D53A1D"/>
    <w:rsid w:val="00D53A80"/>
    <w:rsid w:val="00D53AAD"/>
    <w:rsid w:val="00D53B80"/>
    <w:rsid w:val="00D53BFA"/>
    <w:rsid w:val="00D53CCD"/>
    <w:rsid w:val="00D53DE8"/>
    <w:rsid w:val="00D53EDF"/>
    <w:rsid w:val="00D53F26"/>
    <w:rsid w:val="00D53FF6"/>
    <w:rsid w:val="00D5402F"/>
    <w:rsid w:val="00D54075"/>
    <w:rsid w:val="00D54145"/>
    <w:rsid w:val="00D5434D"/>
    <w:rsid w:val="00D54455"/>
    <w:rsid w:val="00D544F3"/>
    <w:rsid w:val="00D54510"/>
    <w:rsid w:val="00D5459F"/>
    <w:rsid w:val="00D545F7"/>
    <w:rsid w:val="00D546D6"/>
    <w:rsid w:val="00D547A7"/>
    <w:rsid w:val="00D54831"/>
    <w:rsid w:val="00D54837"/>
    <w:rsid w:val="00D548D6"/>
    <w:rsid w:val="00D548D8"/>
    <w:rsid w:val="00D5490B"/>
    <w:rsid w:val="00D54955"/>
    <w:rsid w:val="00D54AA3"/>
    <w:rsid w:val="00D54B6C"/>
    <w:rsid w:val="00D54B78"/>
    <w:rsid w:val="00D54C7E"/>
    <w:rsid w:val="00D54D11"/>
    <w:rsid w:val="00D54DBB"/>
    <w:rsid w:val="00D54DD5"/>
    <w:rsid w:val="00D54E0D"/>
    <w:rsid w:val="00D54E37"/>
    <w:rsid w:val="00D54EBF"/>
    <w:rsid w:val="00D54EDD"/>
    <w:rsid w:val="00D550F6"/>
    <w:rsid w:val="00D55113"/>
    <w:rsid w:val="00D5512B"/>
    <w:rsid w:val="00D55247"/>
    <w:rsid w:val="00D55296"/>
    <w:rsid w:val="00D552BD"/>
    <w:rsid w:val="00D552EE"/>
    <w:rsid w:val="00D55371"/>
    <w:rsid w:val="00D5542F"/>
    <w:rsid w:val="00D555BC"/>
    <w:rsid w:val="00D555E4"/>
    <w:rsid w:val="00D55651"/>
    <w:rsid w:val="00D55684"/>
    <w:rsid w:val="00D557C8"/>
    <w:rsid w:val="00D55802"/>
    <w:rsid w:val="00D5592E"/>
    <w:rsid w:val="00D5596C"/>
    <w:rsid w:val="00D55B27"/>
    <w:rsid w:val="00D55C0B"/>
    <w:rsid w:val="00D55C13"/>
    <w:rsid w:val="00D55CCC"/>
    <w:rsid w:val="00D55D92"/>
    <w:rsid w:val="00D55DAA"/>
    <w:rsid w:val="00D55F5D"/>
    <w:rsid w:val="00D55F94"/>
    <w:rsid w:val="00D56012"/>
    <w:rsid w:val="00D560D4"/>
    <w:rsid w:val="00D560D6"/>
    <w:rsid w:val="00D5616F"/>
    <w:rsid w:val="00D56217"/>
    <w:rsid w:val="00D562ED"/>
    <w:rsid w:val="00D5646D"/>
    <w:rsid w:val="00D56475"/>
    <w:rsid w:val="00D5655C"/>
    <w:rsid w:val="00D565D6"/>
    <w:rsid w:val="00D5662F"/>
    <w:rsid w:val="00D56632"/>
    <w:rsid w:val="00D56651"/>
    <w:rsid w:val="00D56654"/>
    <w:rsid w:val="00D56692"/>
    <w:rsid w:val="00D56768"/>
    <w:rsid w:val="00D56815"/>
    <w:rsid w:val="00D568B6"/>
    <w:rsid w:val="00D56BAD"/>
    <w:rsid w:val="00D56C56"/>
    <w:rsid w:val="00D56C87"/>
    <w:rsid w:val="00D56CA6"/>
    <w:rsid w:val="00D56CC3"/>
    <w:rsid w:val="00D56D88"/>
    <w:rsid w:val="00D56E1C"/>
    <w:rsid w:val="00D56E33"/>
    <w:rsid w:val="00D56E72"/>
    <w:rsid w:val="00D56F27"/>
    <w:rsid w:val="00D56F4D"/>
    <w:rsid w:val="00D56F58"/>
    <w:rsid w:val="00D5700F"/>
    <w:rsid w:val="00D5702A"/>
    <w:rsid w:val="00D57068"/>
    <w:rsid w:val="00D570A4"/>
    <w:rsid w:val="00D570A5"/>
    <w:rsid w:val="00D57152"/>
    <w:rsid w:val="00D57189"/>
    <w:rsid w:val="00D571BF"/>
    <w:rsid w:val="00D571E1"/>
    <w:rsid w:val="00D57377"/>
    <w:rsid w:val="00D5739D"/>
    <w:rsid w:val="00D573F8"/>
    <w:rsid w:val="00D57651"/>
    <w:rsid w:val="00D576BB"/>
    <w:rsid w:val="00D57751"/>
    <w:rsid w:val="00D57769"/>
    <w:rsid w:val="00D577E4"/>
    <w:rsid w:val="00D577F2"/>
    <w:rsid w:val="00D5787F"/>
    <w:rsid w:val="00D578A2"/>
    <w:rsid w:val="00D579D7"/>
    <w:rsid w:val="00D57A75"/>
    <w:rsid w:val="00D57AF6"/>
    <w:rsid w:val="00D57B39"/>
    <w:rsid w:val="00D57B90"/>
    <w:rsid w:val="00D57C6F"/>
    <w:rsid w:val="00D57CB0"/>
    <w:rsid w:val="00D57DCA"/>
    <w:rsid w:val="00D57E1F"/>
    <w:rsid w:val="00D57E34"/>
    <w:rsid w:val="00D57FDB"/>
    <w:rsid w:val="00D60057"/>
    <w:rsid w:val="00D60125"/>
    <w:rsid w:val="00D60138"/>
    <w:rsid w:val="00D6017D"/>
    <w:rsid w:val="00D6019D"/>
    <w:rsid w:val="00D6028C"/>
    <w:rsid w:val="00D60332"/>
    <w:rsid w:val="00D60398"/>
    <w:rsid w:val="00D603D8"/>
    <w:rsid w:val="00D604D0"/>
    <w:rsid w:val="00D6058A"/>
    <w:rsid w:val="00D605CB"/>
    <w:rsid w:val="00D60668"/>
    <w:rsid w:val="00D60675"/>
    <w:rsid w:val="00D606B6"/>
    <w:rsid w:val="00D60721"/>
    <w:rsid w:val="00D6078D"/>
    <w:rsid w:val="00D607BA"/>
    <w:rsid w:val="00D607E2"/>
    <w:rsid w:val="00D60827"/>
    <w:rsid w:val="00D60924"/>
    <w:rsid w:val="00D60955"/>
    <w:rsid w:val="00D60978"/>
    <w:rsid w:val="00D60A40"/>
    <w:rsid w:val="00D60A60"/>
    <w:rsid w:val="00D60AB6"/>
    <w:rsid w:val="00D60AE7"/>
    <w:rsid w:val="00D60B76"/>
    <w:rsid w:val="00D60BD8"/>
    <w:rsid w:val="00D60C0B"/>
    <w:rsid w:val="00D60C0C"/>
    <w:rsid w:val="00D6100F"/>
    <w:rsid w:val="00D610BD"/>
    <w:rsid w:val="00D610CF"/>
    <w:rsid w:val="00D6110E"/>
    <w:rsid w:val="00D6112F"/>
    <w:rsid w:val="00D611B7"/>
    <w:rsid w:val="00D611DF"/>
    <w:rsid w:val="00D61236"/>
    <w:rsid w:val="00D6125E"/>
    <w:rsid w:val="00D613A0"/>
    <w:rsid w:val="00D614BB"/>
    <w:rsid w:val="00D61528"/>
    <w:rsid w:val="00D61596"/>
    <w:rsid w:val="00D615AE"/>
    <w:rsid w:val="00D615C8"/>
    <w:rsid w:val="00D61638"/>
    <w:rsid w:val="00D6164A"/>
    <w:rsid w:val="00D61681"/>
    <w:rsid w:val="00D61797"/>
    <w:rsid w:val="00D617CE"/>
    <w:rsid w:val="00D617F4"/>
    <w:rsid w:val="00D61803"/>
    <w:rsid w:val="00D618E4"/>
    <w:rsid w:val="00D61930"/>
    <w:rsid w:val="00D61A4C"/>
    <w:rsid w:val="00D61AFE"/>
    <w:rsid w:val="00D61B57"/>
    <w:rsid w:val="00D61C14"/>
    <w:rsid w:val="00D61C15"/>
    <w:rsid w:val="00D61C70"/>
    <w:rsid w:val="00D61D53"/>
    <w:rsid w:val="00D61EAF"/>
    <w:rsid w:val="00D61F37"/>
    <w:rsid w:val="00D61F7F"/>
    <w:rsid w:val="00D61F8A"/>
    <w:rsid w:val="00D6215D"/>
    <w:rsid w:val="00D62180"/>
    <w:rsid w:val="00D6223C"/>
    <w:rsid w:val="00D6226B"/>
    <w:rsid w:val="00D6234D"/>
    <w:rsid w:val="00D62367"/>
    <w:rsid w:val="00D62372"/>
    <w:rsid w:val="00D623A9"/>
    <w:rsid w:val="00D6247D"/>
    <w:rsid w:val="00D624D7"/>
    <w:rsid w:val="00D62600"/>
    <w:rsid w:val="00D62613"/>
    <w:rsid w:val="00D62650"/>
    <w:rsid w:val="00D627A8"/>
    <w:rsid w:val="00D627E6"/>
    <w:rsid w:val="00D62825"/>
    <w:rsid w:val="00D628C7"/>
    <w:rsid w:val="00D62935"/>
    <w:rsid w:val="00D6296C"/>
    <w:rsid w:val="00D62BA0"/>
    <w:rsid w:val="00D62BA2"/>
    <w:rsid w:val="00D62BD5"/>
    <w:rsid w:val="00D62BF4"/>
    <w:rsid w:val="00D62C4B"/>
    <w:rsid w:val="00D62D2A"/>
    <w:rsid w:val="00D62DC5"/>
    <w:rsid w:val="00D62E47"/>
    <w:rsid w:val="00D62E52"/>
    <w:rsid w:val="00D62F70"/>
    <w:rsid w:val="00D63004"/>
    <w:rsid w:val="00D63102"/>
    <w:rsid w:val="00D63113"/>
    <w:rsid w:val="00D63171"/>
    <w:rsid w:val="00D634D5"/>
    <w:rsid w:val="00D634FD"/>
    <w:rsid w:val="00D6351A"/>
    <w:rsid w:val="00D6352D"/>
    <w:rsid w:val="00D6363D"/>
    <w:rsid w:val="00D636D5"/>
    <w:rsid w:val="00D637D9"/>
    <w:rsid w:val="00D637F5"/>
    <w:rsid w:val="00D63967"/>
    <w:rsid w:val="00D63980"/>
    <w:rsid w:val="00D63A16"/>
    <w:rsid w:val="00D63C29"/>
    <w:rsid w:val="00D63C36"/>
    <w:rsid w:val="00D63C7E"/>
    <w:rsid w:val="00D63CC8"/>
    <w:rsid w:val="00D63CF2"/>
    <w:rsid w:val="00D63D8D"/>
    <w:rsid w:val="00D63DCA"/>
    <w:rsid w:val="00D63DCB"/>
    <w:rsid w:val="00D63F1E"/>
    <w:rsid w:val="00D63F36"/>
    <w:rsid w:val="00D63F55"/>
    <w:rsid w:val="00D63F7C"/>
    <w:rsid w:val="00D640F7"/>
    <w:rsid w:val="00D6417D"/>
    <w:rsid w:val="00D642D2"/>
    <w:rsid w:val="00D6438B"/>
    <w:rsid w:val="00D643D6"/>
    <w:rsid w:val="00D644C9"/>
    <w:rsid w:val="00D64537"/>
    <w:rsid w:val="00D64601"/>
    <w:rsid w:val="00D6460A"/>
    <w:rsid w:val="00D646A0"/>
    <w:rsid w:val="00D64791"/>
    <w:rsid w:val="00D6480E"/>
    <w:rsid w:val="00D64829"/>
    <w:rsid w:val="00D6485C"/>
    <w:rsid w:val="00D6492B"/>
    <w:rsid w:val="00D64A21"/>
    <w:rsid w:val="00D64A53"/>
    <w:rsid w:val="00D64A8D"/>
    <w:rsid w:val="00D64B64"/>
    <w:rsid w:val="00D64B7C"/>
    <w:rsid w:val="00D64BEE"/>
    <w:rsid w:val="00D64C26"/>
    <w:rsid w:val="00D64C93"/>
    <w:rsid w:val="00D64CBB"/>
    <w:rsid w:val="00D64D6E"/>
    <w:rsid w:val="00D64E5C"/>
    <w:rsid w:val="00D64E87"/>
    <w:rsid w:val="00D64F09"/>
    <w:rsid w:val="00D64FD7"/>
    <w:rsid w:val="00D65180"/>
    <w:rsid w:val="00D65289"/>
    <w:rsid w:val="00D652E5"/>
    <w:rsid w:val="00D652F2"/>
    <w:rsid w:val="00D65321"/>
    <w:rsid w:val="00D65328"/>
    <w:rsid w:val="00D653F9"/>
    <w:rsid w:val="00D6544A"/>
    <w:rsid w:val="00D654FC"/>
    <w:rsid w:val="00D656EA"/>
    <w:rsid w:val="00D656F2"/>
    <w:rsid w:val="00D65751"/>
    <w:rsid w:val="00D65795"/>
    <w:rsid w:val="00D657AF"/>
    <w:rsid w:val="00D65859"/>
    <w:rsid w:val="00D6592B"/>
    <w:rsid w:val="00D6595A"/>
    <w:rsid w:val="00D65962"/>
    <w:rsid w:val="00D6596E"/>
    <w:rsid w:val="00D659BB"/>
    <w:rsid w:val="00D65A8A"/>
    <w:rsid w:val="00D65B14"/>
    <w:rsid w:val="00D65BDE"/>
    <w:rsid w:val="00D65CB4"/>
    <w:rsid w:val="00D65CFB"/>
    <w:rsid w:val="00D65D74"/>
    <w:rsid w:val="00D65E2C"/>
    <w:rsid w:val="00D65E41"/>
    <w:rsid w:val="00D65E7C"/>
    <w:rsid w:val="00D65E81"/>
    <w:rsid w:val="00D65E87"/>
    <w:rsid w:val="00D65F30"/>
    <w:rsid w:val="00D65F82"/>
    <w:rsid w:val="00D65FFC"/>
    <w:rsid w:val="00D6605D"/>
    <w:rsid w:val="00D6615E"/>
    <w:rsid w:val="00D661FD"/>
    <w:rsid w:val="00D6628E"/>
    <w:rsid w:val="00D662CA"/>
    <w:rsid w:val="00D6635F"/>
    <w:rsid w:val="00D663A3"/>
    <w:rsid w:val="00D663A4"/>
    <w:rsid w:val="00D663E5"/>
    <w:rsid w:val="00D664F5"/>
    <w:rsid w:val="00D66555"/>
    <w:rsid w:val="00D6663B"/>
    <w:rsid w:val="00D66756"/>
    <w:rsid w:val="00D66871"/>
    <w:rsid w:val="00D669E3"/>
    <w:rsid w:val="00D66ABB"/>
    <w:rsid w:val="00D66AD5"/>
    <w:rsid w:val="00D66B6F"/>
    <w:rsid w:val="00D66B98"/>
    <w:rsid w:val="00D66D7C"/>
    <w:rsid w:val="00D66F15"/>
    <w:rsid w:val="00D66FE4"/>
    <w:rsid w:val="00D6706A"/>
    <w:rsid w:val="00D670ED"/>
    <w:rsid w:val="00D67104"/>
    <w:rsid w:val="00D6711D"/>
    <w:rsid w:val="00D6719D"/>
    <w:rsid w:val="00D671F0"/>
    <w:rsid w:val="00D672B4"/>
    <w:rsid w:val="00D672F9"/>
    <w:rsid w:val="00D6758C"/>
    <w:rsid w:val="00D675E5"/>
    <w:rsid w:val="00D67609"/>
    <w:rsid w:val="00D67631"/>
    <w:rsid w:val="00D6766F"/>
    <w:rsid w:val="00D6769B"/>
    <w:rsid w:val="00D676DD"/>
    <w:rsid w:val="00D67751"/>
    <w:rsid w:val="00D678DF"/>
    <w:rsid w:val="00D6791F"/>
    <w:rsid w:val="00D67929"/>
    <w:rsid w:val="00D67A03"/>
    <w:rsid w:val="00D67AB0"/>
    <w:rsid w:val="00D67C99"/>
    <w:rsid w:val="00D67D01"/>
    <w:rsid w:val="00D67D12"/>
    <w:rsid w:val="00D67DF2"/>
    <w:rsid w:val="00D67FC5"/>
    <w:rsid w:val="00D70108"/>
    <w:rsid w:val="00D7013B"/>
    <w:rsid w:val="00D701B5"/>
    <w:rsid w:val="00D70327"/>
    <w:rsid w:val="00D70420"/>
    <w:rsid w:val="00D7044B"/>
    <w:rsid w:val="00D70473"/>
    <w:rsid w:val="00D70474"/>
    <w:rsid w:val="00D7056F"/>
    <w:rsid w:val="00D70656"/>
    <w:rsid w:val="00D7075A"/>
    <w:rsid w:val="00D707AA"/>
    <w:rsid w:val="00D7086B"/>
    <w:rsid w:val="00D708F4"/>
    <w:rsid w:val="00D70A13"/>
    <w:rsid w:val="00D70A2C"/>
    <w:rsid w:val="00D70A48"/>
    <w:rsid w:val="00D70A79"/>
    <w:rsid w:val="00D70A9B"/>
    <w:rsid w:val="00D70C3E"/>
    <w:rsid w:val="00D70CA5"/>
    <w:rsid w:val="00D70CFD"/>
    <w:rsid w:val="00D70D36"/>
    <w:rsid w:val="00D70DA9"/>
    <w:rsid w:val="00D70E91"/>
    <w:rsid w:val="00D70ECD"/>
    <w:rsid w:val="00D70F7D"/>
    <w:rsid w:val="00D70FE8"/>
    <w:rsid w:val="00D71100"/>
    <w:rsid w:val="00D7116A"/>
    <w:rsid w:val="00D7122F"/>
    <w:rsid w:val="00D7129F"/>
    <w:rsid w:val="00D712FD"/>
    <w:rsid w:val="00D7130C"/>
    <w:rsid w:val="00D71427"/>
    <w:rsid w:val="00D71674"/>
    <w:rsid w:val="00D716F0"/>
    <w:rsid w:val="00D7172B"/>
    <w:rsid w:val="00D7179B"/>
    <w:rsid w:val="00D718BB"/>
    <w:rsid w:val="00D71A57"/>
    <w:rsid w:val="00D71AD1"/>
    <w:rsid w:val="00D71AFE"/>
    <w:rsid w:val="00D71B41"/>
    <w:rsid w:val="00D71B60"/>
    <w:rsid w:val="00D71BBE"/>
    <w:rsid w:val="00D71C04"/>
    <w:rsid w:val="00D71C19"/>
    <w:rsid w:val="00D71CAC"/>
    <w:rsid w:val="00D71CEF"/>
    <w:rsid w:val="00D71E4A"/>
    <w:rsid w:val="00D71F5B"/>
    <w:rsid w:val="00D720A3"/>
    <w:rsid w:val="00D72104"/>
    <w:rsid w:val="00D72201"/>
    <w:rsid w:val="00D72290"/>
    <w:rsid w:val="00D722F2"/>
    <w:rsid w:val="00D72355"/>
    <w:rsid w:val="00D72411"/>
    <w:rsid w:val="00D7245B"/>
    <w:rsid w:val="00D724AD"/>
    <w:rsid w:val="00D725B5"/>
    <w:rsid w:val="00D725BA"/>
    <w:rsid w:val="00D72600"/>
    <w:rsid w:val="00D72881"/>
    <w:rsid w:val="00D72916"/>
    <w:rsid w:val="00D729CE"/>
    <w:rsid w:val="00D729D9"/>
    <w:rsid w:val="00D729DA"/>
    <w:rsid w:val="00D72B51"/>
    <w:rsid w:val="00D72B6F"/>
    <w:rsid w:val="00D72BC1"/>
    <w:rsid w:val="00D72D59"/>
    <w:rsid w:val="00D72DCE"/>
    <w:rsid w:val="00D72DED"/>
    <w:rsid w:val="00D72E12"/>
    <w:rsid w:val="00D72F32"/>
    <w:rsid w:val="00D72F9B"/>
    <w:rsid w:val="00D72FDC"/>
    <w:rsid w:val="00D72FE3"/>
    <w:rsid w:val="00D73074"/>
    <w:rsid w:val="00D731E7"/>
    <w:rsid w:val="00D73227"/>
    <w:rsid w:val="00D7326D"/>
    <w:rsid w:val="00D732D9"/>
    <w:rsid w:val="00D73340"/>
    <w:rsid w:val="00D73358"/>
    <w:rsid w:val="00D733CF"/>
    <w:rsid w:val="00D733E7"/>
    <w:rsid w:val="00D73400"/>
    <w:rsid w:val="00D73419"/>
    <w:rsid w:val="00D734DD"/>
    <w:rsid w:val="00D73540"/>
    <w:rsid w:val="00D73577"/>
    <w:rsid w:val="00D735DF"/>
    <w:rsid w:val="00D7360A"/>
    <w:rsid w:val="00D736FE"/>
    <w:rsid w:val="00D7388C"/>
    <w:rsid w:val="00D73AD0"/>
    <w:rsid w:val="00D73BB8"/>
    <w:rsid w:val="00D73BE6"/>
    <w:rsid w:val="00D73C46"/>
    <w:rsid w:val="00D73CC9"/>
    <w:rsid w:val="00D73CF4"/>
    <w:rsid w:val="00D73EB9"/>
    <w:rsid w:val="00D73F7B"/>
    <w:rsid w:val="00D74041"/>
    <w:rsid w:val="00D7407C"/>
    <w:rsid w:val="00D740EA"/>
    <w:rsid w:val="00D740F7"/>
    <w:rsid w:val="00D741D3"/>
    <w:rsid w:val="00D74238"/>
    <w:rsid w:val="00D7423C"/>
    <w:rsid w:val="00D743DD"/>
    <w:rsid w:val="00D743DF"/>
    <w:rsid w:val="00D744BF"/>
    <w:rsid w:val="00D745B8"/>
    <w:rsid w:val="00D74694"/>
    <w:rsid w:val="00D746C7"/>
    <w:rsid w:val="00D74751"/>
    <w:rsid w:val="00D7475C"/>
    <w:rsid w:val="00D7482D"/>
    <w:rsid w:val="00D7488D"/>
    <w:rsid w:val="00D748A4"/>
    <w:rsid w:val="00D74937"/>
    <w:rsid w:val="00D74942"/>
    <w:rsid w:val="00D74973"/>
    <w:rsid w:val="00D74C7D"/>
    <w:rsid w:val="00D74EA6"/>
    <w:rsid w:val="00D75107"/>
    <w:rsid w:val="00D751C7"/>
    <w:rsid w:val="00D75270"/>
    <w:rsid w:val="00D75286"/>
    <w:rsid w:val="00D75404"/>
    <w:rsid w:val="00D75416"/>
    <w:rsid w:val="00D75428"/>
    <w:rsid w:val="00D7546E"/>
    <w:rsid w:val="00D7550E"/>
    <w:rsid w:val="00D75565"/>
    <w:rsid w:val="00D75573"/>
    <w:rsid w:val="00D75591"/>
    <w:rsid w:val="00D75612"/>
    <w:rsid w:val="00D75745"/>
    <w:rsid w:val="00D75814"/>
    <w:rsid w:val="00D75868"/>
    <w:rsid w:val="00D7586F"/>
    <w:rsid w:val="00D7592E"/>
    <w:rsid w:val="00D75993"/>
    <w:rsid w:val="00D75A05"/>
    <w:rsid w:val="00D75B9F"/>
    <w:rsid w:val="00D75C5C"/>
    <w:rsid w:val="00D75C9B"/>
    <w:rsid w:val="00D75CE4"/>
    <w:rsid w:val="00D75D18"/>
    <w:rsid w:val="00D75D46"/>
    <w:rsid w:val="00D75D78"/>
    <w:rsid w:val="00D75DCA"/>
    <w:rsid w:val="00D75E12"/>
    <w:rsid w:val="00D75E89"/>
    <w:rsid w:val="00D75E9B"/>
    <w:rsid w:val="00D75F46"/>
    <w:rsid w:val="00D75FCB"/>
    <w:rsid w:val="00D760D4"/>
    <w:rsid w:val="00D761EB"/>
    <w:rsid w:val="00D7628E"/>
    <w:rsid w:val="00D7635A"/>
    <w:rsid w:val="00D763E5"/>
    <w:rsid w:val="00D76547"/>
    <w:rsid w:val="00D76650"/>
    <w:rsid w:val="00D76663"/>
    <w:rsid w:val="00D7689C"/>
    <w:rsid w:val="00D768F3"/>
    <w:rsid w:val="00D76A65"/>
    <w:rsid w:val="00D76AB7"/>
    <w:rsid w:val="00D76B55"/>
    <w:rsid w:val="00D76BE4"/>
    <w:rsid w:val="00D76C39"/>
    <w:rsid w:val="00D76C69"/>
    <w:rsid w:val="00D76DA6"/>
    <w:rsid w:val="00D76EDA"/>
    <w:rsid w:val="00D76F4C"/>
    <w:rsid w:val="00D76F79"/>
    <w:rsid w:val="00D7707E"/>
    <w:rsid w:val="00D771B4"/>
    <w:rsid w:val="00D771BC"/>
    <w:rsid w:val="00D7729D"/>
    <w:rsid w:val="00D772B4"/>
    <w:rsid w:val="00D772FC"/>
    <w:rsid w:val="00D77338"/>
    <w:rsid w:val="00D77345"/>
    <w:rsid w:val="00D77433"/>
    <w:rsid w:val="00D7749D"/>
    <w:rsid w:val="00D775AE"/>
    <w:rsid w:val="00D77734"/>
    <w:rsid w:val="00D777E0"/>
    <w:rsid w:val="00D77819"/>
    <w:rsid w:val="00D77883"/>
    <w:rsid w:val="00D7789E"/>
    <w:rsid w:val="00D77944"/>
    <w:rsid w:val="00D779B8"/>
    <w:rsid w:val="00D779EA"/>
    <w:rsid w:val="00D77C1D"/>
    <w:rsid w:val="00D77C78"/>
    <w:rsid w:val="00D77DDB"/>
    <w:rsid w:val="00D77DFE"/>
    <w:rsid w:val="00D77E0F"/>
    <w:rsid w:val="00D77E3E"/>
    <w:rsid w:val="00D77F32"/>
    <w:rsid w:val="00D77F42"/>
    <w:rsid w:val="00D77FD2"/>
    <w:rsid w:val="00D8003E"/>
    <w:rsid w:val="00D8006E"/>
    <w:rsid w:val="00D800EE"/>
    <w:rsid w:val="00D80241"/>
    <w:rsid w:val="00D8025C"/>
    <w:rsid w:val="00D802A9"/>
    <w:rsid w:val="00D802F6"/>
    <w:rsid w:val="00D803F6"/>
    <w:rsid w:val="00D80403"/>
    <w:rsid w:val="00D8044F"/>
    <w:rsid w:val="00D8048C"/>
    <w:rsid w:val="00D80494"/>
    <w:rsid w:val="00D80516"/>
    <w:rsid w:val="00D80591"/>
    <w:rsid w:val="00D80608"/>
    <w:rsid w:val="00D80718"/>
    <w:rsid w:val="00D80738"/>
    <w:rsid w:val="00D807EF"/>
    <w:rsid w:val="00D808BA"/>
    <w:rsid w:val="00D8094D"/>
    <w:rsid w:val="00D80954"/>
    <w:rsid w:val="00D80A00"/>
    <w:rsid w:val="00D80A81"/>
    <w:rsid w:val="00D80BEB"/>
    <w:rsid w:val="00D80C13"/>
    <w:rsid w:val="00D80C61"/>
    <w:rsid w:val="00D80C8C"/>
    <w:rsid w:val="00D80CDD"/>
    <w:rsid w:val="00D80D1A"/>
    <w:rsid w:val="00D80E87"/>
    <w:rsid w:val="00D80EA4"/>
    <w:rsid w:val="00D80FE4"/>
    <w:rsid w:val="00D81025"/>
    <w:rsid w:val="00D81077"/>
    <w:rsid w:val="00D8109C"/>
    <w:rsid w:val="00D810F7"/>
    <w:rsid w:val="00D811F4"/>
    <w:rsid w:val="00D81226"/>
    <w:rsid w:val="00D8126A"/>
    <w:rsid w:val="00D812C9"/>
    <w:rsid w:val="00D814E5"/>
    <w:rsid w:val="00D8150D"/>
    <w:rsid w:val="00D81672"/>
    <w:rsid w:val="00D816F9"/>
    <w:rsid w:val="00D8184B"/>
    <w:rsid w:val="00D81891"/>
    <w:rsid w:val="00D818BF"/>
    <w:rsid w:val="00D818C9"/>
    <w:rsid w:val="00D818D0"/>
    <w:rsid w:val="00D81906"/>
    <w:rsid w:val="00D81941"/>
    <w:rsid w:val="00D819ED"/>
    <w:rsid w:val="00D819F4"/>
    <w:rsid w:val="00D81A32"/>
    <w:rsid w:val="00D81A39"/>
    <w:rsid w:val="00D81B10"/>
    <w:rsid w:val="00D81BA2"/>
    <w:rsid w:val="00D81C32"/>
    <w:rsid w:val="00D81C76"/>
    <w:rsid w:val="00D81D5E"/>
    <w:rsid w:val="00D81DB5"/>
    <w:rsid w:val="00D81DE3"/>
    <w:rsid w:val="00D81E7B"/>
    <w:rsid w:val="00D81EF8"/>
    <w:rsid w:val="00D81F62"/>
    <w:rsid w:val="00D8206D"/>
    <w:rsid w:val="00D8207F"/>
    <w:rsid w:val="00D82125"/>
    <w:rsid w:val="00D82148"/>
    <w:rsid w:val="00D82192"/>
    <w:rsid w:val="00D821AF"/>
    <w:rsid w:val="00D82229"/>
    <w:rsid w:val="00D82263"/>
    <w:rsid w:val="00D82284"/>
    <w:rsid w:val="00D82381"/>
    <w:rsid w:val="00D824B9"/>
    <w:rsid w:val="00D824D1"/>
    <w:rsid w:val="00D8253D"/>
    <w:rsid w:val="00D82553"/>
    <w:rsid w:val="00D825CE"/>
    <w:rsid w:val="00D8261A"/>
    <w:rsid w:val="00D8269F"/>
    <w:rsid w:val="00D826C2"/>
    <w:rsid w:val="00D8277D"/>
    <w:rsid w:val="00D82785"/>
    <w:rsid w:val="00D827CE"/>
    <w:rsid w:val="00D8280E"/>
    <w:rsid w:val="00D82867"/>
    <w:rsid w:val="00D8287D"/>
    <w:rsid w:val="00D82883"/>
    <w:rsid w:val="00D829CC"/>
    <w:rsid w:val="00D829FB"/>
    <w:rsid w:val="00D82B01"/>
    <w:rsid w:val="00D82C3F"/>
    <w:rsid w:val="00D82D17"/>
    <w:rsid w:val="00D82D37"/>
    <w:rsid w:val="00D82D59"/>
    <w:rsid w:val="00D82DFB"/>
    <w:rsid w:val="00D82FDE"/>
    <w:rsid w:val="00D82FE0"/>
    <w:rsid w:val="00D83096"/>
    <w:rsid w:val="00D830C3"/>
    <w:rsid w:val="00D832C1"/>
    <w:rsid w:val="00D83349"/>
    <w:rsid w:val="00D8334E"/>
    <w:rsid w:val="00D83444"/>
    <w:rsid w:val="00D83476"/>
    <w:rsid w:val="00D83493"/>
    <w:rsid w:val="00D834A3"/>
    <w:rsid w:val="00D834BA"/>
    <w:rsid w:val="00D834F2"/>
    <w:rsid w:val="00D83523"/>
    <w:rsid w:val="00D83575"/>
    <w:rsid w:val="00D83593"/>
    <w:rsid w:val="00D835D4"/>
    <w:rsid w:val="00D8360A"/>
    <w:rsid w:val="00D83618"/>
    <w:rsid w:val="00D83660"/>
    <w:rsid w:val="00D836DF"/>
    <w:rsid w:val="00D83715"/>
    <w:rsid w:val="00D83744"/>
    <w:rsid w:val="00D8379B"/>
    <w:rsid w:val="00D837FD"/>
    <w:rsid w:val="00D837FF"/>
    <w:rsid w:val="00D8380C"/>
    <w:rsid w:val="00D83862"/>
    <w:rsid w:val="00D8395D"/>
    <w:rsid w:val="00D83998"/>
    <w:rsid w:val="00D839C9"/>
    <w:rsid w:val="00D83A53"/>
    <w:rsid w:val="00D83AA2"/>
    <w:rsid w:val="00D83B90"/>
    <w:rsid w:val="00D83BEB"/>
    <w:rsid w:val="00D83C57"/>
    <w:rsid w:val="00D83C8C"/>
    <w:rsid w:val="00D83D1E"/>
    <w:rsid w:val="00D83D6A"/>
    <w:rsid w:val="00D83F52"/>
    <w:rsid w:val="00D83FA4"/>
    <w:rsid w:val="00D8402B"/>
    <w:rsid w:val="00D84158"/>
    <w:rsid w:val="00D84175"/>
    <w:rsid w:val="00D84185"/>
    <w:rsid w:val="00D8429D"/>
    <w:rsid w:val="00D842B7"/>
    <w:rsid w:val="00D842EF"/>
    <w:rsid w:val="00D84320"/>
    <w:rsid w:val="00D8441F"/>
    <w:rsid w:val="00D8443F"/>
    <w:rsid w:val="00D8456B"/>
    <w:rsid w:val="00D845B7"/>
    <w:rsid w:val="00D84685"/>
    <w:rsid w:val="00D846BD"/>
    <w:rsid w:val="00D846F6"/>
    <w:rsid w:val="00D84726"/>
    <w:rsid w:val="00D8476D"/>
    <w:rsid w:val="00D84776"/>
    <w:rsid w:val="00D847C5"/>
    <w:rsid w:val="00D847FA"/>
    <w:rsid w:val="00D84897"/>
    <w:rsid w:val="00D84931"/>
    <w:rsid w:val="00D84A3F"/>
    <w:rsid w:val="00D84A45"/>
    <w:rsid w:val="00D84AC6"/>
    <w:rsid w:val="00D84ADD"/>
    <w:rsid w:val="00D84BD4"/>
    <w:rsid w:val="00D84C96"/>
    <w:rsid w:val="00D84D8B"/>
    <w:rsid w:val="00D84DD1"/>
    <w:rsid w:val="00D84E8D"/>
    <w:rsid w:val="00D84F0F"/>
    <w:rsid w:val="00D84F5A"/>
    <w:rsid w:val="00D84FBA"/>
    <w:rsid w:val="00D85064"/>
    <w:rsid w:val="00D852C3"/>
    <w:rsid w:val="00D85341"/>
    <w:rsid w:val="00D85631"/>
    <w:rsid w:val="00D856F5"/>
    <w:rsid w:val="00D85744"/>
    <w:rsid w:val="00D85883"/>
    <w:rsid w:val="00D858C8"/>
    <w:rsid w:val="00D85939"/>
    <w:rsid w:val="00D8595F"/>
    <w:rsid w:val="00D859AB"/>
    <w:rsid w:val="00D85A86"/>
    <w:rsid w:val="00D85B50"/>
    <w:rsid w:val="00D85B73"/>
    <w:rsid w:val="00D85BCA"/>
    <w:rsid w:val="00D85BD1"/>
    <w:rsid w:val="00D85BD4"/>
    <w:rsid w:val="00D85C3D"/>
    <w:rsid w:val="00D85C81"/>
    <w:rsid w:val="00D85CF4"/>
    <w:rsid w:val="00D85E44"/>
    <w:rsid w:val="00D85E6A"/>
    <w:rsid w:val="00D85F1C"/>
    <w:rsid w:val="00D85FA4"/>
    <w:rsid w:val="00D85FE1"/>
    <w:rsid w:val="00D8600D"/>
    <w:rsid w:val="00D8603F"/>
    <w:rsid w:val="00D860D8"/>
    <w:rsid w:val="00D860EC"/>
    <w:rsid w:val="00D86148"/>
    <w:rsid w:val="00D86163"/>
    <w:rsid w:val="00D861F0"/>
    <w:rsid w:val="00D8632A"/>
    <w:rsid w:val="00D86365"/>
    <w:rsid w:val="00D86406"/>
    <w:rsid w:val="00D86559"/>
    <w:rsid w:val="00D8658D"/>
    <w:rsid w:val="00D865A8"/>
    <w:rsid w:val="00D865CB"/>
    <w:rsid w:val="00D865DF"/>
    <w:rsid w:val="00D865F3"/>
    <w:rsid w:val="00D8669D"/>
    <w:rsid w:val="00D86AF6"/>
    <w:rsid w:val="00D86B6E"/>
    <w:rsid w:val="00D86C76"/>
    <w:rsid w:val="00D86CE8"/>
    <w:rsid w:val="00D86D55"/>
    <w:rsid w:val="00D86F1F"/>
    <w:rsid w:val="00D87080"/>
    <w:rsid w:val="00D8717F"/>
    <w:rsid w:val="00D871A0"/>
    <w:rsid w:val="00D871E3"/>
    <w:rsid w:val="00D8722D"/>
    <w:rsid w:val="00D87261"/>
    <w:rsid w:val="00D87279"/>
    <w:rsid w:val="00D872AB"/>
    <w:rsid w:val="00D8733F"/>
    <w:rsid w:val="00D87410"/>
    <w:rsid w:val="00D874B5"/>
    <w:rsid w:val="00D87519"/>
    <w:rsid w:val="00D87566"/>
    <w:rsid w:val="00D8757E"/>
    <w:rsid w:val="00D875E6"/>
    <w:rsid w:val="00D8765C"/>
    <w:rsid w:val="00D8768E"/>
    <w:rsid w:val="00D8769C"/>
    <w:rsid w:val="00D876C8"/>
    <w:rsid w:val="00D87749"/>
    <w:rsid w:val="00D87A2D"/>
    <w:rsid w:val="00D87A65"/>
    <w:rsid w:val="00D87AC7"/>
    <w:rsid w:val="00D87AE3"/>
    <w:rsid w:val="00D87B0A"/>
    <w:rsid w:val="00D87C02"/>
    <w:rsid w:val="00D87C42"/>
    <w:rsid w:val="00D87CD6"/>
    <w:rsid w:val="00D87CDB"/>
    <w:rsid w:val="00D87D0F"/>
    <w:rsid w:val="00D87D11"/>
    <w:rsid w:val="00D87D3C"/>
    <w:rsid w:val="00D87D53"/>
    <w:rsid w:val="00D87DB5"/>
    <w:rsid w:val="00D87DDB"/>
    <w:rsid w:val="00D87ECA"/>
    <w:rsid w:val="00D90000"/>
    <w:rsid w:val="00D9000F"/>
    <w:rsid w:val="00D90044"/>
    <w:rsid w:val="00D9009B"/>
    <w:rsid w:val="00D900C7"/>
    <w:rsid w:val="00D9012E"/>
    <w:rsid w:val="00D90174"/>
    <w:rsid w:val="00D901A0"/>
    <w:rsid w:val="00D901E2"/>
    <w:rsid w:val="00D90220"/>
    <w:rsid w:val="00D90226"/>
    <w:rsid w:val="00D9024C"/>
    <w:rsid w:val="00D90275"/>
    <w:rsid w:val="00D902D3"/>
    <w:rsid w:val="00D9043F"/>
    <w:rsid w:val="00D904E4"/>
    <w:rsid w:val="00D90500"/>
    <w:rsid w:val="00D9059B"/>
    <w:rsid w:val="00D905B0"/>
    <w:rsid w:val="00D905CC"/>
    <w:rsid w:val="00D9064F"/>
    <w:rsid w:val="00D9065A"/>
    <w:rsid w:val="00D906CB"/>
    <w:rsid w:val="00D906FD"/>
    <w:rsid w:val="00D907B6"/>
    <w:rsid w:val="00D907BB"/>
    <w:rsid w:val="00D908EB"/>
    <w:rsid w:val="00D90930"/>
    <w:rsid w:val="00D90953"/>
    <w:rsid w:val="00D90984"/>
    <w:rsid w:val="00D90A20"/>
    <w:rsid w:val="00D90A36"/>
    <w:rsid w:val="00D90B03"/>
    <w:rsid w:val="00D90B38"/>
    <w:rsid w:val="00D90B48"/>
    <w:rsid w:val="00D90C52"/>
    <w:rsid w:val="00D90CC5"/>
    <w:rsid w:val="00D90DB6"/>
    <w:rsid w:val="00D90E63"/>
    <w:rsid w:val="00D90E8F"/>
    <w:rsid w:val="00D90FB4"/>
    <w:rsid w:val="00D9104D"/>
    <w:rsid w:val="00D91121"/>
    <w:rsid w:val="00D91200"/>
    <w:rsid w:val="00D91248"/>
    <w:rsid w:val="00D91256"/>
    <w:rsid w:val="00D9128E"/>
    <w:rsid w:val="00D912B3"/>
    <w:rsid w:val="00D91357"/>
    <w:rsid w:val="00D91503"/>
    <w:rsid w:val="00D91505"/>
    <w:rsid w:val="00D91530"/>
    <w:rsid w:val="00D9161D"/>
    <w:rsid w:val="00D91661"/>
    <w:rsid w:val="00D91673"/>
    <w:rsid w:val="00D918A7"/>
    <w:rsid w:val="00D9192F"/>
    <w:rsid w:val="00D919B8"/>
    <w:rsid w:val="00D919BD"/>
    <w:rsid w:val="00D919CF"/>
    <w:rsid w:val="00D91A26"/>
    <w:rsid w:val="00D91A82"/>
    <w:rsid w:val="00D91AA7"/>
    <w:rsid w:val="00D91AA8"/>
    <w:rsid w:val="00D91AAB"/>
    <w:rsid w:val="00D91CB0"/>
    <w:rsid w:val="00D91D04"/>
    <w:rsid w:val="00D91DCF"/>
    <w:rsid w:val="00D91E1B"/>
    <w:rsid w:val="00D91EC2"/>
    <w:rsid w:val="00D92000"/>
    <w:rsid w:val="00D92067"/>
    <w:rsid w:val="00D9209E"/>
    <w:rsid w:val="00D920C1"/>
    <w:rsid w:val="00D92109"/>
    <w:rsid w:val="00D92129"/>
    <w:rsid w:val="00D92182"/>
    <w:rsid w:val="00D9224C"/>
    <w:rsid w:val="00D9226D"/>
    <w:rsid w:val="00D92294"/>
    <w:rsid w:val="00D922DF"/>
    <w:rsid w:val="00D922EA"/>
    <w:rsid w:val="00D92354"/>
    <w:rsid w:val="00D9244E"/>
    <w:rsid w:val="00D924BC"/>
    <w:rsid w:val="00D9256C"/>
    <w:rsid w:val="00D92599"/>
    <w:rsid w:val="00D926DC"/>
    <w:rsid w:val="00D926F3"/>
    <w:rsid w:val="00D928D0"/>
    <w:rsid w:val="00D928EA"/>
    <w:rsid w:val="00D92996"/>
    <w:rsid w:val="00D929A6"/>
    <w:rsid w:val="00D929BF"/>
    <w:rsid w:val="00D929EA"/>
    <w:rsid w:val="00D92A6E"/>
    <w:rsid w:val="00D92B20"/>
    <w:rsid w:val="00D92B2A"/>
    <w:rsid w:val="00D92B2B"/>
    <w:rsid w:val="00D92BDC"/>
    <w:rsid w:val="00D92CBF"/>
    <w:rsid w:val="00D92D0A"/>
    <w:rsid w:val="00D92D45"/>
    <w:rsid w:val="00D92D7E"/>
    <w:rsid w:val="00D92DBC"/>
    <w:rsid w:val="00D92E9C"/>
    <w:rsid w:val="00D92E9E"/>
    <w:rsid w:val="00D92F4E"/>
    <w:rsid w:val="00D92F61"/>
    <w:rsid w:val="00D92F7E"/>
    <w:rsid w:val="00D92F80"/>
    <w:rsid w:val="00D92F85"/>
    <w:rsid w:val="00D92FD1"/>
    <w:rsid w:val="00D93088"/>
    <w:rsid w:val="00D930F3"/>
    <w:rsid w:val="00D93185"/>
    <w:rsid w:val="00D93206"/>
    <w:rsid w:val="00D9324C"/>
    <w:rsid w:val="00D93334"/>
    <w:rsid w:val="00D9333F"/>
    <w:rsid w:val="00D933A0"/>
    <w:rsid w:val="00D9341B"/>
    <w:rsid w:val="00D9345D"/>
    <w:rsid w:val="00D93486"/>
    <w:rsid w:val="00D934C6"/>
    <w:rsid w:val="00D935D1"/>
    <w:rsid w:val="00D93651"/>
    <w:rsid w:val="00D9371E"/>
    <w:rsid w:val="00D9379B"/>
    <w:rsid w:val="00D937E4"/>
    <w:rsid w:val="00D938DE"/>
    <w:rsid w:val="00D93938"/>
    <w:rsid w:val="00D9394A"/>
    <w:rsid w:val="00D9399B"/>
    <w:rsid w:val="00D939AC"/>
    <w:rsid w:val="00D93A5C"/>
    <w:rsid w:val="00D93AA6"/>
    <w:rsid w:val="00D93B34"/>
    <w:rsid w:val="00D93BAD"/>
    <w:rsid w:val="00D93BC3"/>
    <w:rsid w:val="00D93BE3"/>
    <w:rsid w:val="00D93BE5"/>
    <w:rsid w:val="00D93CE9"/>
    <w:rsid w:val="00D93D80"/>
    <w:rsid w:val="00D93E70"/>
    <w:rsid w:val="00D93ED7"/>
    <w:rsid w:val="00D93EE6"/>
    <w:rsid w:val="00D93EF9"/>
    <w:rsid w:val="00D93F26"/>
    <w:rsid w:val="00D93F8A"/>
    <w:rsid w:val="00D93FA7"/>
    <w:rsid w:val="00D9401E"/>
    <w:rsid w:val="00D94190"/>
    <w:rsid w:val="00D94218"/>
    <w:rsid w:val="00D94291"/>
    <w:rsid w:val="00D942D1"/>
    <w:rsid w:val="00D942FD"/>
    <w:rsid w:val="00D94342"/>
    <w:rsid w:val="00D94363"/>
    <w:rsid w:val="00D94383"/>
    <w:rsid w:val="00D94466"/>
    <w:rsid w:val="00D94558"/>
    <w:rsid w:val="00D94566"/>
    <w:rsid w:val="00D94616"/>
    <w:rsid w:val="00D946D5"/>
    <w:rsid w:val="00D946F3"/>
    <w:rsid w:val="00D94839"/>
    <w:rsid w:val="00D948FF"/>
    <w:rsid w:val="00D949CC"/>
    <w:rsid w:val="00D94A1D"/>
    <w:rsid w:val="00D94A24"/>
    <w:rsid w:val="00D94A74"/>
    <w:rsid w:val="00D94B56"/>
    <w:rsid w:val="00D94B7B"/>
    <w:rsid w:val="00D94BBD"/>
    <w:rsid w:val="00D94C6B"/>
    <w:rsid w:val="00D94C7B"/>
    <w:rsid w:val="00D94CAB"/>
    <w:rsid w:val="00D94D8E"/>
    <w:rsid w:val="00D94DA8"/>
    <w:rsid w:val="00D94EB8"/>
    <w:rsid w:val="00D94EE1"/>
    <w:rsid w:val="00D94F13"/>
    <w:rsid w:val="00D94F29"/>
    <w:rsid w:val="00D94F8B"/>
    <w:rsid w:val="00D950B9"/>
    <w:rsid w:val="00D950F4"/>
    <w:rsid w:val="00D95209"/>
    <w:rsid w:val="00D95214"/>
    <w:rsid w:val="00D95237"/>
    <w:rsid w:val="00D95261"/>
    <w:rsid w:val="00D9542F"/>
    <w:rsid w:val="00D95474"/>
    <w:rsid w:val="00D9550E"/>
    <w:rsid w:val="00D95571"/>
    <w:rsid w:val="00D9566E"/>
    <w:rsid w:val="00D95675"/>
    <w:rsid w:val="00D95718"/>
    <w:rsid w:val="00D95752"/>
    <w:rsid w:val="00D957BD"/>
    <w:rsid w:val="00D95878"/>
    <w:rsid w:val="00D9587A"/>
    <w:rsid w:val="00D95881"/>
    <w:rsid w:val="00D9588D"/>
    <w:rsid w:val="00D9590C"/>
    <w:rsid w:val="00D95922"/>
    <w:rsid w:val="00D95998"/>
    <w:rsid w:val="00D959A0"/>
    <w:rsid w:val="00D959C7"/>
    <w:rsid w:val="00D95A5D"/>
    <w:rsid w:val="00D95BEF"/>
    <w:rsid w:val="00D95C51"/>
    <w:rsid w:val="00D95C5E"/>
    <w:rsid w:val="00D95C60"/>
    <w:rsid w:val="00D95CD5"/>
    <w:rsid w:val="00D95F24"/>
    <w:rsid w:val="00D96055"/>
    <w:rsid w:val="00D961A4"/>
    <w:rsid w:val="00D961B3"/>
    <w:rsid w:val="00D9620F"/>
    <w:rsid w:val="00D96239"/>
    <w:rsid w:val="00D96275"/>
    <w:rsid w:val="00D96399"/>
    <w:rsid w:val="00D963D0"/>
    <w:rsid w:val="00D963D1"/>
    <w:rsid w:val="00D964A6"/>
    <w:rsid w:val="00D964E4"/>
    <w:rsid w:val="00D9664D"/>
    <w:rsid w:val="00D966C3"/>
    <w:rsid w:val="00D9674F"/>
    <w:rsid w:val="00D967A2"/>
    <w:rsid w:val="00D967E1"/>
    <w:rsid w:val="00D9681A"/>
    <w:rsid w:val="00D968FD"/>
    <w:rsid w:val="00D96977"/>
    <w:rsid w:val="00D96A9F"/>
    <w:rsid w:val="00D96BD5"/>
    <w:rsid w:val="00D96BF2"/>
    <w:rsid w:val="00D96C7A"/>
    <w:rsid w:val="00D96CC7"/>
    <w:rsid w:val="00D96D33"/>
    <w:rsid w:val="00D96D6A"/>
    <w:rsid w:val="00D96D89"/>
    <w:rsid w:val="00D96DF6"/>
    <w:rsid w:val="00D96E1B"/>
    <w:rsid w:val="00D96E97"/>
    <w:rsid w:val="00D96F53"/>
    <w:rsid w:val="00D96F55"/>
    <w:rsid w:val="00D96F7A"/>
    <w:rsid w:val="00D96F88"/>
    <w:rsid w:val="00D97024"/>
    <w:rsid w:val="00D970A8"/>
    <w:rsid w:val="00D970DE"/>
    <w:rsid w:val="00D9730A"/>
    <w:rsid w:val="00D97315"/>
    <w:rsid w:val="00D97334"/>
    <w:rsid w:val="00D97341"/>
    <w:rsid w:val="00D97365"/>
    <w:rsid w:val="00D97375"/>
    <w:rsid w:val="00D97412"/>
    <w:rsid w:val="00D97475"/>
    <w:rsid w:val="00D97600"/>
    <w:rsid w:val="00D9769C"/>
    <w:rsid w:val="00D976C2"/>
    <w:rsid w:val="00D976FE"/>
    <w:rsid w:val="00D97748"/>
    <w:rsid w:val="00D9774E"/>
    <w:rsid w:val="00D97787"/>
    <w:rsid w:val="00D9786C"/>
    <w:rsid w:val="00D978D5"/>
    <w:rsid w:val="00D9790F"/>
    <w:rsid w:val="00D97936"/>
    <w:rsid w:val="00D97954"/>
    <w:rsid w:val="00D97963"/>
    <w:rsid w:val="00D9799C"/>
    <w:rsid w:val="00D97A94"/>
    <w:rsid w:val="00D97BA7"/>
    <w:rsid w:val="00D97C01"/>
    <w:rsid w:val="00D97C51"/>
    <w:rsid w:val="00D97C6C"/>
    <w:rsid w:val="00D97D5B"/>
    <w:rsid w:val="00D97D71"/>
    <w:rsid w:val="00D97F1F"/>
    <w:rsid w:val="00D97F21"/>
    <w:rsid w:val="00D97F31"/>
    <w:rsid w:val="00D97F70"/>
    <w:rsid w:val="00D97FF3"/>
    <w:rsid w:val="00DA0004"/>
    <w:rsid w:val="00DA007D"/>
    <w:rsid w:val="00DA0184"/>
    <w:rsid w:val="00DA0189"/>
    <w:rsid w:val="00DA0196"/>
    <w:rsid w:val="00DA01F6"/>
    <w:rsid w:val="00DA0275"/>
    <w:rsid w:val="00DA0369"/>
    <w:rsid w:val="00DA0497"/>
    <w:rsid w:val="00DA04CD"/>
    <w:rsid w:val="00DA04DC"/>
    <w:rsid w:val="00DA04EC"/>
    <w:rsid w:val="00DA0541"/>
    <w:rsid w:val="00DA056B"/>
    <w:rsid w:val="00DA057A"/>
    <w:rsid w:val="00DA0595"/>
    <w:rsid w:val="00DA0669"/>
    <w:rsid w:val="00DA0734"/>
    <w:rsid w:val="00DA078D"/>
    <w:rsid w:val="00DA07AC"/>
    <w:rsid w:val="00DA0869"/>
    <w:rsid w:val="00DA08A0"/>
    <w:rsid w:val="00DA0953"/>
    <w:rsid w:val="00DA0A16"/>
    <w:rsid w:val="00DA0AA1"/>
    <w:rsid w:val="00DA0B4D"/>
    <w:rsid w:val="00DA0BAC"/>
    <w:rsid w:val="00DA0BAE"/>
    <w:rsid w:val="00DA0D59"/>
    <w:rsid w:val="00DA0D9F"/>
    <w:rsid w:val="00DA0DE6"/>
    <w:rsid w:val="00DA0E76"/>
    <w:rsid w:val="00DA0ED4"/>
    <w:rsid w:val="00DA0FD3"/>
    <w:rsid w:val="00DA0FEC"/>
    <w:rsid w:val="00DA117A"/>
    <w:rsid w:val="00DA11BC"/>
    <w:rsid w:val="00DA1234"/>
    <w:rsid w:val="00DA1242"/>
    <w:rsid w:val="00DA125F"/>
    <w:rsid w:val="00DA1390"/>
    <w:rsid w:val="00DA149F"/>
    <w:rsid w:val="00DA1545"/>
    <w:rsid w:val="00DA1617"/>
    <w:rsid w:val="00DA1699"/>
    <w:rsid w:val="00DA16DC"/>
    <w:rsid w:val="00DA1730"/>
    <w:rsid w:val="00DA17C1"/>
    <w:rsid w:val="00DA18C7"/>
    <w:rsid w:val="00DA1908"/>
    <w:rsid w:val="00DA1968"/>
    <w:rsid w:val="00DA19B4"/>
    <w:rsid w:val="00DA1A68"/>
    <w:rsid w:val="00DA1A9E"/>
    <w:rsid w:val="00DA1AE6"/>
    <w:rsid w:val="00DA1B7F"/>
    <w:rsid w:val="00DA1BAE"/>
    <w:rsid w:val="00DA1BE9"/>
    <w:rsid w:val="00DA1C03"/>
    <w:rsid w:val="00DA1C04"/>
    <w:rsid w:val="00DA1C13"/>
    <w:rsid w:val="00DA1C65"/>
    <w:rsid w:val="00DA1D66"/>
    <w:rsid w:val="00DA1EF1"/>
    <w:rsid w:val="00DA1F23"/>
    <w:rsid w:val="00DA1F6B"/>
    <w:rsid w:val="00DA1F7A"/>
    <w:rsid w:val="00DA1FFA"/>
    <w:rsid w:val="00DA2013"/>
    <w:rsid w:val="00DA2068"/>
    <w:rsid w:val="00DA2108"/>
    <w:rsid w:val="00DA211E"/>
    <w:rsid w:val="00DA21ED"/>
    <w:rsid w:val="00DA2253"/>
    <w:rsid w:val="00DA2274"/>
    <w:rsid w:val="00DA22AD"/>
    <w:rsid w:val="00DA2391"/>
    <w:rsid w:val="00DA24EC"/>
    <w:rsid w:val="00DA2503"/>
    <w:rsid w:val="00DA2528"/>
    <w:rsid w:val="00DA2611"/>
    <w:rsid w:val="00DA271B"/>
    <w:rsid w:val="00DA27A2"/>
    <w:rsid w:val="00DA298E"/>
    <w:rsid w:val="00DA299B"/>
    <w:rsid w:val="00DA29E8"/>
    <w:rsid w:val="00DA2AB6"/>
    <w:rsid w:val="00DA2AC5"/>
    <w:rsid w:val="00DA2B86"/>
    <w:rsid w:val="00DA2B92"/>
    <w:rsid w:val="00DA2C32"/>
    <w:rsid w:val="00DA2C7C"/>
    <w:rsid w:val="00DA2CCA"/>
    <w:rsid w:val="00DA2CDA"/>
    <w:rsid w:val="00DA2D8C"/>
    <w:rsid w:val="00DA2DE5"/>
    <w:rsid w:val="00DA2F86"/>
    <w:rsid w:val="00DA2FA0"/>
    <w:rsid w:val="00DA3019"/>
    <w:rsid w:val="00DA301E"/>
    <w:rsid w:val="00DA3037"/>
    <w:rsid w:val="00DA305A"/>
    <w:rsid w:val="00DA3190"/>
    <w:rsid w:val="00DA3215"/>
    <w:rsid w:val="00DA3273"/>
    <w:rsid w:val="00DA32AA"/>
    <w:rsid w:val="00DA32AD"/>
    <w:rsid w:val="00DA337A"/>
    <w:rsid w:val="00DA33B2"/>
    <w:rsid w:val="00DA33C8"/>
    <w:rsid w:val="00DA341C"/>
    <w:rsid w:val="00DA3442"/>
    <w:rsid w:val="00DA3551"/>
    <w:rsid w:val="00DA35C8"/>
    <w:rsid w:val="00DA3648"/>
    <w:rsid w:val="00DA3673"/>
    <w:rsid w:val="00DA3727"/>
    <w:rsid w:val="00DA385E"/>
    <w:rsid w:val="00DA3884"/>
    <w:rsid w:val="00DA38A4"/>
    <w:rsid w:val="00DA3934"/>
    <w:rsid w:val="00DA3972"/>
    <w:rsid w:val="00DA3A8B"/>
    <w:rsid w:val="00DA3B3F"/>
    <w:rsid w:val="00DA3C54"/>
    <w:rsid w:val="00DA3CB1"/>
    <w:rsid w:val="00DA3D07"/>
    <w:rsid w:val="00DA3DAB"/>
    <w:rsid w:val="00DA3DF1"/>
    <w:rsid w:val="00DA3EBF"/>
    <w:rsid w:val="00DA3F41"/>
    <w:rsid w:val="00DA3F53"/>
    <w:rsid w:val="00DA3F5D"/>
    <w:rsid w:val="00DA3F67"/>
    <w:rsid w:val="00DA3F88"/>
    <w:rsid w:val="00DA3FE0"/>
    <w:rsid w:val="00DA412E"/>
    <w:rsid w:val="00DA418E"/>
    <w:rsid w:val="00DA4244"/>
    <w:rsid w:val="00DA4330"/>
    <w:rsid w:val="00DA4389"/>
    <w:rsid w:val="00DA43B4"/>
    <w:rsid w:val="00DA43D0"/>
    <w:rsid w:val="00DA4459"/>
    <w:rsid w:val="00DA4465"/>
    <w:rsid w:val="00DA452C"/>
    <w:rsid w:val="00DA452D"/>
    <w:rsid w:val="00DA4594"/>
    <w:rsid w:val="00DA4602"/>
    <w:rsid w:val="00DA4677"/>
    <w:rsid w:val="00DA4688"/>
    <w:rsid w:val="00DA46CE"/>
    <w:rsid w:val="00DA46F1"/>
    <w:rsid w:val="00DA4724"/>
    <w:rsid w:val="00DA487F"/>
    <w:rsid w:val="00DA49A8"/>
    <w:rsid w:val="00DA49E2"/>
    <w:rsid w:val="00DA4A86"/>
    <w:rsid w:val="00DA4B17"/>
    <w:rsid w:val="00DA4B37"/>
    <w:rsid w:val="00DA4BBB"/>
    <w:rsid w:val="00DA4BD9"/>
    <w:rsid w:val="00DA4F1C"/>
    <w:rsid w:val="00DA4FEE"/>
    <w:rsid w:val="00DA4FFA"/>
    <w:rsid w:val="00DA50B7"/>
    <w:rsid w:val="00DA50C9"/>
    <w:rsid w:val="00DA5111"/>
    <w:rsid w:val="00DA52B1"/>
    <w:rsid w:val="00DA537A"/>
    <w:rsid w:val="00DA5427"/>
    <w:rsid w:val="00DA5454"/>
    <w:rsid w:val="00DA54F4"/>
    <w:rsid w:val="00DA5562"/>
    <w:rsid w:val="00DA55D1"/>
    <w:rsid w:val="00DA56F2"/>
    <w:rsid w:val="00DA570D"/>
    <w:rsid w:val="00DA5735"/>
    <w:rsid w:val="00DA578E"/>
    <w:rsid w:val="00DA579A"/>
    <w:rsid w:val="00DA57C0"/>
    <w:rsid w:val="00DA589A"/>
    <w:rsid w:val="00DA5A63"/>
    <w:rsid w:val="00DA5A94"/>
    <w:rsid w:val="00DA5AAA"/>
    <w:rsid w:val="00DA5BD0"/>
    <w:rsid w:val="00DA5C78"/>
    <w:rsid w:val="00DA5DF7"/>
    <w:rsid w:val="00DA5E55"/>
    <w:rsid w:val="00DA5FF3"/>
    <w:rsid w:val="00DA6020"/>
    <w:rsid w:val="00DA606C"/>
    <w:rsid w:val="00DA615E"/>
    <w:rsid w:val="00DA617E"/>
    <w:rsid w:val="00DA618E"/>
    <w:rsid w:val="00DA6219"/>
    <w:rsid w:val="00DA6331"/>
    <w:rsid w:val="00DA63E2"/>
    <w:rsid w:val="00DA63F7"/>
    <w:rsid w:val="00DA6411"/>
    <w:rsid w:val="00DA647F"/>
    <w:rsid w:val="00DA6492"/>
    <w:rsid w:val="00DA64D7"/>
    <w:rsid w:val="00DA6518"/>
    <w:rsid w:val="00DA659E"/>
    <w:rsid w:val="00DA65F0"/>
    <w:rsid w:val="00DA66D7"/>
    <w:rsid w:val="00DA673F"/>
    <w:rsid w:val="00DA6770"/>
    <w:rsid w:val="00DA680B"/>
    <w:rsid w:val="00DA6957"/>
    <w:rsid w:val="00DA6A6A"/>
    <w:rsid w:val="00DA6B5B"/>
    <w:rsid w:val="00DA6B5C"/>
    <w:rsid w:val="00DA6C86"/>
    <w:rsid w:val="00DA6D21"/>
    <w:rsid w:val="00DA6DEF"/>
    <w:rsid w:val="00DA6E54"/>
    <w:rsid w:val="00DA6F2B"/>
    <w:rsid w:val="00DA6F89"/>
    <w:rsid w:val="00DA70C4"/>
    <w:rsid w:val="00DA70C5"/>
    <w:rsid w:val="00DA70F4"/>
    <w:rsid w:val="00DA711E"/>
    <w:rsid w:val="00DA7219"/>
    <w:rsid w:val="00DA729D"/>
    <w:rsid w:val="00DA72B3"/>
    <w:rsid w:val="00DA74C2"/>
    <w:rsid w:val="00DA7516"/>
    <w:rsid w:val="00DA7682"/>
    <w:rsid w:val="00DA7737"/>
    <w:rsid w:val="00DA778A"/>
    <w:rsid w:val="00DA782B"/>
    <w:rsid w:val="00DA7922"/>
    <w:rsid w:val="00DA7972"/>
    <w:rsid w:val="00DA79A7"/>
    <w:rsid w:val="00DA79CE"/>
    <w:rsid w:val="00DA7A28"/>
    <w:rsid w:val="00DA7B00"/>
    <w:rsid w:val="00DA7B56"/>
    <w:rsid w:val="00DA7B58"/>
    <w:rsid w:val="00DA7B94"/>
    <w:rsid w:val="00DA7C51"/>
    <w:rsid w:val="00DA7C60"/>
    <w:rsid w:val="00DA7D1C"/>
    <w:rsid w:val="00DA7D20"/>
    <w:rsid w:val="00DA7DBD"/>
    <w:rsid w:val="00DA7DDE"/>
    <w:rsid w:val="00DA7F0B"/>
    <w:rsid w:val="00DA7F40"/>
    <w:rsid w:val="00DA7FA8"/>
    <w:rsid w:val="00DA7FBF"/>
    <w:rsid w:val="00DA7FDC"/>
    <w:rsid w:val="00DB0007"/>
    <w:rsid w:val="00DB00E9"/>
    <w:rsid w:val="00DB0194"/>
    <w:rsid w:val="00DB024E"/>
    <w:rsid w:val="00DB0276"/>
    <w:rsid w:val="00DB029C"/>
    <w:rsid w:val="00DB0354"/>
    <w:rsid w:val="00DB03AF"/>
    <w:rsid w:val="00DB0421"/>
    <w:rsid w:val="00DB056A"/>
    <w:rsid w:val="00DB07BF"/>
    <w:rsid w:val="00DB07C4"/>
    <w:rsid w:val="00DB090F"/>
    <w:rsid w:val="00DB09BF"/>
    <w:rsid w:val="00DB0A3E"/>
    <w:rsid w:val="00DB0A8B"/>
    <w:rsid w:val="00DB0AE5"/>
    <w:rsid w:val="00DB0AED"/>
    <w:rsid w:val="00DB0B14"/>
    <w:rsid w:val="00DB0B2D"/>
    <w:rsid w:val="00DB0B36"/>
    <w:rsid w:val="00DB0B9B"/>
    <w:rsid w:val="00DB0BAB"/>
    <w:rsid w:val="00DB0BF4"/>
    <w:rsid w:val="00DB0E49"/>
    <w:rsid w:val="00DB0F71"/>
    <w:rsid w:val="00DB10EC"/>
    <w:rsid w:val="00DB1165"/>
    <w:rsid w:val="00DB126B"/>
    <w:rsid w:val="00DB1310"/>
    <w:rsid w:val="00DB1354"/>
    <w:rsid w:val="00DB1389"/>
    <w:rsid w:val="00DB13E5"/>
    <w:rsid w:val="00DB1406"/>
    <w:rsid w:val="00DB1464"/>
    <w:rsid w:val="00DB14F1"/>
    <w:rsid w:val="00DB15A4"/>
    <w:rsid w:val="00DB15F2"/>
    <w:rsid w:val="00DB17EC"/>
    <w:rsid w:val="00DB192E"/>
    <w:rsid w:val="00DB1966"/>
    <w:rsid w:val="00DB1A0E"/>
    <w:rsid w:val="00DB1A1D"/>
    <w:rsid w:val="00DB1A6E"/>
    <w:rsid w:val="00DB1BB2"/>
    <w:rsid w:val="00DB1BDF"/>
    <w:rsid w:val="00DB1BFA"/>
    <w:rsid w:val="00DB1C1E"/>
    <w:rsid w:val="00DB1C57"/>
    <w:rsid w:val="00DB1C9C"/>
    <w:rsid w:val="00DB1E89"/>
    <w:rsid w:val="00DB1F10"/>
    <w:rsid w:val="00DB1F4C"/>
    <w:rsid w:val="00DB1F72"/>
    <w:rsid w:val="00DB1F8C"/>
    <w:rsid w:val="00DB1FEC"/>
    <w:rsid w:val="00DB1FEF"/>
    <w:rsid w:val="00DB200E"/>
    <w:rsid w:val="00DB2020"/>
    <w:rsid w:val="00DB21B2"/>
    <w:rsid w:val="00DB21BF"/>
    <w:rsid w:val="00DB21CF"/>
    <w:rsid w:val="00DB21E3"/>
    <w:rsid w:val="00DB2217"/>
    <w:rsid w:val="00DB2350"/>
    <w:rsid w:val="00DB23BF"/>
    <w:rsid w:val="00DB23FC"/>
    <w:rsid w:val="00DB24E6"/>
    <w:rsid w:val="00DB2593"/>
    <w:rsid w:val="00DB2803"/>
    <w:rsid w:val="00DB2815"/>
    <w:rsid w:val="00DB286F"/>
    <w:rsid w:val="00DB2899"/>
    <w:rsid w:val="00DB28C5"/>
    <w:rsid w:val="00DB28C8"/>
    <w:rsid w:val="00DB2916"/>
    <w:rsid w:val="00DB29BF"/>
    <w:rsid w:val="00DB2BDA"/>
    <w:rsid w:val="00DB2C76"/>
    <w:rsid w:val="00DB2CF3"/>
    <w:rsid w:val="00DB2E3A"/>
    <w:rsid w:val="00DB2E4F"/>
    <w:rsid w:val="00DB302D"/>
    <w:rsid w:val="00DB3120"/>
    <w:rsid w:val="00DB31BA"/>
    <w:rsid w:val="00DB3259"/>
    <w:rsid w:val="00DB3395"/>
    <w:rsid w:val="00DB33D9"/>
    <w:rsid w:val="00DB341B"/>
    <w:rsid w:val="00DB3512"/>
    <w:rsid w:val="00DB3552"/>
    <w:rsid w:val="00DB35FD"/>
    <w:rsid w:val="00DB366E"/>
    <w:rsid w:val="00DB36CA"/>
    <w:rsid w:val="00DB3734"/>
    <w:rsid w:val="00DB37B8"/>
    <w:rsid w:val="00DB3817"/>
    <w:rsid w:val="00DB385C"/>
    <w:rsid w:val="00DB394B"/>
    <w:rsid w:val="00DB3971"/>
    <w:rsid w:val="00DB39FD"/>
    <w:rsid w:val="00DB3C53"/>
    <w:rsid w:val="00DB3DD0"/>
    <w:rsid w:val="00DB3E17"/>
    <w:rsid w:val="00DB3EBA"/>
    <w:rsid w:val="00DB3F52"/>
    <w:rsid w:val="00DB3F96"/>
    <w:rsid w:val="00DB3F9E"/>
    <w:rsid w:val="00DB4004"/>
    <w:rsid w:val="00DB400F"/>
    <w:rsid w:val="00DB4046"/>
    <w:rsid w:val="00DB40A3"/>
    <w:rsid w:val="00DB40D1"/>
    <w:rsid w:val="00DB40D2"/>
    <w:rsid w:val="00DB4181"/>
    <w:rsid w:val="00DB41F5"/>
    <w:rsid w:val="00DB43B4"/>
    <w:rsid w:val="00DB43D2"/>
    <w:rsid w:val="00DB43FE"/>
    <w:rsid w:val="00DB4423"/>
    <w:rsid w:val="00DB4563"/>
    <w:rsid w:val="00DB461F"/>
    <w:rsid w:val="00DB46C3"/>
    <w:rsid w:val="00DB47CA"/>
    <w:rsid w:val="00DB487E"/>
    <w:rsid w:val="00DB4910"/>
    <w:rsid w:val="00DB4A1C"/>
    <w:rsid w:val="00DB4A43"/>
    <w:rsid w:val="00DB4B06"/>
    <w:rsid w:val="00DB4B0A"/>
    <w:rsid w:val="00DB4B2E"/>
    <w:rsid w:val="00DB4B5D"/>
    <w:rsid w:val="00DB4B6A"/>
    <w:rsid w:val="00DB4C51"/>
    <w:rsid w:val="00DB4C76"/>
    <w:rsid w:val="00DB4D26"/>
    <w:rsid w:val="00DB4EC8"/>
    <w:rsid w:val="00DB503F"/>
    <w:rsid w:val="00DB5122"/>
    <w:rsid w:val="00DB5128"/>
    <w:rsid w:val="00DB5163"/>
    <w:rsid w:val="00DB518E"/>
    <w:rsid w:val="00DB5202"/>
    <w:rsid w:val="00DB5294"/>
    <w:rsid w:val="00DB52AE"/>
    <w:rsid w:val="00DB5395"/>
    <w:rsid w:val="00DB543C"/>
    <w:rsid w:val="00DB5532"/>
    <w:rsid w:val="00DB555D"/>
    <w:rsid w:val="00DB5597"/>
    <w:rsid w:val="00DB55B0"/>
    <w:rsid w:val="00DB5642"/>
    <w:rsid w:val="00DB565C"/>
    <w:rsid w:val="00DB571F"/>
    <w:rsid w:val="00DB5736"/>
    <w:rsid w:val="00DB574F"/>
    <w:rsid w:val="00DB5899"/>
    <w:rsid w:val="00DB58CA"/>
    <w:rsid w:val="00DB5B00"/>
    <w:rsid w:val="00DB5C50"/>
    <w:rsid w:val="00DB5DB0"/>
    <w:rsid w:val="00DB5E9A"/>
    <w:rsid w:val="00DB60B8"/>
    <w:rsid w:val="00DB60D3"/>
    <w:rsid w:val="00DB6105"/>
    <w:rsid w:val="00DB6146"/>
    <w:rsid w:val="00DB61BE"/>
    <w:rsid w:val="00DB61C1"/>
    <w:rsid w:val="00DB6237"/>
    <w:rsid w:val="00DB6256"/>
    <w:rsid w:val="00DB627A"/>
    <w:rsid w:val="00DB62D1"/>
    <w:rsid w:val="00DB6315"/>
    <w:rsid w:val="00DB631C"/>
    <w:rsid w:val="00DB6322"/>
    <w:rsid w:val="00DB6347"/>
    <w:rsid w:val="00DB6454"/>
    <w:rsid w:val="00DB64F6"/>
    <w:rsid w:val="00DB653E"/>
    <w:rsid w:val="00DB65ED"/>
    <w:rsid w:val="00DB65FC"/>
    <w:rsid w:val="00DB661F"/>
    <w:rsid w:val="00DB66D1"/>
    <w:rsid w:val="00DB6741"/>
    <w:rsid w:val="00DB67C5"/>
    <w:rsid w:val="00DB680F"/>
    <w:rsid w:val="00DB68BE"/>
    <w:rsid w:val="00DB68CE"/>
    <w:rsid w:val="00DB68E2"/>
    <w:rsid w:val="00DB696B"/>
    <w:rsid w:val="00DB69DE"/>
    <w:rsid w:val="00DB6B90"/>
    <w:rsid w:val="00DB6C03"/>
    <w:rsid w:val="00DB6C68"/>
    <w:rsid w:val="00DB6C9A"/>
    <w:rsid w:val="00DB6C9D"/>
    <w:rsid w:val="00DB6D21"/>
    <w:rsid w:val="00DB6DAA"/>
    <w:rsid w:val="00DB6DB4"/>
    <w:rsid w:val="00DB6DD1"/>
    <w:rsid w:val="00DB6DFE"/>
    <w:rsid w:val="00DB6E9C"/>
    <w:rsid w:val="00DB6F24"/>
    <w:rsid w:val="00DB6F78"/>
    <w:rsid w:val="00DB6FCF"/>
    <w:rsid w:val="00DB7003"/>
    <w:rsid w:val="00DB7043"/>
    <w:rsid w:val="00DB70AD"/>
    <w:rsid w:val="00DB71F0"/>
    <w:rsid w:val="00DB7250"/>
    <w:rsid w:val="00DB7286"/>
    <w:rsid w:val="00DB72E2"/>
    <w:rsid w:val="00DB73EC"/>
    <w:rsid w:val="00DB7453"/>
    <w:rsid w:val="00DB7543"/>
    <w:rsid w:val="00DB7579"/>
    <w:rsid w:val="00DB75AA"/>
    <w:rsid w:val="00DB75C1"/>
    <w:rsid w:val="00DB75FC"/>
    <w:rsid w:val="00DB7660"/>
    <w:rsid w:val="00DB780D"/>
    <w:rsid w:val="00DB7843"/>
    <w:rsid w:val="00DB7876"/>
    <w:rsid w:val="00DB7932"/>
    <w:rsid w:val="00DB7959"/>
    <w:rsid w:val="00DB7A4C"/>
    <w:rsid w:val="00DB7AC5"/>
    <w:rsid w:val="00DB7BA0"/>
    <w:rsid w:val="00DB7BAD"/>
    <w:rsid w:val="00DB7C1D"/>
    <w:rsid w:val="00DB7C79"/>
    <w:rsid w:val="00DB7C85"/>
    <w:rsid w:val="00DB7CBB"/>
    <w:rsid w:val="00DB7CC3"/>
    <w:rsid w:val="00DB7D15"/>
    <w:rsid w:val="00DB7D3F"/>
    <w:rsid w:val="00DB7DE2"/>
    <w:rsid w:val="00DB7E23"/>
    <w:rsid w:val="00DB7E3E"/>
    <w:rsid w:val="00DB7E51"/>
    <w:rsid w:val="00DB7EA1"/>
    <w:rsid w:val="00DB7FE2"/>
    <w:rsid w:val="00DC0035"/>
    <w:rsid w:val="00DC003A"/>
    <w:rsid w:val="00DC009F"/>
    <w:rsid w:val="00DC015E"/>
    <w:rsid w:val="00DC01A7"/>
    <w:rsid w:val="00DC0258"/>
    <w:rsid w:val="00DC0293"/>
    <w:rsid w:val="00DC02A6"/>
    <w:rsid w:val="00DC0311"/>
    <w:rsid w:val="00DC03D0"/>
    <w:rsid w:val="00DC0459"/>
    <w:rsid w:val="00DC04CF"/>
    <w:rsid w:val="00DC0635"/>
    <w:rsid w:val="00DC063C"/>
    <w:rsid w:val="00DC07DD"/>
    <w:rsid w:val="00DC0990"/>
    <w:rsid w:val="00DC09E3"/>
    <w:rsid w:val="00DC0DAD"/>
    <w:rsid w:val="00DC0DCD"/>
    <w:rsid w:val="00DC0DE3"/>
    <w:rsid w:val="00DC0E1B"/>
    <w:rsid w:val="00DC0E58"/>
    <w:rsid w:val="00DC122A"/>
    <w:rsid w:val="00DC12FC"/>
    <w:rsid w:val="00DC1317"/>
    <w:rsid w:val="00DC140D"/>
    <w:rsid w:val="00DC146D"/>
    <w:rsid w:val="00DC14C4"/>
    <w:rsid w:val="00DC14E1"/>
    <w:rsid w:val="00DC157E"/>
    <w:rsid w:val="00DC15CB"/>
    <w:rsid w:val="00DC1637"/>
    <w:rsid w:val="00DC1802"/>
    <w:rsid w:val="00DC1824"/>
    <w:rsid w:val="00DC182C"/>
    <w:rsid w:val="00DC184C"/>
    <w:rsid w:val="00DC1880"/>
    <w:rsid w:val="00DC18E2"/>
    <w:rsid w:val="00DC18ED"/>
    <w:rsid w:val="00DC19FC"/>
    <w:rsid w:val="00DC1A5E"/>
    <w:rsid w:val="00DC1A81"/>
    <w:rsid w:val="00DC1AF4"/>
    <w:rsid w:val="00DC1B5C"/>
    <w:rsid w:val="00DC1BF8"/>
    <w:rsid w:val="00DC1D46"/>
    <w:rsid w:val="00DC1DD7"/>
    <w:rsid w:val="00DC1E3F"/>
    <w:rsid w:val="00DC1E71"/>
    <w:rsid w:val="00DC1F4D"/>
    <w:rsid w:val="00DC1F52"/>
    <w:rsid w:val="00DC206A"/>
    <w:rsid w:val="00DC20AF"/>
    <w:rsid w:val="00DC214E"/>
    <w:rsid w:val="00DC219C"/>
    <w:rsid w:val="00DC21A9"/>
    <w:rsid w:val="00DC2206"/>
    <w:rsid w:val="00DC2233"/>
    <w:rsid w:val="00DC22FC"/>
    <w:rsid w:val="00DC231D"/>
    <w:rsid w:val="00DC23BE"/>
    <w:rsid w:val="00DC23C0"/>
    <w:rsid w:val="00DC23FE"/>
    <w:rsid w:val="00DC24D9"/>
    <w:rsid w:val="00DC2541"/>
    <w:rsid w:val="00DC26FC"/>
    <w:rsid w:val="00DC270D"/>
    <w:rsid w:val="00DC2729"/>
    <w:rsid w:val="00DC277E"/>
    <w:rsid w:val="00DC2818"/>
    <w:rsid w:val="00DC2820"/>
    <w:rsid w:val="00DC2883"/>
    <w:rsid w:val="00DC2A29"/>
    <w:rsid w:val="00DC2A2C"/>
    <w:rsid w:val="00DC2AB0"/>
    <w:rsid w:val="00DC2B35"/>
    <w:rsid w:val="00DC2B60"/>
    <w:rsid w:val="00DC2B95"/>
    <w:rsid w:val="00DC2BDC"/>
    <w:rsid w:val="00DC2C36"/>
    <w:rsid w:val="00DC2CF0"/>
    <w:rsid w:val="00DC2D42"/>
    <w:rsid w:val="00DC2D8C"/>
    <w:rsid w:val="00DC2DCF"/>
    <w:rsid w:val="00DC2DEE"/>
    <w:rsid w:val="00DC2E0B"/>
    <w:rsid w:val="00DC2F93"/>
    <w:rsid w:val="00DC2FDC"/>
    <w:rsid w:val="00DC303A"/>
    <w:rsid w:val="00DC3074"/>
    <w:rsid w:val="00DC30A8"/>
    <w:rsid w:val="00DC30C2"/>
    <w:rsid w:val="00DC30E5"/>
    <w:rsid w:val="00DC314F"/>
    <w:rsid w:val="00DC3222"/>
    <w:rsid w:val="00DC3260"/>
    <w:rsid w:val="00DC3392"/>
    <w:rsid w:val="00DC343D"/>
    <w:rsid w:val="00DC34F5"/>
    <w:rsid w:val="00DC3527"/>
    <w:rsid w:val="00DC352C"/>
    <w:rsid w:val="00DC3544"/>
    <w:rsid w:val="00DC3619"/>
    <w:rsid w:val="00DC3633"/>
    <w:rsid w:val="00DC39D2"/>
    <w:rsid w:val="00DC3A6F"/>
    <w:rsid w:val="00DC3A7E"/>
    <w:rsid w:val="00DC3A94"/>
    <w:rsid w:val="00DC3AB3"/>
    <w:rsid w:val="00DC3B32"/>
    <w:rsid w:val="00DC3B71"/>
    <w:rsid w:val="00DC3CB4"/>
    <w:rsid w:val="00DC3DB8"/>
    <w:rsid w:val="00DC3DD6"/>
    <w:rsid w:val="00DC3F29"/>
    <w:rsid w:val="00DC3F34"/>
    <w:rsid w:val="00DC3FB6"/>
    <w:rsid w:val="00DC3FE2"/>
    <w:rsid w:val="00DC404F"/>
    <w:rsid w:val="00DC4159"/>
    <w:rsid w:val="00DC42CD"/>
    <w:rsid w:val="00DC42F1"/>
    <w:rsid w:val="00DC4387"/>
    <w:rsid w:val="00DC43CC"/>
    <w:rsid w:val="00DC43D2"/>
    <w:rsid w:val="00DC4422"/>
    <w:rsid w:val="00DC4432"/>
    <w:rsid w:val="00DC451C"/>
    <w:rsid w:val="00DC4643"/>
    <w:rsid w:val="00DC4644"/>
    <w:rsid w:val="00DC4776"/>
    <w:rsid w:val="00DC480D"/>
    <w:rsid w:val="00DC4867"/>
    <w:rsid w:val="00DC4920"/>
    <w:rsid w:val="00DC49FC"/>
    <w:rsid w:val="00DC4A4E"/>
    <w:rsid w:val="00DC4A6B"/>
    <w:rsid w:val="00DC4CCF"/>
    <w:rsid w:val="00DC4D46"/>
    <w:rsid w:val="00DC4DE5"/>
    <w:rsid w:val="00DC4E06"/>
    <w:rsid w:val="00DC4E26"/>
    <w:rsid w:val="00DC4E8C"/>
    <w:rsid w:val="00DC4F86"/>
    <w:rsid w:val="00DC4F93"/>
    <w:rsid w:val="00DC4FD0"/>
    <w:rsid w:val="00DC4FE9"/>
    <w:rsid w:val="00DC501F"/>
    <w:rsid w:val="00DC5052"/>
    <w:rsid w:val="00DC5214"/>
    <w:rsid w:val="00DC5296"/>
    <w:rsid w:val="00DC52B0"/>
    <w:rsid w:val="00DC5349"/>
    <w:rsid w:val="00DC546E"/>
    <w:rsid w:val="00DC547A"/>
    <w:rsid w:val="00DC5621"/>
    <w:rsid w:val="00DC5681"/>
    <w:rsid w:val="00DC5842"/>
    <w:rsid w:val="00DC5871"/>
    <w:rsid w:val="00DC59DE"/>
    <w:rsid w:val="00DC5A76"/>
    <w:rsid w:val="00DC5A8C"/>
    <w:rsid w:val="00DC5BCA"/>
    <w:rsid w:val="00DC5E40"/>
    <w:rsid w:val="00DC5EA6"/>
    <w:rsid w:val="00DC5EBF"/>
    <w:rsid w:val="00DC5EF7"/>
    <w:rsid w:val="00DC6048"/>
    <w:rsid w:val="00DC60B7"/>
    <w:rsid w:val="00DC60D0"/>
    <w:rsid w:val="00DC61BC"/>
    <w:rsid w:val="00DC61EC"/>
    <w:rsid w:val="00DC6223"/>
    <w:rsid w:val="00DC62C5"/>
    <w:rsid w:val="00DC6349"/>
    <w:rsid w:val="00DC6454"/>
    <w:rsid w:val="00DC645F"/>
    <w:rsid w:val="00DC658D"/>
    <w:rsid w:val="00DC6599"/>
    <w:rsid w:val="00DC65C0"/>
    <w:rsid w:val="00DC6616"/>
    <w:rsid w:val="00DC663D"/>
    <w:rsid w:val="00DC675A"/>
    <w:rsid w:val="00DC6781"/>
    <w:rsid w:val="00DC6808"/>
    <w:rsid w:val="00DC6868"/>
    <w:rsid w:val="00DC6870"/>
    <w:rsid w:val="00DC6884"/>
    <w:rsid w:val="00DC688E"/>
    <w:rsid w:val="00DC6956"/>
    <w:rsid w:val="00DC69B8"/>
    <w:rsid w:val="00DC69DC"/>
    <w:rsid w:val="00DC69E2"/>
    <w:rsid w:val="00DC6A0B"/>
    <w:rsid w:val="00DC6A2D"/>
    <w:rsid w:val="00DC6A7B"/>
    <w:rsid w:val="00DC6A85"/>
    <w:rsid w:val="00DC6AB6"/>
    <w:rsid w:val="00DC6AC7"/>
    <w:rsid w:val="00DC6B94"/>
    <w:rsid w:val="00DC6BE6"/>
    <w:rsid w:val="00DC6DD6"/>
    <w:rsid w:val="00DC6E1D"/>
    <w:rsid w:val="00DC6E9A"/>
    <w:rsid w:val="00DC6F1F"/>
    <w:rsid w:val="00DC6F97"/>
    <w:rsid w:val="00DC6F99"/>
    <w:rsid w:val="00DC7112"/>
    <w:rsid w:val="00DC7173"/>
    <w:rsid w:val="00DC727A"/>
    <w:rsid w:val="00DC72EF"/>
    <w:rsid w:val="00DC731D"/>
    <w:rsid w:val="00DC7392"/>
    <w:rsid w:val="00DC7433"/>
    <w:rsid w:val="00DC748A"/>
    <w:rsid w:val="00DC7499"/>
    <w:rsid w:val="00DC7550"/>
    <w:rsid w:val="00DC75E9"/>
    <w:rsid w:val="00DC761A"/>
    <w:rsid w:val="00DC76A5"/>
    <w:rsid w:val="00DC788F"/>
    <w:rsid w:val="00DC7977"/>
    <w:rsid w:val="00DC7A4B"/>
    <w:rsid w:val="00DC7AE8"/>
    <w:rsid w:val="00DC7AED"/>
    <w:rsid w:val="00DC7AEE"/>
    <w:rsid w:val="00DC7B4E"/>
    <w:rsid w:val="00DC7B7D"/>
    <w:rsid w:val="00DC7C17"/>
    <w:rsid w:val="00DC7C31"/>
    <w:rsid w:val="00DC7C6C"/>
    <w:rsid w:val="00DC7CDE"/>
    <w:rsid w:val="00DC7CE0"/>
    <w:rsid w:val="00DC7D71"/>
    <w:rsid w:val="00DC7F97"/>
    <w:rsid w:val="00DD008C"/>
    <w:rsid w:val="00DD00D3"/>
    <w:rsid w:val="00DD0120"/>
    <w:rsid w:val="00DD0214"/>
    <w:rsid w:val="00DD0227"/>
    <w:rsid w:val="00DD0357"/>
    <w:rsid w:val="00DD0368"/>
    <w:rsid w:val="00DD037B"/>
    <w:rsid w:val="00DD0381"/>
    <w:rsid w:val="00DD0679"/>
    <w:rsid w:val="00DD06B1"/>
    <w:rsid w:val="00DD06E3"/>
    <w:rsid w:val="00DD06FF"/>
    <w:rsid w:val="00DD0753"/>
    <w:rsid w:val="00DD075F"/>
    <w:rsid w:val="00DD076A"/>
    <w:rsid w:val="00DD0780"/>
    <w:rsid w:val="00DD07F7"/>
    <w:rsid w:val="00DD081B"/>
    <w:rsid w:val="00DD082F"/>
    <w:rsid w:val="00DD0868"/>
    <w:rsid w:val="00DD0884"/>
    <w:rsid w:val="00DD08AF"/>
    <w:rsid w:val="00DD08F0"/>
    <w:rsid w:val="00DD0943"/>
    <w:rsid w:val="00DD09E8"/>
    <w:rsid w:val="00DD0B4F"/>
    <w:rsid w:val="00DD0B93"/>
    <w:rsid w:val="00DD0C98"/>
    <w:rsid w:val="00DD0CD3"/>
    <w:rsid w:val="00DD0D5C"/>
    <w:rsid w:val="00DD0D69"/>
    <w:rsid w:val="00DD0D97"/>
    <w:rsid w:val="00DD0EC8"/>
    <w:rsid w:val="00DD10C6"/>
    <w:rsid w:val="00DD113C"/>
    <w:rsid w:val="00DD11AC"/>
    <w:rsid w:val="00DD11DB"/>
    <w:rsid w:val="00DD122B"/>
    <w:rsid w:val="00DD122C"/>
    <w:rsid w:val="00DD12DB"/>
    <w:rsid w:val="00DD1353"/>
    <w:rsid w:val="00DD1399"/>
    <w:rsid w:val="00DD139E"/>
    <w:rsid w:val="00DD141B"/>
    <w:rsid w:val="00DD1483"/>
    <w:rsid w:val="00DD14A8"/>
    <w:rsid w:val="00DD14BB"/>
    <w:rsid w:val="00DD16E4"/>
    <w:rsid w:val="00DD16ED"/>
    <w:rsid w:val="00DD1790"/>
    <w:rsid w:val="00DD1796"/>
    <w:rsid w:val="00DD1886"/>
    <w:rsid w:val="00DD19EE"/>
    <w:rsid w:val="00DD1A33"/>
    <w:rsid w:val="00DD1A43"/>
    <w:rsid w:val="00DD1A64"/>
    <w:rsid w:val="00DD1A86"/>
    <w:rsid w:val="00DD1B80"/>
    <w:rsid w:val="00DD1C3D"/>
    <w:rsid w:val="00DD1C97"/>
    <w:rsid w:val="00DD1CAA"/>
    <w:rsid w:val="00DD1CDC"/>
    <w:rsid w:val="00DD1D3F"/>
    <w:rsid w:val="00DD1F0C"/>
    <w:rsid w:val="00DD2023"/>
    <w:rsid w:val="00DD205A"/>
    <w:rsid w:val="00DD2151"/>
    <w:rsid w:val="00DD216C"/>
    <w:rsid w:val="00DD219D"/>
    <w:rsid w:val="00DD22CB"/>
    <w:rsid w:val="00DD230C"/>
    <w:rsid w:val="00DD234A"/>
    <w:rsid w:val="00DD238A"/>
    <w:rsid w:val="00DD23AF"/>
    <w:rsid w:val="00DD2409"/>
    <w:rsid w:val="00DD240D"/>
    <w:rsid w:val="00DD259F"/>
    <w:rsid w:val="00DD262A"/>
    <w:rsid w:val="00DD26A6"/>
    <w:rsid w:val="00DD282A"/>
    <w:rsid w:val="00DD2866"/>
    <w:rsid w:val="00DD2941"/>
    <w:rsid w:val="00DD29EA"/>
    <w:rsid w:val="00DD2AD1"/>
    <w:rsid w:val="00DD2CD3"/>
    <w:rsid w:val="00DD2D08"/>
    <w:rsid w:val="00DD2DE0"/>
    <w:rsid w:val="00DD2E4D"/>
    <w:rsid w:val="00DD2E65"/>
    <w:rsid w:val="00DD2EC4"/>
    <w:rsid w:val="00DD2F31"/>
    <w:rsid w:val="00DD2F79"/>
    <w:rsid w:val="00DD2FCA"/>
    <w:rsid w:val="00DD2FD6"/>
    <w:rsid w:val="00DD307A"/>
    <w:rsid w:val="00DD30BD"/>
    <w:rsid w:val="00DD30FB"/>
    <w:rsid w:val="00DD31BA"/>
    <w:rsid w:val="00DD323D"/>
    <w:rsid w:val="00DD3396"/>
    <w:rsid w:val="00DD340A"/>
    <w:rsid w:val="00DD345F"/>
    <w:rsid w:val="00DD3569"/>
    <w:rsid w:val="00DD3644"/>
    <w:rsid w:val="00DD36E3"/>
    <w:rsid w:val="00DD36EA"/>
    <w:rsid w:val="00DD36FD"/>
    <w:rsid w:val="00DD3718"/>
    <w:rsid w:val="00DD371C"/>
    <w:rsid w:val="00DD372F"/>
    <w:rsid w:val="00DD37A4"/>
    <w:rsid w:val="00DD38D9"/>
    <w:rsid w:val="00DD38F4"/>
    <w:rsid w:val="00DD39E0"/>
    <w:rsid w:val="00DD3A55"/>
    <w:rsid w:val="00DD3A6D"/>
    <w:rsid w:val="00DD3AA5"/>
    <w:rsid w:val="00DD3B31"/>
    <w:rsid w:val="00DD3B42"/>
    <w:rsid w:val="00DD3B47"/>
    <w:rsid w:val="00DD3BEC"/>
    <w:rsid w:val="00DD3C9C"/>
    <w:rsid w:val="00DD3CAD"/>
    <w:rsid w:val="00DD3CDC"/>
    <w:rsid w:val="00DD3CEA"/>
    <w:rsid w:val="00DD3E41"/>
    <w:rsid w:val="00DD3E98"/>
    <w:rsid w:val="00DD3EF8"/>
    <w:rsid w:val="00DD3F4E"/>
    <w:rsid w:val="00DD401B"/>
    <w:rsid w:val="00DD40C3"/>
    <w:rsid w:val="00DD418D"/>
    <w:rsid w:val="00DD4274"/>
    <w:rsid w:val="00DD43AD"/>
    <w:rsid w:val="00DD43DA"/>
    <w:rsid w:val="00DD44D8"/>
    <w:rsid w:val="00DD45C3"/>
    <w:rsid w:val="00DD45DE"/>
    <w:rsid w:val="00DD471C"/>
    <w:rsid w:val="00DD4765"/>
    <w:rsid w:val="00DD487F"/>
    <w:rsid w:val="00DD48B5"/>
    <w:rsid w:val="00DD493E"/>
    <w:rsid w:val="00DD4964"/>
    <w:rsid w:val="00DD4A10"/>
    <w:rsid w:val="00DD4A9B"/>
    <w:rsid w:val="00DD4AB7"/>
    <w:rsid w:val="00DD4B19"/>
    <w:rsid w:val="00DD4CA4"/>
    <w:rsid w:val="00DD4CB9"/>
    <w:rsid w:val="00DD4D52"/>
    <w:rsid w:val="00DD4D77"/>
    <w:rsid w:val="00DD4DB0"/>
    <w:rsid w:val="00DD4E92"/>
    <w:rsid w:val="00DD4F11"/>
    <w:rsid w:val="00DD50B7"/>
    <w:rsid w:val="00DD5120"/>
    <w:rsid w:val="00DD512B"/>
    <w:rsid w:val="00DD51CE"/>
    <w:rsid w:val="00DD5293"/>
    <w:rsid w:val="00DD52C8"/>
    <w:rsid w:val="00DD52DA"/>
    <w:rsid w:val="00DD52E1"/>
    <w:rsid w:val="00DD52E8"/>
    <w:rsid w:val="00DD5347"/>
    <w:rsid w:val="00DD5444"/>
    <w:rsid w:val="00DD54D1"/>
    <w:rsid w:val="00DD55BC"/>
    <w:rsid w:val="00DD563E"/>
    <w:rsid w:val="00DD573C"/>
    <w:rsid w:val="00DD5757"/>
    <w:rsid w:val="00DD5779"/>
    <w:rsid w:val="00DD5864"/>
    <w:rsid w:val="00DD5867"/>
    <w:rsid w:val="00DD58DD"/>
    <w:rsid w:val="00DD59D9"/>
    <w:rsid w:val="00DD5A1C"/>
    <w:rsid w:val="00DD5A40"/>
    <w:rsid w:val="00DD5A98"/>
    <w:rsid w:val="00DD5B7C"/>
    <w:rsid w:val="00DD5BF5"/>
    <w:rsid w:val="00DD5CAB"/>
    <w:rsid w:val="00DD5D0D"/>
    <w:rsid w:val="00DD5D20"/>
    <w:rsid w:val="00DD5E30"/>
    <w:rsid w:val="00DD5F30"/>
    <w:rsid w:val="00DD5FFB"/>
    <w:rsid w:val="00DD6007"/>
    <w:rsid w:val="00DD626A"/>
    <w:rsid w:val="00DD6323"/>
    <w:rsid w:val="00DD6395"/>
    <w:rsid w:val="00DD6397"/>
    <w:rsid w:val="00DD63C7"/>
    <w:rsid w:val="00DD65BB"/>
    <w:rsid w:val="00DD662C"/>
    <w:rsid w:val="00DD66FB"/>
    <w:rsid w:val="00DD6782"/>
    <w:rsid w:val="00DD67EC"/>
    <w:rsid w:val="00DD6936"/>
    <w:rsid w:val="00DD6A1E"/>
    <w:rsid w:val="00DD6BCD"/>
    <w:rsid w:val="00DD6BDB"/>
    <w:rsid w:val="00DD6C39"/>
    <w:rsid w:val="00DD6CA0"/>
    <w:rsid w:val="00DD6CE1"/>
    <w:rsid w:val="00DD6D3F"/>
    <w:rsid w:val="00DD6D4D"/>
    <w:rsid w:val="00DD6D60"/>
    <w:rsid w:val="00DD6E5D"/>
    <w:rsid w:val="00DD6EC5"/>
    <w:rsid w:val="00DD700D"/>
    <w:rsid w:val="00DD70DF"/>
    <w:rsid w:val="00DD71A3"/>
    <w:rsid w:val="00DD71C9"/>
    <w:rsid w:val="00DD72E4"/>
    <w:rsid w:val="00DD7348"/>
    <w:rsid w:val="00DD734C"/>
    <w:rsid w:val="00DD7351"/>
    <w:rsid w:val="00DD746F"/>
    <w:rsid w:val="00DD7583"/>
    <w:rsid w:val="00DD759D"/>
    <w:rsid w:val="00DD75B8"/>
    <w:rsid w:val="00DD75D2"/>
    <w:rsid w:val="00DD7620"/>
    <w:rsid w:val="00DD764C"/>
    <w:rsid w:val="00DD765D"/>
    <w:rsid w:val="00DD773D"/>
    <w:rsid w:val="00DD779B"/>
    <w:rsid w:val="00DD785E"/>
    <w:rsid w:val="00DD7875"/>
    <w:rsid w:val="00DD7A14"/>
    <w:rsid w:val="00DD7A58"/>
    <w:rsid w:val="00DD7C2A"/>
    <w:rsid w:val="00DD7CF5"/>
    <w:rsid w:val="00DD7DD3"/>
    <w:rsid w:val="00DD7F0B"/>
    <w:rsid w:val="00DDA1FB"/>
    <w:rsid w:val="00DE001D"/>
    <w:rsid w:val="00DE014F"/>
    <w:rsid w:val="00DE02F5"/>
    <w:rsid w:val="00DE0336"/>
    <w:rsid w:val="00DE0364"/>
    <w:rsid w:val="00DE038F"/>
    <w:rsid w:val="00DE03A2"/>
    <w:rsid w:val="00DE03E7"/>
    <w:rsid w:val="00DE0457"/>
    <w:rsid w:val="00DE0542"/>
    <w:rsid w:val="00DE0567"/>
    <w:rsid w:val="00DE05CC"/>
    <w:rsid w:val="00DE064D"/>
    <w:rsid w:val="00DE06CC"/>
    <w:rsid w:val="00DE07E8"/>
    <w:rsid w:val="00DE0873"/>
    <w:rsid w:val="00DE08E1"/>
    <w:rsid w:val="00DE0914"/>
    <w:rsid w:val="00DE0971"/>
    <w:rsid w:val="00DE097C"/>
    <w:rsid w:val="00DE09AE"/>
    <w:rsid w:val="00DE09C6"/>
    <w:rsid w:val="00DE0C36"/>
    <w:rsid w:val="00DE0C8A"/>
    <w:rsid w:val="00DE0D0B"/>
    <w:rsid w:val="00DE0E15"/>
    <w:rsid w:val="00DE0E62"/>
    <w:rsid w:val="00DE0F02"/>
    <w:rsid w:val="00DE106C"/>
    <w:rsid w:val="00DE107A"/>
    <w:rsid w:val="00DE1112"/>
    <w:rsid w:val="00DE1155"/>
    <w:rsid w:val="00DE11BA"/>
    <w:rsid w:val="00DE1299"/>
    <w:rsid w:val="00DE1335"/>
    <w:rsid w:val="00DE13B4"/>
    <w:rsid w:val="00DE13DE"/>
    <w:rsid w:val="00DE16BF"/>
    <w:rsid w:val="00DE16D2"/>
    <w:rsid w:val="00DE17AD"/>
    <w:rsid w:val="00DE17C1"/>
    <w:rsid w:val="00DE184B"/>
    <w:rsid w:val="00DE18E2"/>
    <w:rsid w:val="00DE1986"/>
    <w:rsid w:val="00DE1A0D"/>
    <w:rsid w:val="00DE1A4B"/>
    <w:rsid w:val="00DE1A70"/>
    <w:rsid w:val="00DE1B25"/>
    <w:rsid w:val="00DE1B46"/>
    <w:rsid w:val="00DE1C03"/>
    <w:rsid w:val="00DE1C2C"/>
    <w:rsid w:val="00DE1C58"/>
    <w:rsid w:val="00DE1C68"/>
    <w:rsid w:val="00DE1CE7"/>
    <w:rsid w:val="00DE1DCF"/>
    <w:rsid w:val="00DE1DF2"/>
    <w:rsid w:val="00DE1E76"/>
    <w:rsid w:val="00DE1EFF"/>
    <w:rsid w:val="00DE1F97"/>
    <w:rsid w:val="00DE2014"/>
    <w:rsid w:val="00DE20EB"/>
    <w:rsid w:val="00DE211A"/>
    <w:rsid w:val="00DE2144"/>
    <w:rsid w:val="00DE2225"/>
    <w:rsid w:val="00DE2375"/>
    <w:rsid w:val="00DE23C7"/>
    <w:rsid w:val="00DE2589"/>
    <w:rsid w:val="00DE267D"/>
    <w:rsid w:val="00DE2688"/>
    <w:rsid w:val="00DE28A8"/>
    <w:rsid w:val="00DE294C"/>
    <w:rsid w:val="00DE297D"/>
    <w:rsid w:val="00DE297E"/>
    <w:rsid w:val="00DE2990"/>
    <w:rsid w:val="00DE2A2A"/>
    <w:rsid w:val="00DE2AC0"/>
    <w:rsid w:val="00DE2CB2"/>
    <w:rsid w:val="00DE2CEB"/>
    <w:rsid w:val="00DE2D01"/>
    <w:rsid w:val="00DE2DDC"/>
    <w:rsid w:val="00DE2DFE"/>
    <w:rsid w:val="00DE2E3F"/>
    <w:rsid w:val="00DE2FDD"/>
    <w:rsid w:val="00DE306D"/>
    <w:rsid w:val="00DE31AB"/>
    <w:rsid w:val="00DE3270"/>
    <w:rsid w:val="00DE3397"/>
    <w:rsid w:val="00DE34A6"/>
    <w:rsid w:val="00DE3545"/>
    <w:rsid w:val="00DE3563"/>
    <w:rsid w:val="00DE3565"/>
    <w:rsid w:val="00DE35F0"/>
    <w:rsid w:val="00DE36BC"/>
    <w:rsid w:val="00DE3704"/>
    <w:rsid w:val="00DE3796"/>
    <w:rsid w:val="00DE37DA"/>
    <w:rsid w:val="00DE38DA"/>
    <w:rsid w:val="00DE39B2"/>
    <w:rsid w:val="00DE39B9"/>
    <w:rsid w:val="00DE3A31"/>
    <w:rsid w:val="00DE3B4E"/>
    <w:rsid w:val="00DE3B89"/>
    <w:rsid w:val="00DE3B8A"/>
    <w:rsid w:val="00DE3C1D"/>
    <w:rsid w:val="00DE3C97"/>
    <w:rsid w:val="00DE3D2C"/>
    <w:rsid w:val="00DE3DBB"/>
    <w:rsid w:val="00DE3E20"/>
    <w:rsid w:val="00DE3F01"/>
    <w:rsid w:val="00DE3F79"/>
    <w:rsid w:val="00DE407F"/>
    <w:rsid w:val="00DE409E"/>
    <w:rsid w:val="00DE40FC"/>
    <w:rsid w:val="00DE415D"/>
    <w:rsid w:val="00DE423E"/>
    <w:rsid w:val="00DE426E"/>
    <w:rsid w:val="00DE42E8"/>
    <w:rsid w:val="00DE42F3"/>
    <w:rsid w:val="00DE42F9"/>
    <w:rsid w:val="00DE439F"/>
    <w:rsid w:val="00DE43E7"/>
    <w:rsid w:val="00DE4500"/>
    <w:rsid w:val="00DE4514"/>
    <w:rsid w:val="00DE456A"/>
    <w:rsid w:val="00DE4580"/>
    <w:rsid w:val="00DE45AC"/>
    <w:rsid w:val="00DE460D"/>
    <w:rsid w:val="00DE4615"/>
    <w:rsid w:val="00DE4632"/>
    <w:rsid w:val="00DE4649"/>
    <w:rsid w:val="00DE4743"/>
    <w:rsid w:val="00DE47AE"/>
    <w:rsid w:val="00DE47FB"/>
    <w:rsid w:val="00DE483D"/>
    <w:rsid w:val="00DE4899"/>
    <w:rsid w:val="00DE48B6"/>
    <w:rsid w:val="00DE48B7"/>
    <w:rsid w:val="00DE4906"/>
    <w:rsid w:val="00DE49FF"/>
    <w:rsid w:val="00DE4A68"/>
    <w:rsid w:val="00DE4A6C"/>
    <w:rsid w:val="00DE4A9D"/>
    <w:rsid w:val="00DE4ABC"/>
    <w:rsid w:val="00DE4B61"/>
    <w:rsid w:val="00DE4BFF"/>
    <w:rsid w:val="00DE4C2E"/>
    <w:rsid w:val="00DE4C9A"/>
    <w:rsid w:val="00DE4DA0"/>
    <w:rsid w:val="00DE4E40"/>
    <w:rsid w:val="00DE4E99"/>
    <w:rsid w:val="00DE4EC2"/>
    <w:rsid w:val="00DE4EDF"/>
    <w:rsid w:val="00DE4EE5"/>
    <w:rsid w:val="00DE4FAF"/>
    <w:rsid w:val="00DE4FE1"/>
    <w:rsid w:val="00DE506D"/>
    <w:rsid w:val="00DE50C8"/>
    <w:rsid w:val="00DE5295"/>
    <w:rsid w:val="00DE52B7"/>
    <w:rsid w:val="00DE531E"/>
    <w:rsid w:val="00DE53F9"/>
    <w:rsid w:val="00DE544F"/>
    <w:rsid w:val="00DE54CC"/>
    <w:rsid w:val="00DE5622"/>
    <w:rsid w:val="00DE568E"/>
    <w:rsid w:val="00DE5772"/>
    <w:rsid w:val="00DE5950"/>
    <w:rsid w:val="00DE59A1"/>
    <w:rsid w:val="00DE5B1D"/>
    <w:rsid w:val="00DE5B74"/>
    <w:rsid w:val="00DE5BB4"/>
    <w:rsid w:val="00DE5CE5"/>
    <w:rsid w:val="00DE5CFC"/>
    <w:rsid w:val="00DE5DAD"/>
    <w:rsid w:val="00DE5E3B"/>
    <w:rsid w:val="00DE5E48"/>
    <w:rsid w:val="00DE5E9C"/>
    <w:rsid w:val="00DE6064"/>
    <w:rsid w:val="00DE61A8"/>
    <w:rsid w:val="00DE61B8"/>
    <w:rsid w:val="00DE61E2"/>
    <w:rsid w:val="00DE61EF"/>
    <w:rsid w:val="00DE6258"/>
    <w:rsid w:val="00DE62AF"/>
    <w:rsid w:val="00DE6490"/>
    <w:rsid w:val="00DE64BF"/>
    <w:rsid w:val="00DE65B9"/>
    <w:rsid w:val="00DE6618"/>
    <w:rsid w:val="00DE67A1"/>
    <w:rsid w:val="00DE67A6"/>
    <w:rsid w:val="00DE682D"/>
    <w:rsid w:val="00DE6889"/>
    <w:rsid w:val="00DE68AC"/>
    <w:rsid w:val="00DE6909"/>
    <w:rsid w:val="00DE69AD"/>
    <w:rsid w:val="00DE6B45"/>
    <w:rsid w:val="00DE6BB4"/>
    <w:rsid w:val="00DE6BB9"/>
    <w:rsid w:val="00DE6BE5"/>
    <w:rsid w:val="00DE6E7C"/>
    <w:rsid w:val="00DE6F10"/>
    <w:rsid w:val="00DE6F3E"/>
    <w:rsid w:val="00DE6F46"/>
    <w:rsid w:val="00DE7041"/>
    <w:rsid w:val="00DE7072"/>
    <w:rsid w:val="00DE7107"/>
    <w:rsid w:val="00DE71B7"/>
    <w:rsid w:val="00DE72C0"/>
    <w:rsid w:val="00DE731E"/>
    <w:rsid w:val="00DE73AA"/>
    <w:rsid w:val="00DE73B0"/>
    <w:rsid w:val="00DE745B"/>
    <w:rsid w:val="00DE7517"/>
    <w:rsid w:val="00DE755D"/>
    <w:rsid w:val="00DE7574"/>
    <w:rsid w:val="00DE7596"/>
    <w:rsid w:val="00DE75C7"/>
    <w:rsid w:val="00DE75FB"/>
    <w:rsid w:val="00DE7665"/>
    <w:rsid w:val="00DE7669"/>
    <w:rsid w:val="00DE77A4"/>
    <w:rsid w:val="00DE77E3"/>
    <w:rsid w:val="00DE78DF"/>
    <w:rsid w:val="00DE791D"/>
    <w:rsid w:val="00DE7937"/>
    <w:rsid w:val="00DE797E"/>
    <w:rsid w:val="00DE79C4"/>
    <w:rsid w:val="00DE7ACB"/>
    <w:rsid w:val="00DE7B12"/>
    <w:rsid w:val="00DE7B3D"/>
    <w:rsid w:val="00DE7B9F"/>
    <w:rsid w:val="00DE7BAF"/>
    <w:rsid w:val="00DE7C21"/>
    <w:rsid w:val="00DE7C40"/>
    <w:rsid w:val="00DE7CAF"/>
    <w:rsid w:val="00DE7DB4"/>
    <w:rsid w:val="00DE7DB5"/>
    <w:rsid w:val="00DE7FDD"/>
    <w:rsid w:val="00DF0032"/>
    <w:rsid w:val="00DF010D"/>
    <w:rsid w:val="00DF0110"/>
    <w:rsid w:val="00DF01DB"/>
    <w:rsid w:val="00DF0205"/>
    <w:rsid w:val="00DF0332"/>
    <w:rsid w:val="00DF033A"/>
    <w:rsid w:val="00DF03BF"/>
    <w:rsid w:val="00DF03E4"/>
    <w:rsid w:val="00DF0451"/>
    <w:rsid w:val="00DF04AD"/>
    <w:rsid w:val="00DF04B5"/>
    <w:rsid w:val="00DF065D"/>
    <w:rsid w:val="00DF06A3"/>
    <w:rsid w:val="00DF07FE"/>
    <w:rsid w:val="00DF0843"/>
    <w:rsid w:val="00DF0845"/>
    <w:rsid w:val="00DF0917"/>
    <w:rsid w:val="00DF0A4F"/>
    <w:rsid w:val="00DF0A98"/>
    <w:rsid w:val="00DF0B4B"/>
    <w:rsid w:val="00DF0C08"/>
    <w:rsid w:val="00DF0DA4"/>
    <w:rsid w:val="00DF0DBD"/>
    <w:rsid w:val="00DF0E0D"/>
    <w:rsid w:val="00DF0E46"/>
    <w:rsid w:val="00DF0E56"/>
    <w:rsid w:val="00DF0F0B"/>
    <w:rsid w:val="00DF0FAE"/>
    <w:rsid w:val="00DF0FDF"/>
    <w:rsid w:val="00DF123D"/>
    <w:rsid w:val="00DF13EC"/>
    <w:rsid w:val="00DF1567"/>
    <w:rsid w:val="00DF15AF"/>
    <w:rsid w:val="00DF15F0"/>
    <w:rsid w:val="00DF15F9"/>
    <w:rsid w:val="00DF16B9"/>
    <w:rsid w:val="00DF16F2"/>
    <w:rsid w:val="00DF1786"/>
    <w:rsid w:val="00DF188B"/>
    <w:rsid w:val="00DF1963"/>
    <w:rsid w:val="00DF19AC"/>
    <w:rsid w:val="00DF1B16"/>
    <w:rsid w:val="00DF1CCE"/>
    <w:rsid w:val="00DF1DD0"/>
    <w:rsid w:val="00DF1E36"/>
    <w:rsid w:val="00DF1E84"/>
    <w:rsid w:val="00DF1EA6"/>
    <w:rsid w:val="00DF1EB3"/>
    <w:rsid w:val="00DF1F19"/>
    <w:rsid w:val="00DF1FC1"/>
    <w:rsid w:val="00DF1FDD"/>
    <w:rsid w:val="00DF20B1"/>
    <w:rsid w:val="00DF20EC"/>
    <w:rsid w:val="00DF2112"/>
    <w:rsid w:val="00DF211D"/>
    <w:rsid w:val="00DF21CE"/>
    <w:rsid w:val="00DF2253"/>
    <w:rsid w:val="00DF23D6"/>
    <w:rsid w:val="00DF249A"/>
    <w:rsid w:val="00DF249B"/>
    <w:rsid w:val="00DF255C"/>
    <w:rsid w:val="00DF257F"/>
    <w:rsid w:val="00DF2605"/>
    <w:rsid w:val="00DF27DB"/>
    <w:rsid w:val="00DF2833"/>
    <w:rsid w:val="00DF28C7"/>
    <w:rsid w:val="00DF29E0"/>
    <w:rsid w:val="00DF2B11"/>
    <w:rsid w:val="00DF2B53"/>
    <w:rsid w:val="00DF2BC8"/>
    <w:rsid w:val="00DF2C08"/>
    <w:rsid w:val="00DF2C0C"/>
    <w:rsid w:val="00DF2C75"/>
    <w:rsid w:val="00DF2C81"/>
    <w:rsid w:val="00DF2E6A"/>
    <w:rsid w:val="00DF2EAD"/>
    <w:rsid w:val="00DF30B3"/>
    <w:rsid w:val="00DF319E"/>
    <w:rsid w:val="00DF31A9"/>
    <w:rsid w:val="00DF326E"/>
    <w:rsid w:val="00DF3278"/>
    <w:rsid w:val="00DF3285"/>
    <w:rsid w:val="00DF32D6"/>
    <w:rsid w:val="00DF32DA"/>
    <w:rsid w:val="00DF3318"/>
    <w:rsid w:val="00DF3333"/>
    <w:rsid w:val="00DF3402"/>
    <w:rsid w:val="00DF354F"/>
    <w:rsid w:val="00DF3608"/>
    <w:rsid w:val="00DF36E6"/>
    <w:rsid w:val="00DF36E9"/>
    <w:rsid w:val="00DF3751"/>
    <w:rsid w:val="00DF3978"/>
    <w:rsid w:val="00DF39D8"/>
    <w:rsid w:val="00DF3A6E"/>
    <w:rsid w:val="00DF3AD8"/>
    <w:rsid w:val="00DF3B17"/>
    <w:rsid w:val="00DF3C9F"/>
    <w:rsid w:val="00DF3D76"/>
    <w:rsid w:val="00DF3D8F"/>
    <w:rsid w:val="00DF3DF1"/>
    <w:rsid w:val="00DF3F60"/>
    <w:rsid w:val="00DF407E"/>
    <w:rsid w:val="00DF4194"/>
    <w:rsid w:val="00DF426A"/>
    <w:rsid w:val="00DF4273"/>
    <w:rsid w:val="00DF4459"/>
    <w:rsid w:val="00DF449B"/>
    <w:rsid w:val="00DF44CC"/>
    <w:rsid w:val="00DF4504"/>
    <w:rsid w:val="00DF451D"/>
    <w:rsid w:val="00DF45C1"/>
    <w:rsid w:val="00DF45FD"/>
    <w:rsid w:val="00DF4611"/>
    <w:rsid w:val="00DF4657"/>
    <w:rsid w:val="00DF46E3"/>
    <w:rsid w:val="00DF4837"/>
    <w:rsid w:val="00DF4842"/>
    <w:rsid w:val="00DF48D7"/>
    <w:rsid w:val="00DF4995"/>
    <w:rsid w:val="00DF4A04"/>
    <w:rsid w:val="00DF4A07"/>
    <w:rsid w:val="00DF4A5A"/>
    <w:rsid w:val="00DF4AA7"/>
    <w:rsid w:val="00DF4ADE"/>
    <w:rsid w:val="00DF4AF0"/>
    <w:rsid w:val="00DF4BD2"/>
    <w:rsid w:val="00DF4BE4"/>
    <w:rsid w:val="00DF4CC4"/>
    <w:rsid w:val="00DF4CFF"/>
    <w:rsid w:val="00DF4D4B"/>
    <w:rsid w:val="00DF4E89"/>
    <w:rsid w:val="00DF4EB0"/>
    <w:rsid w:val="00DF4F26"/>
    <w:rsid w:val="00DF4F49"/>
    <w:rsid w:val="00DF4F8E"/>
    <w:rsid w:val="00DF5014"/>
    <w:rsid w:val="00DF5061"/>
    <w:rsid w:val="00DF50C5"/>
    <w:rsid w:val="00DF50CD"/>
    <w:rsid w:val="00DF5103"/>
    <w:rsid w:val="00DF5180"/>
    <w:rsid w:val="00DF53CC"/>
    <w:rsid w:val="00DF5403"/>
    <w:rsid w:val="00DF540C"/>
    <w:rsid w:val="00DF5415"/>
    <w:rsid w:val="00DF5452"/>
    <w:rsid w:val="00DF549E"/>
    <w:rsid w:val="00DF55E0"/>
    <w:rsid w:val="00DF568C"/>
    <w:rsid w:val="00DF56A6"/>
    <w:rsid w:val="00DF56E9"/>
    <w:rsid w:val="00DF5819"/>
    <w:rsid w:val="00DF5848"/>
    <w:rsid w:val="00DF5916"/>
    <w:rsid w:val="00DF5927"/>
    <w:rsid w:val="00DF5931"/>
    <w:rsid w:val="00DF5984"/>
    <w:rsid w:val="00DF5A3D"/>
    <w:rsid w:val="00DF5A42"/>
    <w:rsid w:val="00DF5B2C"/>
    <w:rsid w:val="00DF5B8A"/>
    <w:rsid w:val="00DF5C30"/>
    <w:rsid w:val="00DF5CBE"/>
    <w:rsid w:val="00DF5CF7"/>
    <w:rsid w:val="00DF5D1D"/>
    <w:rsid w:val="00DF5E09"/>
    <w:rsid w:val="00DF5E4C"/>
    <w:rsid w:val="00DF5EA4"/>
    <w:rsid w:val="00DF5EB4"/>
    <w:rsid w:val="00DF5F85"/>
    <w:rsid w:val="00DF5FC3"/>
    <w:rsid w:val="00DF5FCB"/>
    <w:rsid w:val="00DF6036"/>
    <w:rsid w:val="00DF6150"/>
    <w:rsid w:val="00DF6230"/>
    <w:rsid w:val="00DF6278"/>
    <w:rsid w:val="00DF629C"/>
    <w:rsid w:val="00DF6387"/>
    <w:rsid w:val="00DF63C9"/>
    <w:rsid w:val="00DF63F2"/>
    <w:rsid w:val="00DF64DB"/>
    <w:rsid w:val="00DF6572"/>
    <w:rsid w:val="00DF65DC"/>
    <w:rsid w:val="00DF660C"/>
    <w:rsid w:val="00DF6611"/>
    <w:rsid w:val="00DF6695"/>
    <w:rsid w:val="00DF66C4"/>
    <w:rsid w:val="00DF671F"/>
    <w:rsid w:val="00DF6885"/>
    <w:rsid w:val="00DF68D4"/>
    <w:rsid w:val="00DF6937"/>
    <w:rsid w:val="00DF6A5F"/>
    <w:rsid w:val="00DF6A7A"/>
    <w:rsid w:val="00DF6B63"/>
    <w:rsid w:val="00DF6B6B"/>
    <w:rsid w:val="00DF6B94"/>
    <w:rsid w:val="00DF6C0F"/>
    <w:rsid w:val="00DF6CC8"/>
    <w:rsid w:val="00DF6E02"/>
    <w:rsid w:val="00DF6E3B"/>
    <w:rsid w:val="00DF6E46"/>
    <w:rsid w:val="00DF6E6A"/>
    <w:rsid w:val="00DF6E93"/>
    <w:rsid w:val="00DF6F5A"/>
    <w:rsid w:val="00DF6FDD"/>
    <w:rsid w:val="00DF7015"/>
    <w:rsid w:val="00DF7044"/>
    <w:rsid w:val="00DF70C2"/>
    <w:rsid w:val="00DF70CB"/>
    <w:rsid w:val="00DF7290"/>
    <w:rsid w:val="00DF72D1"/>
    <w:rsid w:val="00DF730D"/>
    <w:rsid w:val="00DF7373"/>
    <w:rsid w:val="00DF7467"/>
    <w:rsid w:val="00DF74E1"/>
    <w:rsid w:val="00DF7610"/>
    <w:rsid w:val="00DF7694"/>
    <w:rsid w:val="00DF771D"/>
    <w:rsid w:val="00DF7746"/>
    <w:rsid w:val="00DF789C"/>
    <w:rsid w:val="00DF7917"/>
    <w:rsid w:val="00DF793A"/>
    <w:rsid w:val="00DF796E"/>
    <w:rsid w:val="00DF7975"/>
    <w:rsid w:val="00DF7B8B"/>
    <w:rsid w:val="00DF7BA4"/>
    <w:rsid w:val="00DF7C14"/>
    <w:rsid w:val="00DF7E50"/>
    <w:rsid w:val="00DF7E75"/>
    <w:rsid w:val="00DF7F24"/>
    <w:rsid w:val="00DF7FA3"/>
    <w:rsid w:val="00DF7FE5"/>
    <w:rsid w:val="00E0003A"/>
    <w:rsid w:val="00E0011E"/>
    <w:rsid w:val="00E00140"/>
    <w:rsid w:val="00E0018E"/>
    <w:rsid w:val="00E0029A"/>
    <w:rsid w:val="00E00325"/>
    <w:rsid w:val="00E0035E"/>
    <w:rsid w:val="00E0048A"/>
    <w:rsid w:val="00E00518"/>
    <w:rsid w:val="00E00585"/>
    <w:rsid w:val="00E005F1"/>
    <w:rsid w:val="00E0064F"/>
    <w:rsid w:val="00E0069F"/>
    <w:rsid w:val="00E006BD"/>
    <w:rsid w:val="00E00730"/>
    <w:rsid w:val="00E008CD"/>
    <w:rsid w:val="00E00967"/>
    <w:rsid w:val="00E009AC"/>
    <w:rsid w:val="00E009C1"/>
    <w:rsid w:val="00E00A01"/>
    <w:rsid w:val="00E00A73"/>
    <w:rsid w:val="00E00AA5"/>
    <w:rsid w:val="00E00B95"/>
    <w:rsid w:val="00E00C14"/>
    <w:rsid w:val="00E00D26"/>
    <w:rsid w:val="00E00DE7"/>
    <w:rsid w:val="00E00F01"/>
    <w:rsid w:val="00E00FC2"/>
    <w:rsid w:val="00E01092"/>
    <w:rsid w:val="00E010D8"/>
    <w:rsid w:val="00E01290"/>
    <w:rsid w:val="00E01320"/>
    <w:rsid w:val="00E01344"/>
    <w:rsid w:val="00E0135F"/>
    <w:rsid w:val="00E013E6"/>
    <w:rsid w:val="00E01565"/>
    <w:rsid w:val="00E015A9"/>
    <w:rsid w:val="00E01632"/>
    <w:rsid w:val="00E01809"/>
    <w:rsid w:val="00E01813"/>
    <w:rsid w:val="00E01837"/>
    <w:rsid w:val="00E0185A"/>
    <w:rsid w:val="00E018A0"/>
    <w:rsid w:val="00E01912"/>
    <w:rsid w:val="00E01989"/>
    <w:rsid w:val="00E01996"/>
    <w:rsid w:val="00E01A3F"/>
    <w:rsid w:val="00E01A4B"/>
    <w:rsid w:val="00E01A5D"/>
    <w:rsid w:val="00E01A64"/>
    <w:rsid w:val="00E01AB0"/>
    <w:rsid w:val="00E01B53"/>
    <w:rsid w:val="00E01C3B"/>
    <w:rsid w:val="00E01CA8"/>
    <w:rsid w:val="00E01E27"/>
    <w:rsid w:val="00E01F8D"/>
    <w:rsid w:val="00E02052"/>
    <w:rsid w:val="00E020D7"/>
    <w:rsid w:val="00E022CC"/>
    <w:rsid w:val="00E02367"/>
    <w:rsid w:val="00E02462"/>
    <w:rsid w:val="00E024B3"/>
    <w:rsid w:val="00E0257F"/>
    <w:rsid w:val="00E02585"/>
    <w:rsid w:val="00E02718"/>
    <w:rsid w:val="00E02781"/>
    <w:rsid w:val="00E02835"/>
    <w:rsid w:val="00E0287B"/>
    <w:rsid w:val="00E02883"/>
    <w:rsid w:val="00E028DC"/>
    <w:rsid w:val="00E029D9"/>
    <w:rsid w:val="00E029FC"/>
    <w:rsid w:val="00E02A64"/>
    <w:rsid w:val="00E02B10"/>
    <w:rsid w:val="00E02B80"/>
    <w:rsid w:val="00E02BF6"/>
    <w:rsid w:val="00E02C26"/>
    <w:rsid w:val="00E02CD3"/>
    <w:rsid w:val="00E02D52"/>
    <w:rsid w:val="00E02DB3"/>
    <w:rsid w:val="00E02E92"/>
    <w:rsid w:val="00E02EC4"/>
    <w:rsid w:val="00E02F62"/>
    <w:rsid w:val="00E02FFF"/>
    <w:rsid w:val="00E0305D"/>
    <w:rsid w:val="00E0305E"/>
    <w:rsid w:val="00E030B6"/>
    <w:rsid w:val="00E030C6"/>
    <w:rsid w:val="00E030D7"/>
    <w:rsid w:val="00E030DB"/>
    <w:rsid w:val="00E03284"/>
    <w:rsid w:val="00E032B2"/>
    <w:rsid w:val="00E032CA"/>
    <w:rsid w:val="00E03329"/>
    <w:rsid w:val="00E03358"/>
    <w:rsid w:val="00E0341A"/>
    <w:rsid w:val="00E0346C"/>
    <w:rsid w:val="00E03515"/>
    <w:rsid w:val="00E03606"/>
    <w:rsid w:val="00E036D2"/>
    <w:rsid w:val="00E03740"/>
    <w:rsid w:val="00E0376E"/>
    <w:rsid w:val="00E037A3"/>
    <w:rsid w:val="00E038B0"/>
    <w:rsid w:val="00E038CA"/>
    <w:rsid w:val="00E038E4"/>
    <w:rsid w:val="00E0393E"/>
    <w:rsid w:val="00E0397B"/>
    <w:rsid w:val="00E039E1"/>
    <w:rsid w:val="00E039F9"/>
    <w:rsid w:val="00E03B69"/>
    <w:rsid w:val="00E03BA0"/>
    <w:rsid w:val="00E03BB1"/>
    <w:rsid w:val="00E03BB7"/>
    <w:rsid w:val="00E03C1B"/>
    <w:rsid w:val="00E03C1C"/>
    <w:rsid w:val="00E03C4B"/>
    <w:rsid w:val="00E03C72"/>
    <w:rsid w:val="00E03CCB"/>
    <w:rsid w:val="00E03D91"/>
    <w:rsid w:val="00E03E2D"/>
    <w:rsid w:val="00E03F8D"/>
    <w:rsid w:val="00E0412D"/>
    <w:rsid w:val="00E04265"/>
    <w:rsid w:val="00E04272"/>
    <w:rsid w:val="00E042D1"/>
    <w:rsid w:val="00E0431E"/>
    <w:rsid w:val="00E043B9"/>
    <w:rsid w:val="00E043D3"/>
    <w:rsid w:val="00E04451"/>
    <w:rsid w:val="00E045F4"/>
    <w:rsid w:val="00E04623"/>
    <w:rsid w:val="00E0464F"/>
    <w:rsid w:val="00E04659"/>
    <w:rsid w:val="00E046BE"/>
    <w:rsid w:val="00E0473B"/>
    <w:rsid w:val="00E0474A"/>
    <w:rsid w:val="00E048B7"/>
    <w:rsid w:val="00E048D5"/>
    <w:rsid w:val="00E0497B"/>
    <w:rsid w:val="00E04984"/>
    <w:rsid w:val="00E04B1C"/>
    <w:rsid w:val="00E04B46"/>
    <w:rsid w:val="00E04BD8"/>
    <w:rsid w:val="00E04C01"/>
    <w:rsid w:val="00E04C05"/>
    <w:rsid w:val="00E04D32"/>
    <w:rsid w:val="00E04D5D"/>
    <w:rsid w:val="00E04DAC"/>
    <w:rsid w:val="00E04DC9"/>
    <w:rsid w:val="00E04DD5"/>
    <w:rsid w:val="00E04E78"/>
    <w:rsid w:val="00E04F16"/>
    <w:rsid w:val="00E04F2A"/>
    <w:rsid w:val="00E04F4F"/>
    <w:rsid w:val="00E04FF1"/>
    <w:rsid w:val="00E05140"/>
    <w:rsid w:val="00E0518F"/>
    <w:rsid w:val="00E0521C"/>
    <w:rsid w:val="00E0526C"/>
    <w:rsid w:val="00E052E6"/>
    <w:rsid w:val="00E053D0"/>
    <w:rsid w:val="00E053D8"/>
    <w:rsid w:val="00E053F0"/>
    <w:rsid w:val="00E054A3"/>
    <w:rsid w:val="00E055B1"/>
    <w:rsid w:val="00E056D8"/>
    <w:rsid w:val="00E056F5"/>
    <w:rsid w:val="00E05770"/>
    <w:rsid w:val="00E059DA"/>
    <w:rsid w:val="00E05A33"/>
    <w:rsid w:val="00E05A92"/>
    <w:rsid w:val="00E05B32"/>
    <w:rsid w:val="00E05BF2"/>
    <w:rsid w:val="00E05C10"/>
    <w:rsid w:val="00E05C7C"/>
    <w:rsid w:val="00E05CA6"/>
    <w:rsid w:val="00E05D02"/>
    <w:rsid w:val="00E05D98"/>
    <w:rsid w:val="00E05DDA"/>
    <w:rsid w:val="00E05EBC"/>
    <w:rsid w:val="00E05F98"/>
    <w:rsid w:val="00E05FBA"/>
    <w:rsid w:val="00E06003"/>
    <w:rsid w:val="00E06113"/>
    <w:rsid w:val="00E0618D"/>
    <w:rsid w:val="00E061D4"/>
    <w:rsid w:val="00E061F5"/>
    <w:rsid w:val="00E06204"/>
    <w:rsid w:val="00E06243"/>
    <w:rsid w:val="00E0624E"/>
    <w:rsid w:val="00E063AC"/>
    <w:rsid w:val="00E0646F"/>
    <w:rsid w:val="00E0651D"/>
    <w:rsid w:val="00E06693"/>
    <w:rsid w:val="00E0669F"/>
    <w:rsid w:val="00E068C3"/>
    <w:rsid w:val="00E06972"/>
    <w:rsid w:val="00E0699F"/>
    <w:rsid w:val="00E06A76"/>
    <w:rsid w:val="00E06A7B"/>
    <w:rsid w:val="00E06AC2"/>
    <w:rsid w:val="00E06AFB"/>
    <w:rsid w:val="00E06BA0"/>
    <w:rsid w:val="00E06BE5"/>
    <w:rsid w:val="00E06CEE"/>
    <w:rsid w:val="00E06D2C"/>
    <w:rsid w:val="00E06D53"/>
    <w:rsid w:val="00E06DF1"/>
    <w:rsid w:val="00E06E04"/>
    <w:rsid w:val="00E06EC5"/>
    <w:rsid w:val="00E06F99"/>
    <w:rsid w:val="00E06F9B"/>
    <w:rsid w:val="00E06FB5"/>
    <w:rsid w:val="00E06FF7"/>
    <w:rsid w:val="00E07093"/>
    <w:rsid w:val="00E07285"/>
    <w:rsid w:val="00E072A0"/>
    <w:rsid w:val="00E07310"/>
    <w:rsid w:val="00E07368"/>
    <w:rsid w:val="00E07377"/>
    <w:rsid w:val="00E0738F"/>
    <w:rsid w:val="00E07397"/>
    <w:rsid w:val="00E073BB"/>
    <w:rsid w:val="00E073F5"/>
    <w:rsid w:val="00E0742F"/>
    <w:rsid w:val="00E07488"/>
    <w:rsid w:val="00E074FE"/>
    <w:rsid w:val="00E075CB"/>
    <w:rsid w:val="00E07638"/>
    <w:rsid w:val="00E07730"/>
    <w:rsid w:val="00E0777D"/>
    <w:rsid w:val="00E0779E"/>
    <w:rsid w:val="00E07821"/>
    <w:rsid w:val="00E07844"/>
    <w:rsid w:val="00E07863"/>
    <w:rsid w:val="00E078AC"/>
    <w:rsid w:val="00E07943"/>
    <w:rsid w:val="00E0798D"/>
    <w:rsid w:val="00E07A0A"/>
    <w:rsid w:val="00E07B6A"/>
    <w:rsid w:val="00E07B91"/>
    <w:rsid w:val="00E07BEA"/>
    <w:rsid w:val="00E07CA1"/>
    <w:rsid w:val="00E07CC4"/>
    <w:rsid w:val="00E07D08"/>
    <w:rsid w:val="00E07DC4"/>
    <w:rsid w:val="00E07DDD"/>
    <w:rsid w:val="00E07E91"/>
    <w:rsid w:val="00E07EDE"/>
    <w:rsid w:val="00E07F12"/>
    <w:rsid w:val="00E07F8F"/>
    <w:rsid w:val="00E07FE3"/>
    <w:rsid w:val="00E100EA"/>
    <w:rsid w:val="00E1013D"/>
    <w:rsid w:val="00E10148"/>
    <w:rsid w:val="00E1018F"/>
    <w:rsid w:val="00E10199"/>
    <w:rsid w:val="00E102A0"/>
    <w:rsid w:val="00E102A8"/>
    <w:rsid w:val="00E102F6"/>
    <w:rsid w:val="00E1033A"/>
    <w:rsid w:val="00E1044D"/>
    <w:rsid w:val="00E1046D"/>
    <w:rsid w:val="00E104D2"/>
    <w:rsid w:val="00E104EB"/>
    <w:rsid w:val="00E1054E"/>
    <w:rsid w:val="00E10567"/>
    <w:rsid w:val="00E10579"/>
    <w:rsid w:val="00E105C7"/>
    <w:rsid w:val="00E106B9"/>
    <w:rsid w:val="00E10757"/>
    <w:rsid w:val="00E1081B"/>
    <w:rsid w:val="00E10832"/>
    <w:rsid w:val="00E1093F"/>
    <w:rsid w:val="00E10AC0"/>
    <w:rsid w:val="00E10B76"/>
    <w:rsid w:val="00E10C7E"/>
    <w:rsid w:val="00E10CF8"/>
    <w:rsid w:val="00E10CFB"/>
    <w:rsid w:val="00E10D07"/>
    <w:rsid w:val="00E10DE0"/>
    <w:rsid w:val="00E10DF5"/>
    <w:rsid w:val="00E10EA5"/>
    <w:rsid w:val="00E10F2C"/>
    <w:rsid w:val="00E10F66"/>
    <w:rsid w:val="00E10F94"/>
    <w:rsid w:val="00E1100C"/>
    <w:rsid w:val="00E11038"/>
    <w:rsid w:val="00E11071"/>
    <w:rsid w:val="00E11147"/>
    <w:rsid w:val="00E1115D"/>
    <w:rsid w:val="00E11166"/>
    <w:rsid w:val="00E11263"/>
    <w:rsid w:val="00E11366"/>
    <w:rsid w:val="00E11392"/>
    <w:rsid w:val="00E113BD"/>
    <w:rsid w:val="00E11492"/>
    <w:rsid w:val="00E114F5"/>
    <w:rsid w:val="00E114FE"/>
    <w:rsid w:val="00E1154F"/>
    <w:rsid w:val="00E11550"/>
    <w:rsid w:val="00E115C9"/>
    <w:rsid w:val="00E11636"/>
    <w:rsid w:val="00E1167F"/>
    <w:rsid w:val="00E11681"/>
    <w:rsid w:val="00E116FE"/>
    <w:rsid w:val="00E117E4"/>
    <w:rsid w:val="00E11800"/>
    <w:rsid w:val="00E119A5"/>
    <w:rsid w:val="00E119B9"/>
    <w:rsid w:val="00E119D4"/>
    <w:rsid w:val="00E119F8"/>
    <w:rsid w:val="00E11A68"/>
    <w:rsid w:val="00E11AC8"/>
    <w:rsid w:val="00E11B3E"/>
    <w:rsid w:val="00E11B65"/>
    <w:rsid w:val="00E11C9C"/>
    <w:rsid w:val="00E11D00"/>
    <w:rsid w:val="00E11D4C"/>
    <w:rsid w:val="00E11DD1"/>
    <w:rsid w:val="00E11E07"/>
    <w:rsid w:val="00E11EF6"/>
    <w:rsid w:val="00E11EFC"/>
    <w:rsid w:val="00E11F61"/>
    <w:rsid w:val="00E11F65"/>
    <w:rsid w:val="00E11FF8"/>
    <w:rsid w:val="00E120C6"/>
    <w:rsid w:val="00E121D8"/>
    <w:rsid w:val="00E122BF"/>
    <w:rsid w:val="00E122CA"/>
    <w:rsid w:val="00E123E7"/>
    <w:rsid w:val="00E123FB"/>
    <w:rsid w:val="00E12423"/>
    <w:rsid w:val="00E1243C"/>
    <w:rsid w:val="00E12508"/>
    <w:rsid w:val="00E12677"/>
    <w:rsid w:val="00E1269E"/>
    <w:rsid w:val="00E126E1"/>
    <w:rsid w:val="00E126EC"/>
    <w:rsid w:val="00E12809"/>
    <w:rsid w:val="00E1287E"/>
    <w:rsid w:val="00E128E8"/>
    <w:rsid w:val="00E12964"/>
    <w:rsid w:val="00E1297C"/>
    <w:rsid w:val="00E129B1"/>
    <w:rsid w:val="00E129DC"/>
    <w:rsid w:val="00E12AB3"/>
    <w:rsid w:val="00E12AE1"/>
    <w:rsid w:val="00E12BD5"/>
    <w:rsid w:val="00E12C26"/>
    <w:rsid w:val="00E12C61"/>
    <w:rsid w:val="00E12E5A"/>
    <w:rsid w:val="00E12E75"/>
    <w:rsid w:val="00E12E98"/>
    <w:rsid w:val="00E12EFE"/>
    <w:rsid w:val="00E12F0A"/>
    <w:rsid w:val="00E12F36"/>
    <w:rsid w:val="00E12FDB"/>
    <w:rsid w:val="00E12FE0"/>
    <w:rsid w:val="00E12FFA"/>
    <w:rsid w:val="00E13066"/>
    <w:rsid w:val="00E130FB"/>
    <w:rsid w:val="00E1311C"/>
    <w:rsid w:val="00E13149"/>
    <w:rsid w:val="00E131CC"/>
    <w:rsid w:val="00E1324B"/>
    <w:rsid w:val="00E132FD"/>
    <w:rsid w:val="00E134B0"/>
    <w:rsid w:val="00E13535"/>
    <w:rsid w:val="00E1354A"/>
    <w:rsid w:val="00E1362E"/>
    <w:rsid w:val="00E13630"/>
    <w:rsid w:val="00E1363B"/>
    <w:rsid w:val="00E136CA"/>
    <w:rsid w:val="00E137B0"/>
    <w:rsid w:val="00E13848"/>
    <w:rsid w:val="00E13980"/>
    <w:rsid w:val="00E139A2"/>
    <w:rsid w:val="00E139DE"/>
    <w:rsid w:val="00E13BCA"/>
    <w:rsid w:val="00E13BEC"/>
    <w:rsid w:val="00E13BEE"/>
    <w:rsid w:val="00E13C98"/>
    <w:rsid w:val="00E13D2B"/>
    <w:rsid w:val="00E1404F"/>
    <w:rsid w:val="00E14065"/>
    <w:rsid w:val="00E14198"/>
    <w:rsid w:val="00E141BB"/>
    <w:rsid w:val="00E14206"/>
    <w:rsid w:val="00E14354"/>
    <w:rsid w:val="00E143CF"/>
    <w:rsid w:val="00E1443F"/>
    <w:rsid w:val="00E14442"/>
    <w:rsid w:val="00E1449C"/>
    <w:rsid w:val="00E144F3"/>
    <w:rsid w:val="00E14535"/>
    <w:rsid w:val="00E14542"/>
    <w:rsid w:val="00E14599"/>
    <w:rsid w:val="00E14682"/>
    <w:rsid w:val="00E1469D"/>
    <w:rsid w:val="00E146B9"/>
    <w:rsid w:val="00E14745"/>
    <w:rsid w:val="00E14982"/>
    <w:rsid w:val="00E149B6"/>
    <w:rsid w:val="00E14B33"/>
    <w:rsid w:val="00E14C30"/>
    <w:rsid w:val="00E14D3C"/>
    <w:rsid w:val="00E14D4B"/>
    <w:rsid w:val="00E14DDC"/>
    <w:rsid w:val="00E14DE7"/>
    <w:rsid w:val="00E14E09"/>
    <w:rsid w:val="00E14F40"/>
    <w:rsid w:val="00E14F5A"/>
    <w:rsid w:val="00E14F9F"/>
    <w:rsid w:val="00E14FF0"/>
    <w:rsid w:val="00E150EA"/>
    <w:rsid w:val="00E150F0"/>
    <w:rsid w:val="00E1511D"/>
    <w:rsid w:val="00E151B3"/>
    <w:rsid w:val="00E1528A"/>
    <w:rsid w:val="00E152D4"/>
    <w:rsid w:val="00E153AD"/>
    <w:rsid w:val="00E1555E"/>
    <w:rsid w:val="00E15598"/>
    <w:rsid w:val="00E155A7"/>
    <w:rsid w:val="00E155CE"/>
    <w:rsid w:val="00E15672"/>
    <w:rsid w:val="00E156C4"/>
    <w:rsid w:val="00E15715"/>
    <w:rsid w:val="00E1573E"/>
    <w:rsid w:val="00E1574B"/>
    <w:rsid w:val="00E157C3"/>
    <w:rsid w:val="00E157F5"/>
    <w:rsid w:val="00E157FF"/>
    <w:rsid w:val="00E15809"/>
    <w:rsid w:val="00E15835"/>
    <w:rsid w:val="00E158FB"/>
    <w:rsid w:val="00E15927"/>
    <w:rsid w:val="00E1597E"/>
    <w:rsid w:val="00E159F2"/>
    <w:rsid w:val="00E15ADA"/>
    <w:rsid w:val="00E15B22"/>
    <w:rsid w:val="00E15B3F"/>
    <w:rsid w:val="00E15B6F"/>
    <w:rsid w:val="00E15B9B"/>
    <w:rsid w:val="00E15BF2"/>
    <w:rsid w:val="00E15C03"/>
    <w:rsid w:val="00E15CC9"/>
    <w:rsid w:val="00E15E8C"/>
    <w:rsid w:val="00E15F92"/>
    <w:rsid w:val="00E15FEE"/>
    <w:rsid w:val="00E16015"/>
    <w:rsid w:val="00E16055"/>
    <w:rsid w:val="00E16067"/>
    <w:rsid w:val="00E160E4"/>
    <w:rsid w:val="00E1613A"/>
    <w:rsid w:val="00E16158"/>
    <w:rsid w:val="00E161CC"/>
    <w:rsid w:val="00E161E5"/>
    <w:rsid w:val="00E16444"/>
    <w:rsid w:val="00E1648B"/>
    <w:rsid w:val="00E164DA"/>
    <w:rsid w:val="00E164E8"/>
    <w:rsid w:val="00E1657F"/>
    <w:rsid w:val="00E165CB"/>
    <w:rsid w:val="00E16601"/>
    <w:rsid w:val="00E16757"/>
    <w:rsid w:val="00E168EA"/>
    <w:rsid w:val="00E16A2E"/>
    <w:rsid w:val="00E16A96"/>
    <w:rsid w:val="00E16B29"/>
    <w:rsid w:val="00E16BC8"/>
    <w:rsid w:val="00E16C85"/>
    <w:rsid w:val="00E16D3A"/>
    <w:rsid w:val="00E16D8A"/>
    <w:rsid w:val="00E16E7F"/>
    <w:rsid w:val="00E16E9B"/>
    <w:rsid w:val="00E16EB6"/>
    <w:rsid w:val="00E16F46"/>
    <w:rsid w:val="00E16F5A"/>
    <w:rsid w:val="00E170C1"/>
    <w:rsid w:val="00E17102"/>
    <w:rsid w:val="00E17195"/>
    <w:rsid w:val="00E171F5"/>
    <w:rsid w:val="00E17247"/>
    <w:rsid w:val="00E17404"/>
    <w:rsid w:val="00E1747A"/>
    <w:rsid w:val="00E1749A"/>
    <w:rsid w:val="00E174DE"/>
    <w:rsid w:val="00E17530"/>
    <w:rsid w:val="00E17602"/>
    <w:rsid w:val="00E1769A"/>
    <w:rsid w:val="00E176F1"/>
    <w:rsid w:val="00E17838"/>
    <w:rsid w:val="00E17877"/>
    <w:rsid w:val="00E1789F"/>
    <w:rsid w:val="00E1796E"/>
    <w:rsid w:val="00E17A62"/>
    <w:rsid w:val="00E17B89"/>
    <w:rsid w:val="00E17C10"/>
    <w:rsid w:val="00E17D4A"/>
    <w:rsid w:val="00E17D70"/>
    <w:rsid w:val="00E17F4A"/>
    <w:rsid w:val="00E17F96"/>
    <w:rsid w:val="00E17FC4"/>
    <w:rsid w:val="00E20132"/>
    <w:rsid w:val="00E2017F"/>
    <w:rsid w:val="00E201A9"/>
    <w:rsid w:val="00E201E4"/>
    <w:rsid w:val="00E201FA"/>
    <w:rsid w:val="00E2021F"/>
    <w:rsid w:val="00E202A7"/>
    <w:rsid w:val="00E2030B"/>
    <w:rsid w:val="00E2035E"/>
    <w:rsid w:val="00E203AF"/>
    <w:rsid w:val="00E203C5"/>
    <w:rsid w:val="00E203EF"/>
    <w:rsid w:val="00E204AE"/>
    <w:rsid w:val="00E204D2"/>
    <w:rsid w:val="00E2059E"/>
    <w:rsid w:val="00E205A7"/>
    <w:rsid w:val="00E205EE"/>
    <w:rsid w:val="00E2062E"/>
    <w:rsid w:val="00E20645"/>
    <w:rsid w:val="00E206DB"/>
    <w:rsid w:val="00E2076E"/>
    <w:rsid w:val="00E20907"/>
    <w:rsid w:val="00E20954"/>
    <w:rsid w:val="00E20A90"/>
    <w:rsid w:val="00E20AA4"/>
    <w:rsid w:val="00E20BDF"/>
    <w:rsid w:val="00E20CBB"/>
    <w:rsid w:val="00E20D0F"/>
    <w:rsid w:val="00E20D91"/>
    <w:rsid w:val="00E20DEB"/>
    <w:rsid w:val="00E20E4F"/>
    <w:rsid w:val="00E20E8E"/>
    <w:rsid w:val="00E20EC6"/>
    <w:rsid w:val="00E20F9C"/>
    <w:rsid w:val="00E21012"/>
    <w:rsid w:val="00E21096"/>
    <w:rsid w:val="00E21125"/>
    <w:rsid w:val="00E21154"/>
    <w:rsid w:val="00E21254"/>
    <w:rsid w:val="00E212E2"/>
    <w:rsid w:val="00E21366"/>
    <w:rsid w:val="00E21383"/>
    <w:rsid w:val="00E21496"/>
    <w:rsid w:val="00E2153D"/>
    <w:rsid w:val="00E215AD"/>
    <w:rsid w:val="00E215AE"/>
    <w:rsid w:val="00E2164C"/>
    <w:rsid w:val="00E2167F"/>
    <w:rsid w:val="00E2170E"/>
    <w:rsid w:val="00E217A2"/>
    <w:rsid w:val="00E217D0"/>
    <w:rsid w:val="00E217D1"/>
    <w:rsid w:val="00E2183B"/>
    <w:rsid w:val="00E2189A"/>
    <w:rsid w:val="00E21991"/>
    <w:rsid w:val="00E21992"/>
    <w:rsid w:val="00E21A86"/>
    <w:rsid w:val="00E21B0E"/>
    <w:rsid w:val="00E21B2D"/>
    <w:rsid w:val="00E21BCE"/>
    <w:rsid w:val="00E21C9A"/>
    <w:rsid w:val="00E21CD5"/>
    <w:rsid w:val="00E21CF4"/>
    <w:rsid w:val="00E21E5A"/>
    <w:rsid w:val="00E21E78"/>
    <w:rsid w:val="00E21E79"/>
    <w:rsid w:val="00E21FE9"/>
    <w:rsid w:val="00E220E1"/>
    <w:rsid w:val="00E2233C"/>
    <w:rsid w:val="00E22367"/>
    <w:rsid w:val="00E22447"/>
    <w:rsid w:val="00E224EB"/>
    <w:rsid w:val="00E22576"/>
    <w:rsid w:val="00E225B4"/>
    <w:rsid w:val="00E225F3"/>
    <w:rsid w:val="00E2262A"/>
    <w:rsid w:val="00E2265F"/>
    <w:rsid w:val="00E22667"/>
    <w:rsid w:val="00E2267A"/>
    <w:rsid w:val="00E226FA"/>
    <w:rsid w:val="00E2271F"/>
    <w:rsid w:val="00E228F3"/>
    <w:rsid w:val="00E22964"/>
    <w:rsid w:val="00E229F4"/>
    <w:rsid w:val="00E22B26"/>
    <w:rsid w:val="00E22B2E"/>
    <w:rsid w:val="00E22BC8"/>
    <w:rsid w:val="00E22CE2"/>
    <w:rsid w:val="00E22E2B"/>
    <w:rsid w:val="00E22E54"/>
    <w:rsid w:val="00E22ED1"/>
    <w:rsid w:val="00E22F45"/>
    <w:rsid w:val="00E22FA3"/>
    <w:rsid w:val="00E23068"/>
    <w:rsid w:val="00E2308E"/>
    <w:rsid w:val="00E23144"/>
    <w:rsid w:val="00E232C9"/>
    <w:rsid w:val="00E2345E"/>
    <w:rsid w:val="00E234AA"/>
    <w:rsid w:val="00E234B1"/>
    <w:rsid w:val="00E234B3"/>
    <w:rsid w:val="00E23528"/>
    <w:rsid w:val="00E2352C"/>
    <w:rsid w:val="00E23572"/>
    <w:rsid w:val="00E2365C"/>
    <w:rsid w:val="00E236F5"/>
    <w:rsid w:val="00E237B1"/>
    <w:rsid w:val="00E237BB"/>
    <w:rsid w:val="00E23819"/>
    <w:rsid w:val="00E23A09"/>
    <w:rsid w:val="00E23A15"/>
    <w:rsid w:val="00E23AB3"/>
    <w:rsid w:val="00E23AB7"/>
    <w:rsid w:val="00E23AD4"/>
    <w:rsid w:val="00E23B7D"/>
    <w:rsid w:val="00E23BA4"/>
    <w:rsid w:val="00E23DE2"/>
    <w:rsid w:val="00E23DFE"/>
    <w:rsid w:val="00E23E15"/>
    <w:rsid w:val="00E23E6A"/>
    <w:rsid w:val="00E23EA3"/>
    <w:rsid w:val="00E23ECC"/>
    <w:rsid w:val="00E24021"/>
    <w:rsid w:val="00E2413F"/>
    <w:rsid w:val="00E241C0"/>
    <w:rsid w:val="00E24230"/>
    <w:rsid w:val="00E24245"/>
    <w:rsid w:val="00E24251"/>
    <w:rsid w:val="00E24299"/>
    <w:rsid w:val="00E2434F"/>
    <w:rsid w:val="00E2436D"/>
    <w:rsid w:val="00E2439C"/>
    <w:rsid w:val="00E24604"/>
    <w:rsid w:val="00E24624"/>
    <w:rsid w:val="00E246E7"/>
    <w:rsid w:val="00E2471B"/>
    <w:rsid w:val="00E24752"/>
    <w:rsid w:val="00E24765"/>
    <w:rsid w:val="00E247CA"/>
    <w:rsid w:val="00E24806"/>
    <w:rsid w:val="00E2487B"/>
    <w:rsid w:val="00E249B6"/>
    <w:rsid w:val="00E24A2E"/>
    <w:rsid w:val="00E24A6A"/>
    <w:rsid w:val="00E24B6F"/>
    <w:rsid w:val="00E24BA9"/>
    <w:rsid w:val="00E24C21"/>
    <w:rsid w:val="00E24C5B"/>
    <w:rsid w:val="00E24CA0"/>
    <w:rsid w:val="00E24CC6"/>
    <w:rsid w:val="00E24E7E"/>
    <w:rsid w:val="00E24EC8"/>
    <w:rsid w:val="00E24ED1"/>
    <w:rsid w:val="00E25061"/>
    <w:rsid w:val="00E25181"/>
    <w:rsid w:val="00E25298"/>
    <w:rsid w:val="00E253D2"/>
    <w:rsid w:val="00E253D9"/>
    <w:rsid w:val="00E25499"/>
    <w:rsid w:val="00E254A5"/>
    <w:rsid w:val="00E25566"/>
    <w:rsid w:val="00E255F8"/>
    <w:rsid w:val="00E256CD"/>
    <w:rsid w:val="00E257CB"/>
    <w:rsid w:val="00E2580A"/>
    <w:rsid w:val="00E25854"/>
    <w:rsid w:val="00E25A0A"/>
    <w:rsid w:val="00E25AEC"/>
    <w:rsid w:val="00E25B0E"/>
    <w:rsid w:val="00E25B83"/>
    <w:rsid w:val="00E25BC4"/>
    <w:rsid w:val="00E25BF3"/>
    <w:rsid w:val="00E25C5D"/>
    <w:rsid w:val="00E25C8F"/>
    <w:rsid w:val="00E25DBE"/>
    <w:rsid w:val="00E25E73"/>
    <w:rsid w:val="00E25E85"/>
    <w:rsid w:val="00E25F84"/>
    <w:rsid w:val="00E25FF0"/>
    <w:rsid w:val="00E2601A"/>
    <w:rsid w:val="00E26152"/>
    <w:rsid w:val="00E2629D"/>
    <w:rsid w:val="00E263B6"/>
    <w:rsid w:val="00E26485"/>
    <w:rsid w:val="00E264A0"/>
    <w:rsid w:val="00E26510"/>
    <w:rsid w:val="00E2651D"/>
    <w:rsid w:val="00E26537"/>
    <w:rsid w:val="00E26601"/>
    <w:rsid w:val="00E2663C"/>
    <w:rsid w:val="00E266AE"/>
    <w:rsid w:val="00E26705"/>
    <w:rsid w:val="00E26754"/>
    <w:rsid w:val="00E268AB"/>
    <w:rsid w:val="00E268BA"/>
    <w:rsid w:val="00E268BC"/>
    <w:rsid w:val="00E268DD"/>
    <w:rsid w:val="00E26A52"/>
    <w:rsid w:val="00E26B36"/>
    <w:rsid w:val="00E26BA0"/>
    <w:rsid w:val="00E26BA1"/>
    <w:rsid w:val="00E26BAF"/>
    <w:rsid w:val="00E26C14"/>
    <w:rsid w:val="00E26E8C"/>
    <w:rsid w:val="00E26EF4"/>
    <w:rsid w:val="00E26F12"/>
    <w:rsid w:val="00E26F16"/>
    <w:rsid w:val="00E26F1F"/>
    <w:rsid w:val="00E26F26"/>
    <w:rsid w:val="00E26FA5"/>
    <w:rsid w:val="00E27023"/>
    <w:rsid w:val="00E27034"/>
    <w:rsid w:val="00E2704A"/>
    <w:rsid w:val="00E2725B"/>
    <w:rsid w:val="00E27276"/>
    <w:rsid w:val="00E272B8"/>
    <w:rsid w:val="00E2734E"/>
    <w:rsid w:val="00E27354"/>
    <w:rsid w:val="00E2737D"/>
    <w:rsid w:val="00E27646"/>
    <w:rsid w:val="00E27661"/>
    <w:rsid w:val="00E2771B"/>
    <w:rsid w:val="00E27768"/>
    <w:rsid w:val="00E27798"/>
    <w:rsid w:val="00E277ED"/>
    <w:rsid w:val="00E277FA"/>
    <w:rsid w:val="00E27819"/>
    <w:rsid w:val="00E27867"/>
    <w:rsid w:val="00E2788D"/>
    <w:rsid w:val="00E2793A"/>
    <w:rsid w:val="00E2799F"/>
    <w:rsid w:val="00E27AB0"/>
    <w:rsid w:val="00E27B4C"/>
    <w:rsid w:val="00E27B63"/>
    <w:rsid w:val="00E27B82"/>
    <w:rsid w:val="00E27BFE"/>
    <w:rsid w:val="00E27C37"/>
    <w:rsid w:val="00E27C40"/>
    <w:rsid w:val="00E27D8F"/>
    <w:rsid w:val="00E27DF6"/>
    <w:rsid w:val="00E27F03"/>
    <w:rsid w:val="00E27F12"/>
    <w:rsid w:val="00E300F2"/>
    <w:rsid w:val="00E30165"/>
    <w:rsid w:val="00E301E4"/>
    <w:rsid w:val="00E302AF"/>
    <w:rsid w:val="00E30578"/>
    <w:rsid w:val="00E305EA"/>
    <w:rsid w:val="00E305FA"/>
    <w:rsid w:val="00E3061F"/>
    <w:rsid w:val="00E30669"/>
    <w:rsid w:val="00E306FD"/>
    <w:rsid w:val="00E306FF"/>
    <w:rsid w:val="00E30837"/>
    <w:rsid w:val="00E3089C"/>
    <w:rsid w:val="00E308EF"/>
    <w:rsid w:val="00E3091C"/>
    <w:rsid w:val="00E30959"/>
    <w:rsid w:val="00E30BC1"/>
    <w:rsid w:val="00E30BF5"/>
    <w:rsid w:val="00E30CFE"/>
    <w:rsid w:val="00E30D22"/>
    <w:rsid w:val="00E30D24"/>
    <w:rsid w:val="00E30D96"/>
    <w:rsid w:val="00E30E0F"/>
    <w:rsid w:val="00E30FA5"/>
    <w:rsid w:val="00E31212"/>
    <w:rsid w:val="00E31275"/>
    <w:rsid w:val="00E3128C"/>
    <w:rsid w:val="00E3129D"/>
    <w:rsid w:val="00E3141B"/>
    <w:rsid w:val="00E3153F"/>
    <w:rsid w:val="00E3157D"/>
    <w:rsid w:val="00E315B9"/>
    <w:rsid w:val="00E315C3"/>
    <w:rsid w:val="00E315E1"/>
    <w:rsid w:val="00E3160A"/>
    <w:rsid w:val="00E31746"/>
    <w:rsid w:val="00E317B5"/>
    <w:rsid w:val="00E3182B"/>
    <w:rsid w:val="00E3186C"/>
    <w:rsid w:val="00E31A68"/>
    <w:rsid w:val="00E31ABE"/>
    <w:rsid w:val="00E31B71"/>
    <w:rsid w:val="00E31C26"/>
    <w:rsid w:val="00E31D29"/>
    <w:rsid w:val="00E31D4F"/>
    <w:rsid w:val="00E31D75"/>
    <w:rsid w:val="00E31DCA"/>
    <w:rsid w:val="00E31DCF"/>
    <w:rsid w:val="00E31E95"/>
    <w:rsid w:val="00E31EF0"/>
    <w:rsid w:val="00E31F7D"/>
    <w:rsid w:val="00E31F88"/>
    <w:rsid w:val="00E32009"/>
    <w:rsid w:val="00E3200E"/>
    <w:rsid w:val="00E32074"/>
    <w:rsid w:val="00E3208C"/>
    <w:rsid w:val="00E3223B"/>
    <w:rsid w:val="00E324A6"/>
    <w:rsid w:val="00E324F7"/>
    <w:rsid w:val="00E324F8"/>
    <w:rsid w:val="00E32524"/>
    <w:rsid w:val="00E32547"/>
    <w:rsid w:val="00E3256E"/>
    <w:rsid w:val="00E32705"/>
    <w:rsid w:val="00E32772"/>
    <w:rsid w:val="00E32808"/>
    <w:rsid w:val="00E3283B"/>
    <w:rsid w:val="00E328FE"/>
    <w:rsid w:val="00E32912"/>
    <w:rsid w:val="00E32A7F"/>
    <w:rsid w:val="00E32AC1"/>
    <w:rsid w:val="00E32AC5"/>
    <w:rsid w:val="00E32BA9"/>
    <w:rsid w:val="00E32C67"/>
    <w:rsid w:val="00E32CD4"/>
    <w:rsid w:val="00E32D24"/>
    <w:rsid w:val="00E32D9E"/>
    <w:rsid w:val="00E32E31"/>
    <w:rsid w:val="00E32F17"/>
    <w:rsid w:val="00E32F2E"/>
    <w:rsid w:val="00E32FC4"/>
    <w:rsid w:val="00E33075"/>
    <w:rsid w:val="00E33111"/>
    <w:rsid w:val="00E331B1"/>
    <w:rsid w:val="00E3324B"/>
    <w:rsid w:val="00E3325C"/>
    <w:rsid w:val="00E33344"/>
    <w:rsid w:val="00E333BF"/>
    <w:rsid w:val="00E333CF"/>
    <w:rsid w:val="00E333E5"/>
    <w:rsid w:val="00E33400"/>
    <w:rsid w:val="00E334FE"/>
    <w:rsid w:val="00E33571"/>
    <w:rsid w:val="00E335FD"/>
    <w:rsid w:val="00E3361F"/>
    <w:rsid w:val="00E336B3"/>
    <w:rsid w:val="00E33847"/>
    <w:rsid w:val="00E3384D"/>
    <w:rsid w:val="00E3384F"/>
    <w:rsid w:val="00E3396D"/>
    <w:rsid w:val="00E33992"/>
    <w:rsid w:val="00E33B8D"/>
    <w:rsid w:val="00E33C44"/>
    <w:rsid w:val="00E33D33"/>
    <w:rsid w:val="00E33D55"/>
    <w:rsid w:val="00E33D6D"/>
    <w:rsid w:val="00E33DEA"/>
    <w:rsid w:val="00E33E7F"/>
    <w:rsid w:val="00E33EC4"/>
    <w:rsid w:val="00E33EF6"/>
    <w:rsid w:val="00E33F8C"/>
    <w:rsid w:val="00E33F92"/>
    <w:rsid w:val="00E33F96"/>
    <w:rsid w:val="00E34015"/>
    <w:rsid w:val="00E340A9"/>
    <w:rsid w:val="00E340DA"/>
    <w:rsid w:val="00E34113"/>
    <w:rsid w:val="00E3411C"/>
    <w:rsid w:val="00E341BF"/>
    <w:rsid w:val="00E34265"/>
    <w:rsid w:val="00E342DC"/>
    <w:rsid w:val="00E3434A"/>
    <w:rsid w:val="00E344A9"/>
    <w:rsid w:val="00E344C2"/>
    <w:rsid w:val="00E34557"/>
    <w:rsid w:val="00E34585"/>
    <w:rsid w:val="00E346AB"/>
    <w:rsid w:val="00E346F0"/>
    <w:rsid w:val="00E34771"/>
    <w:rsid w:val="00E348E1"/>
    <w:rsid w:val="00E349AE"/>
    <w:rsid w:val="00E34A3F"/>
    <w:rsid w:val="00E34AB8"/>
    <w:rsid w:val="00E34B78"/>
    <w:rsid w:val="00E34C3A"/>
    <w:rsid w:val="00E34C77"/>
    <w:rsid w:val="00E34C78"/>
    <w:rsid w:val="00E34CD0"/>
    <w:rsid w:val="00E34D1E"/>
    <w:rsid w:val="00E34D96"/>
    <w:rsid w:val="00E34D98"/>
    <w:rsid w:val="00E34F44"/>
    <w:rsid w:val="00E35101"/>
    <w:rsid w:val="00E3511A"/>
    <w:rsid w:val="00E3515B"/>
    <w:rsid w:val="00E3519C"/>
    <w:rsid w:val="00E35200"/>
    <w:rsid w:val="00E3521F"/>
    <w:rsid w:val="00E35280"/>
    <w:rsid w:val="00E35329"/>
    <w:rsid w:val="00E35401"/>
    <w:rsid w:val="00E354E4"/>
    <w:rsid w:val="00E354F2"/>
    <w:rsid w:val="00E354F7"/>
    <w:rsid w:val="00E354F8"/>
    <w:rsid w:val="00E35558"/>
    <w:rsid w:val="00E355A4"/>
    <w:rsid w:val="00E35623"/>
    <w:rsid w:val="00E35748"/>
    <w:rsid w:val="00E35782"/>
    <w:rsid w:val="00E35789"/>
    <w:rsid w:val="00E357A7"/>
    <w:rsid w:val="00E357D8"/>
    <w:rsid w:val="00E357DF"/>
    <w:rsid w:val="00E357EE"/>
    <w:rsid w:val="00E35804"/>
    <w:rsid w:val="00E358F2"/>
    <w:rsid w:val="00E35979"/>
    <w:rsid w:val="00E35AAB"/>
    <w:rsid w:val="00E35C78"/>
    <w:rsid w:val="00E35CA7"/>
    <w:rsid w:val="00E35D16"/>
    <w:rsid w:val="00E35D3F"/>
    <w:rsid w:val="00E35D4E"/>
    <w:rsid w:val="00E35DF2"/>
    <w:rsid w:val="00E35E4B"/>
    <w:rsid w:val="00E35F0D"/>
    <w:rsid w:val="00E35FCA"/>
    <w:rsid w:val="00E35FD9"/>
    <w:rsid w:val="00E36039"/>
    <w:rsid w:val="00E3609E"/>
    <w:rsid w:val="00E3612F"/>
    <w:rsid w:val="00E3626A"/>
    <w:rsid w:val="00E362CF"/>
    <w:rsid w:val="00E36308"/>
    <w:rsid w:val="00E36384"/>
    <w:rsid w:val="00E3641C"/>
    <w:rsid w:val="00E36438"/>
    <w:rsid w:val="00E36462"/>
    <w:rsid w:val="00E36521"/>
    <w:rsid w:val="00E366B6"/>
    <w:rsid w:val="00E3682D"/>
    <w:rsid w:val="00E36836"/>
    <w:rsid w:val="00E368CF"/>
    <w:rsid w:val="00E369D3"/>
    <w:rsid w:val="00E36A6E"/>
    <w:rsid w:val="00E36C51"/>
    <w:rsid w:val="00E36CDF"/>
    <w:rsid w:val="00E36CF4"/>
    <w:rsid w:val="00E36D44"/>
    <w:rsid w:val="00E36D87"/>
    <w:rsid w:val="00E36F80"/>
    <w:rsid w:val="00E36F88"/>
    <w:rsid w:val="00E36F90"/>
    <w:rsid w:val="00E370AA"/>
    <w:rsid w:val="00E371CC"/>
    <w:rsid w:val="00E371D1"/>
    <w:rsid w:val="00E3724A"/>
    <w:rsid w:val="00E37287"/>
    <w:rsid w:val="00E372FC"/>
    <w:rsid w:val="00E37324"/>
    <w:rsid w:val="00E37338"/>
    <w:rsid w:val="00E37365"/>
    <w:rsid w:val="00E37392"/>
    <w:rsid w:val="00E373D9"/>
    <w:rsid w:val="00E375F2"/>
    <w:rsid w:val="00E37758"/>
    <w:rsid w:val="00E37852"/>
    <w:rsid w:val="00E378AB"/>
    <w:rsid w:val="00E37976"/>
    <w:rsid w:val="00E37984"/>
    <w:rsid w:val="00E37A07"/>
    <w:rsid w:val="00E37AA6"/>
    <w:rsid w:val="00E37BAE"/>
    <w:rsid w:val="00E37C25"/>
    <w:rsid w:val="00E37C5A"/>
    <w:rsid w:val="00E37D2B"/>
    <w:rsid w:val="00E37F01"/>
    <w:rsid w:val="00E37FC1"/>
    <w:rsid w:val="00E4019B"/>
    <w:rsid w:val="00E401F8"/>
    <w:rsid w:val="00E4037F"/>
    <w:rsid w:val="00E40439"/>
    <w:rsid w:val="00E40514"/>
    <w:rsid w:val="00E40518"/>
    <w:rsid w:val="00E4052C"/>
    <w:rsid w:val="00E405A5"/>
    <w:rsid w:val="00E405A6"/>
    <w:rsid w:val="00E40612"/>
    <w:rsid w:val="00E4061B"/>
    <w:rsid w:val="00E406A8"/>
    <w:rsid w:val="00E40786"/>
    <w:rsid w:val="00E407B1"/>
    <w:rsid w:val="00E40830"/>
    <w:rsid w:val="00E40AD1"/>
    <w:rsid w:val="00E40ADF"/>
    <w:rsid w:val="00E40C30"/>
    <w:rsid w:val="00E40CC7"/>
    <w:rsid w:val="00E40DDA"/>
    <w:rsid w:val="00E40E8C"/>
    <w:rsid w:val="00E40EA9"/>
    <w:rsid w:val="00E40ED5"/>
    <w:rsid w:val="00E40FD3"/>
    <w:rsid w:val="00E4104B"/>
    <w:rsid w:val="00E41080"/>
    <w:rsid w:val="00E4108F"/>
    <w:rsid w:val="00E410C0"/>
    <w:rsid w:val="00E410E8"/>
    <w:rsid w:val="00E41119"/>
    <w:rsid w:val="00E41177"/>
    <w:rsid w:val="00E411AD"/>
    <w:rsid w:val="00E412DC"/>
    <w:rsid w:val="00E41396"/>
    <w:rsid w:val="00E414B2"/>
    <w:rsid w:val="00E415AD"/>
    <w:rsid w:val="00E4161F"/>
    <w:rsid w:val="00E416EA"/>
    <w:rsid w:val="00E4183E"/>
    <w:rsid w:val="00E41904"/>
    <w:rsid w:val="00E4192C"/>
    <w:rsid w:val="00E4196C"/>
    <w:rsid w:val="00E41A3D"/>
    <w:rsid w:val="00E41A85"/>
    <w:rsid w:val="00E41ADE"/>
    <w:rsid w:val="00E41B1C"/>
    <w:rsid w:val="00E41B5B"/>
    <w:rsid w:val="00E41B65"/>
    <w:rsid w:val="00E41B87"/>
    <w:rsid w:val="00E41BC3"/>
    <w:rsid w:val="00E41D25"/>
    <w:rsid w:val="00E41E93"/>
    <w:rsid w:val="00E41F51"/>
    <w:rsid w:val="00E41FC9"/>
    <w:rsid w:val="00E42084"/>
    <w:rsid w:val="00E420EE"/>
    <w:rsid w:val="00E42127"/>
    <w:rsid w:val="00E42140"/>
    <w:rsid w:val="00E42174"/>
    <w:rsid w:val="00E4218F"/>
    <w:rsid w:val="00E4226F"/>
    <w:rsid w:val="00E42389"/>
    <w:rsid w:val="00E42390"/>
    <w:rsid w:val="00E4239D"/>
    <w:rsid w:val="00E42426"/>
    <w:rsid w:val="00E42439"/>
    <w:rsid w:val="00E42552"/>
    <w:rsid w:val="00E425B4"/>
    <w:rsid w:val="00E425E4"/>
    <w:rsid w:val="00E42622"/>
    <w:rsid w:val="00E4279D"/>
    <w:rsid w:val="00E42828"/>
    <w:rsid w:val="00E42876"/>
    <w:rsid w:val="00E4288A"/>
    <w:rsid w:val="00E4289F"/>
    <w:rsid w:val="00E428F0"/>
    <w:rsid w:val="00E4292F"/>
    <w:rsid w:val="00E42A41"/>
    <w:rsid w:val="00E42A7D"/>
    <w:rsid w:val="00E42AD9"/>
    <w:rsid w:val="00E42B40"/>
    <w:rsid w:val="00E42B77"/>
    <w:rsid w:val="00E42C5F"/>
    <w:rsid w:val="00E42C6D"/>
    <w:rsid w:val="00E42D07"/>
    <w:rsid w:val="00E42D72"/>
    <w:rsid w:val="00E42E39"/>
    <w:rsid w:val="00E42EB6"/>
    <w:rsid w:val="00E42FE8"/>
    <w:rsid w:val="00E43003"/>
    <w:rsid w:val="00E4304D"/>
    <w:rsid w:val="00E430B1"/>
    <w:rsid w:val="00E430CB"/>
    <w:rsid w:val="00E430D3"/>
    <w:rsid w:val="00E430F1"/>
    <w:rsid w:val="00E43102"/>
    <w:rsid w:val="00E4316A"/>
    <w:rsid w:val="00E431E8"/>
    <w:rsid w:val="00E43258"/>
    <w:rsid w:val="00E43322"/>
    <w:rsid w:val="00E43341"/>
    <w:rsid w:val="00E433D1"/>
    <w:rsid w:val="00E43793"/>
    <w:rsid w:val="00E437C0"/>
    <w:rsid w:val="00E4380D"/>
    <w:rsid w:val="00E438FB"/>
    <w:rsid w:val="00E43911"/>
    <w:rsid w:val="00E439FF"/>
    <w:rsid w:val="00E43A5E"/>
    <w:rsid w:val="00E43AC7"/>
    <w:rsid w:val="00E43B64"/>
    <w:rsid w:val="00E43C50"/>
    <w:rsid w:val="00E43C7C"/>
    <w:rsid w:val="00E43C90"/>
    <w:rsid w:val="00E43D5F"/>
    <w:rsid w:val="00E43E20"/>
    <w:rsid w:val="00E43F2C"/>
    <w:rsid w:val="00E43F63"/>
    <w:rsid w:val="00E43FBB"/>
    <w:rsid w:val="00E43FE0"/>
    <w:rsid w:val="00E43FFA"/>
    <w:rsid w:val="00E44021"/>
    <w:rsid w:val="00E4405A"/>
    <w:rsid w:val="00E440EF"/>
    <w:rsid w:val="00E4422C"/>
    <w:rsid w:val="00E4428D"/>
    <w:rsid w:val="00E4429C"/>
    <w:rsid w:val="00E442A2"/>
    <w:rsid w:val="00E4437A"/>
    <w:rsid w:val="00E44381"/>
    <w:rsid w:val="00E443B5"/>
    <w:rsid w:val="00E4445B"/>
    <w:rsid w:val="00E445B1"/>
    <w:rsid w:val="00E445C7"/>
    <w:rsid w:val="00E44673"/>
    <w:rsid w:val="00E4467C"/>
    <w:rsid w:val="00E44777"/>
    <w:rsid w:val="00E447DA"/>
    <w:rsid w:val="00E448A3"/>
    <w:rsid w:val="00E448AE"/>
    <w:rsid w:val="00E44956"/>
    <w:rsid w:val="00E44985"/>
    <w:rsid w:val="00E449B7"/>
    <w:rsid w:val="00E44A92"/>
    <w:rsid w:val="00E44AAC"/>
    <w:rsid w:val="00E44AB4"/>
    <w:rsid w:val="00E44AD4"/>
    <w:rsid w:val="00E44B33"/>
    <w:rsid w:val="00E44B93"/>
    <w:rsid w:val="00E44E74"/>
    <w:rsid w:val="00E44F0A"/>
    <w:rsid w:val="00E44FD5"/>
    <w:rsid w:val="00E45008"/>
    <w:rsid w:val="00E45088"/>
    <w:rsid w:val="00E4509E"/>
    <w:rsid w:val="00E450E1"/>
    <w:rsid w:val="00E45185"/>
    <w:rsid w:val="00E45202"/>
    <w:rsid w:val="00E4524C"/>
    <w:rsid w:val="00E4530F"/>
    <w:rsid w:val="00E453E0"/>
    <w:rsid w:val="00E45475"/>
    <w:rsid w:val="00E4553A"/>
    <w:rsid w:val="00E45572"/>
    <w:rsid w:val="00E4557A"/>
    <w:rsid w:val="00E4558D"/>
    <w:rsid w:val="00E45603"/>
    <w:rsid w:val="00E45690"/>
    <w:rsid w:val="00E45854"/>
    <w:rsid w:val="00E45A2D"/>
    <w:rsid w:val="00E45A53"/>
    <w:rsid w:val="00E45A66"/>
    <w:rsid w:val="00E45A79"/>
    <w:rsid w:val="00E45A7F"/>
    <w:rsid w:val="00E45AE5"/>
    <w:rsid w:val="00E45C53"/>
    <w:rsid w:val="00E45D1C"/>
    <w:rsid w:val="00E45D85"/>
    <w:rsid w:val="00E45D86"/>
    <w:rsid w:val="00E45DF6"/>
    <w:rsid w:val="00E45E2D"/>
    <w:rsid w:val="00E45E95"/>
    <w:rsid w:val="00E45EA1"/>
    <w:rsid w:val="00E45EB5"/>
    <w:rsid w:val="00E45F0A"/>
    <w:rsid w:val="00E45F27"/>
    <w:rsid w:val="00E45F8D"/>
    <w:rsid w:val="00E46022"/>
    <w:rsid w:val="00E46047"/>
    <w:rsid w:val="00E460E3"/>
    <w:rsid w:val="00E4624A"/>
    <w:rsid w:val="00E462AD"/>
    <w:rsid w:val="00E4631A"/>
    <w:rsid w:val="00E46343"/>
    <w:rsid w:val="00E46350"/>
    <w:rsid w:val="00E4640A"/>
    <w:rsid w:val="00E464FD"/>
    <w:rsid w:val="00E465C9"/>
    <w:rsid w:val="00E465CC"/>
    <w:rsid w:val="00E46767"/>
    <w:rsid w:val="00E4696C"/>
    <w:rsid w:val="00E46A77"/>
    <w:rsid w:val="00E46AC8"/>
    <w:rsid w:val="00E46B0D"/>
    <w:rsid w:val="00E46B1A"/>
    <w:rsid w:val="00E46B52"/>
    <w:rsid w:val="00E46BF7"/>
    <w:rsid w:val="00E46C55"/>
    <w:rsid w:val="00E46D16"/>
    <w:rsid w:val="00E46D3C"/>
    <w:rsid w:val="00E46E7D"/>
    <w:rsid w:val="00E46EFB"/>
    <w:rsid w:val="00E46F04"/>
    <w:rsid w:val="00E46F4E"/>
    <w:rsid w:val="00E4707F"/>
    <w:rsid w:val="00E470E5"/>
    <w:rsid w:val="00E4717B"/>
    <w:rsid w:val="00E4717C"/>
    <w:rsid w:val="00E47191"/>
    <w:rsid w:val="00E471B9"/>
    <w:rsid w:val="00E471D8"/>
    <w:rsid w:val="00E472FF"/>
    <w:rsid w:val="00E4737C"/>
    <w:rsid w:val="00E473F2"/>
    <w:rsid w:val="00E4746F"/>
    <w:rsid w:val="00E474B7"/>
    <w:rsid w:val="00E47538"/>
    <w:rsid w:val="00E475B3"/>
    <w:rsid w:val="00E475B7"/>
    <w:rsid w:val="00E475B9"/>
    <w:rsid w:val="00E476D9"/>
    <w:rsid w:val="00E4771F"/>
    <w:rsid w:val="00E47762"/>
    <w:rsid w:val="00E47795"/>
    <w:rsid w:val="00E477D7"/>
    <w:rsid w:val="00E479CC"/>
    <w:rsid w:val="00E479FF"/>
    <w:rsid w:val="00E47BA4"/>
    <w:rsid w:val="00E47BC8"/>
    <w:rsid w:val="00E47BE2"/>
    <w:rsid w:val="00E47CF1"/>
    <w:rsid w:val="00E47D0F"/>
    <w:rsid w:val="00E47DDF"/>
    <w:rsid w:val="00E47EAE"/>
    <w:rsid w:val="00E47EC7"/>
    <w:rsid w:val="00E47ECE"/>
    <w:rsid w:val="00E47F52"/>
    <w:rsid w:val="00E50031"/>
    <w:rsid w:val="00E50072"/>
    <w:rsid w:val="00E5008F"/>
    <w:rsid w:val="00E500E4"/>
    <w:rsid w:val="00E50140"/>
    <w:rsid w:val="00E5015B"/>
    <w:rsid w:val="00E50169"/>
    <w:rsid w:val="00E5022A"/>
    <w:rsid w:val="00E503A1"/>
    <w:rsid w:val="00E5043F"/>
    <w:rsid w:val="00E50472"/>
    <w:rsid w:val="00E5049D"/>
    <w:rsid w:val="00E504D0"/>
    <w:rsid w:val="00E5053B"/>
    <w:rsid w:val="00E50548"/>
    <w:rsid w:val="00E505C0"/>
    <w:rsid w:val="00E50652"/>
    <w:rsid w:val="00E506AF"/>
    <w:rsid w:val="00E506CB"/>
    <w:rsid w:val="00E50868"/>
    <w:rsid w:val="00E50893"/>
    <w:rsid w:val="00E508C5"/>
    <w:rsid w:val="00E509BC"/>
    <w:rsid w:val="00E50A57"/>
    <w:rsid w:val="00E50CEF"/>
    <w:rsid w:val="00E50D14"/>
    <w:rsid w:val="00E50E30"/>
    <w:rsid w:val="00E50EC9"/>
    <w:rsid w:val="00E50F2A"/>
    <w:rsid w:val="00E50FBC"/>
    <w:rsid w:val="00E50FCC"/>
    <w:rsid w:val="00E5103F"/>
    <w:rsid w:val="00E5135D"/>
    <w:rsid w:val="00E514A3"/>
    <w:rsid w:val="00E514F5"/>
    <w:rsid w:val="00E514FE"/>
    <w:rsid w:val="00E5155D"/>
    <w:rsid w:val="00E51605"/>
    <w:rsid w:val="00E51669"/>
    <w:rsid w:val="00E516E8"/>
    <w:rsid w:val="00E516F5"/>
    <w:rsid w:val="00E51750"/>
    <w:rsid w:val="00E51751"/>
    <w:rsid w:val="00E5178B"/>
    <w:rsid w:val="00E51797"/>
    <w:rsid w:val="00E5182B"/>
    <w:rsid w:val="00E5183D"/>
    <w:rsid w:val="00E518D4"/>
    <w:rsid w:val="00E518E6"/>
    <w:rsid w:val="00E5193E"/>
    <w:rsid w:val="00E519C5"/>
    <w:rsid w:val="00E519EC"/>
    <w:rsid w:val="00E51AA5"/>
    <w:rsid w:val="00E51AE4"/>
    <w:rsid w:val="00E51BAD"/>
    <w:rsid w:val="00E51BDF"/>
    <w:rsid w:val="00E51CE9"/>
    <w:rsid w:val="00E51D4C"/>
    <w:rsid w:val="00E51DA8"/>
    <w:rsid w:val="00E51DF5"/>
    <w:rsid w:val="00E51DF6"/>
    <w:rsid w:val="00E51E0C"/>
    <w:rsid w:val="00E51E7D"/>
    <w:rsid w:val="00E51E9B"/>
    <w:rsid w:val="00E51FCB"/>
    <w:rsid w:val="00E51FD4"/>
    <w:rsid w:val="00E5206B"/>
    <w:rsid w:val="00E52140"/>
    <w:rsid w:val="00E5214F"/>
    <w:rsid w:val="00E521A7"/>
    <w:rsid w:val="00E52208"/>
    <w:rsid w:val="00E52236"/>
    <w:rsid w:val="00E5227D"/>
    <w:rsid w:val="00E5229C"/>
    <w:rsid w:val="00E52334"/>
    <w:rsid w:val="00E5237B"/>
    <w:rsid w:val="00E52490"/>
    <w:rsid w:val="00E524A3"/>
    <w:rsid w:val="00E524CC"/>
    <w:rsid w:val="00E524E2"/>
    <w:rsid w:val="00E524FC"/>
    <w:rsid w:val="00E525A4"/>
    <w:rsid w:val="00E5264A"/>
    <w:rsid w:val="00E52652"/>
    <w:rsid w:val="00E52679"/>
    <w:rsid w:val="00E5268B"/>
    <w:rsid w:val="00E526DD"/>
    <w:rsid w:val="00E527AF"/>
    <w:rsid w:val="00E527F0"/>
    <w:rsid w:val="00E52849"/>
    <w:rsid w:val="00E52897"/>
    <w:rsid w:val="00E528DB"/>
    <w:rsid w:val="00E52936"/>
    <w:rsid w:val="00E52940"/>
    <w:rsid w:val="00E52951"/>
    <w:rsid w:val="00E52A2B"/>
    <w:rsid w:val="00E52BE6"/>
    <w:rsid w:val="00E52C65"/>
    <w:rsid w:val="00E52CDC"/>
    <w:rsid w:val="00E5302B"/>
    <w:rsid w:val="00E53044"/>
    <w:rsid w:val="00E5307C"/>
    <w:rsid w:val="00E5314B"/>
    <w:rsid w:val="00E53176"/>
    <w:rsid w:val="00E5317E"/>
    <w:rsid w:val="00E531AE"/>
    <w:rsid w:val="00E531DB"/>
    <w:rsid w:val="00E5322E"/>
    <w:rsid w:val="00E53334"/>
    <w:rsid w:val="00E5335C"/>
    <w:rsid w:val="00E533DD"/>
    <w:rsid w:val="00E53407"/>
    <w:rsid w:val="00E53418"/>
    <w:rsid w:val="00E534C2"/>
    <w:rsid w:val="00E53543"/>
    <w:rsid w:val="00E53701"/>
    <w:rsid w:val="00E5375C"/>
    <w:rsid w:val="00E537F5"/>
    <w:rsid w:val="00E538B4"/>
    <w:rsid w:val="00E53959"/>
    <w:rsid w:val="00E5396A"/>
    <w:rsid w:val="00E53983"/>
    <w:rsid w:val="00E53999"/>
    <w:rsid w:val="00E53A54"/>
    <w:rsid w:val="00E53A9C"/>
    <w:rsid w:val="00E53B05"/>
    <w:rsid w:val="00E53B70"/>
    <w:rsid w:val="00E53C05"/>
    <w:rsid w:val="00E53C33"/>
    <w:rsid w:val="00E53C4F"/>
    <w:rsid w:val="00E53C65"/>
    <w:rsid w:val="00E53EBE"/>
    <w:rsid w:val="00E53FAF"/>
    <w:rsid w:val="00E53FF8"/>
    <w:rsid w:val="00E54001"/>
    <w:rsid w:val="00E54123"/>
    <w:rsid w:val="00E541E7"/>
    <w:rsid w:val="00E5420D"/>
    <w:rsid w:val="00E54247"/>
    <w:rsid w:val="00E5427D"/>
    <w:rsid w:val="00E542B4"/>
    <w:rsid w:val="00E5433B"/>
    <w:rsid w:val="00E54359"/>
    <w:rsid w:val="00E543CA"/>
    <w:rsid w:val="00E54423"/>
    <w:rsid w:val="00E544AE"/>
    <w:rsid w:val="00E544BE"/>
    <w:rsid w:val="00E544FF"/>
    <w:rsid w:val="00E54520"/>
    <w:rsid w:val="00E54525"/>
    <w:rsid w:val="00E54535"/>
    <w:rsid w:val="00E5469E"/>
    <w:rsid w:val="00E547E0"/>
    <w:rsid w:val="00E5488D"/>
    <w:rsid w:val="00E548B2"/>
    <w:rsid w:val="00E548D4"/>
    <w:rsid w:val="00E548F8"/>
    <w:rsid w:val="00E5490E"/>
    <w:rsid w:val="00E54956"/>
    <w:rsid w:val="00E54A58"/>
    <w:rsid w:val="00E54B52"/>
    <w:rsid w:val="00E54B74"/>
    <w:rsid w:val="00E54C7A"/>
    <w:rsid w:val="00E54C7B"/>
    <w:rsid w:val="00E54D33"/>
    <w:rsid w:val="00E54D7F"/>
    <w:rsid w:val="00E54DDD"/>
    <w:rsid w:val="00E54E3C"/>
    <w:rsid w:val="00E54E60"/>
    <w:rsid w:val="00E54EB2"/>
    <w:rsid w:val="00E54FD3"/>
    <w:rsid w:val="00E55120"/>
    <w:rsid w:val="00E551D7"/>
    <w:rsid w:val="00E5522A"/>
    <w:rsid w:val="00E55302"/>
    <w:rsid w:val="00E5539B"/>
    <w:rsid w:val="00E55453"/>
    <w:rsid w:val="00E554AF"/>
    <w:rsid w:val="00E554E0"/>
    <w:rsid w:val="00E554FF"/>
    <w:rsid w:val="00E5552A"/>
    <w:rsid w:val="00E55555"/>
    <w:rsid w:val="00E5556C"/>
    <w:rsid w:val="00E5558F"/>
    <w:rsid w:val="00E55689"/>
    <w:rsid w:val="00E5575D"/>
    <w:rsid w:val="00E55772"/>
    <w:rsid w:val="00E557E2"/>
    <w:rsid w:val="00E5585B"/>
    <w:rsid w:val="00E558CA"/>
    <w:rsid w:val="00E558F5"/>
    <w:rsid w:val="00E5591F"/>
    <w:rsid w:val="00E5599B"/>
    <w:rsid w:val="00E559FB"/>
    <w:rsid w:val="00E55A3F"/>
    <w:rsid w:val="00E55AEC"/>
    <w:rsid w:val="00E55B29"/>
    <w:rsid w:val="00E55BA6"/>
    <w:rsid w:val="00E55BB1"/>
    <w:rsid w:val="00E55C43"/>
    <w:rsid w:val="00E55C53"/>
    <w:rsid w:val="00E55C7C"/>
    <w:rsid w:val="00E55D78"/>
    <w:rsid w:val="00E55E7B"/>
    <w:rsid w:val="00E55EE4"/>
    <w:rsid w:val="00E55F17"/>
    <w:rsid w:val="00E55F3C"/>
    <w:rsid w:val="00E55F6E"/>
    <w:rsid w:val="00E55F86"/>
    <w:rsid w:val="00E55FC4"/>
    <w:rsid w:val="00E56006"/>
    <w:rsid w:val="00E560C6"/>
    <w:rsid w:val="00E56132"/>
    <w:rsid w:val="00E56140"/>
    <w:rsid w:val="00E56180"/>
    <w:rsid w:val="00E5633F"/>
    <w:rsid w:val="00E56382"/>
    <w:rsid w:val="00E563C3"/>
    <w:rsid w:val="00E56546"/>
    <w:rsid w:val="00E5656C"/>
    <w:rsid w:val="00E566B2"/>
    <w:rsid w:val="00E567A1"/>
    <w:rsid w:val="00E567DA"/>
    <w:rsid w:val="00E56826"/>
    <w:rsid w:val="00E568AB"/>
    <w:rsid w:val="00E568E1"/>
    <w:rsid w:val="00E56A3D"/>
    <w:rsid w:val="00E56A76"/>
    <w:rsid w:val="00E56B54"/>
    <w:rsid w:val="00E56B5D"/>
    <w:rsid w:val="00E56C16"/>
    <w:rsid w:val="00E56C83"/>
    <w:rsid w:val="00E56CD4"/>
    <w:rsid w:val="00E56D4E"/>
    <w:rsid w:val="00E56D66"/>
    <w:rsid w:val="00E56DA9"/>
    <w:rsid w:val="00E56E5D"/>
    <w:rsid w:val="00E56E81"/>
    <w:rsid w:val="00E56E8D"/>
    <w:rsid w:val="00E56F5F"/>
    <w:rsid w:val="00E5701C"/>
    <w:rsid w:val="00E5704E"/>
    <w:rsid w:val="00E57113"/>
    <w:rsid w:val="00E573DA"/>
    <w:rsid w:val="00E575BB"/>
    <w:rsid w:val="00E575EF"/>
    <w:rsid w:val="00E57613"/>
    <w:rsid w:val="00E5761F"/>
    <w:rsid w:val="00E576E8"/>
    <w:rsid w:val="00E576EA"/>
    <w:rsid w:val="00E57730"/>
    <w:rsid w:val="00E577C7"/>
    <w:rsid w:val="00E5790A"/>
    <w:rsid w:val="00E5790E"/>
    <w:rsid w:val="00E57947"/>
    <w:rsid w:val="00E57968"/>
    <w:rsid w:val="00E579A1"/>
    <w:rsid w:val="00E57A0B"/>
    <w:rsid w:val="00E57AB3"/>
    <w:rsid w:val="00E57B76"/>
    <w:rsid w:val="00E57B98"/>
    <w:rsid w:val="00E57B9E"/>
    <w:rsid w:val="00E57BDF"/>
    <w:rsid w:val="00E57D62"/>
    <w:rsid w:val="00E57D9A"/>
    <w:rsid w:val="00E57DA4"/>
    <w:rsid w:val="00E57DC1"/>
    <w:rsid w:val="00E57DF6"/>
    <w:rsid w:val="00E57E9A"/>
    <w:rsid w:val="00E57EA7"/>
    <w:rsid w:val="00E57EB6"/>
    <w:rsid w:val="00E57F27"/>
    <w:rsid w:val="00E57FCE"/>
    <w:rsid w:val="00E60015"/>
    <w:rsid w:val="00E600A2"/>
    <w:rsid w:val="00E60228"/>
    <w:rsid w:val="00E602A3"/>
    <w:rsid w:val="00E602D9"/>
    <w:rsid w:val="00E60371"/>
    <w:rsid w:val="00E60458"/>
    <w:rsid w:val="00E604C6"/>
    <w:rsid w:val="00E604D1"/>
    <w:rsid w:val="00E60564"/>
    <w:rsid w:val="00E605A5"/>
    <w:rsid w:val="00E6066F"/>
    <w:rsid w:val="00E607BB"/>
    <w:rsid w:val="00E607F2"/>
    <w:rsid w:val="00E60814"/>
    <w:rsid w:val="00E60ACA"/>
    <w:rsid w:val="00E60B3B"/>
    <w:rsid w:val="00E60C26"/>
    <w:rsid w:val="00E60CC2"/>
    <w:rsid w:val="00E60D56"/>
    <w:rsid w:val="00E60E3B"/>
    <w:rsid w:val="00E60F1B"/>
    <w:rsid w:val="00E6101D"/>
    <w:rsid w:val="00E61110"/>
    <w:rsid w:val="00E61124"/>
    <w:rsid w:val="00E611BD"/>
    <w:rsid w:val="00E611CF"/>
    <w:rsid w:val="00E6125B"/>
    <w:rsid w:val="00E61339"/>
    <w:rsid w:val="00E61432"/>
    <w:rsid w:val="00E61437"/>
    <w:rsid w:val="00E615A3"/>
    <w:rsid w:val="00E6163E"/>
    <w:rsid w:val="00E61691"/>
    <w:rsid w:val="00E61854"/>
    <w:rsid w:val="00E618E1"/>
    <w:rsid w:val="00E618F2"/>
    <w:rsid w:val="00E61967"/>
    <w:rsid w:val="00E61A4A"/>
    <w:rsid w:val="00E61BE0"/>
    <w:rsid w:val="00E61CAA"/>
    <w:rsid w:val="00E61CF8"/>
    <w:rsid w:val="00E61D6B"/>
    <w:rsid w:val="00E61D7B"/>
    <w:rsid w:val="00E61DE5"/>
    <w:rsid w:val="00E61E19"/>
    <w:rsid w:val="00E61EBE"/>
    <w:rsid w:val="00E61ECF"/>
    <w:rsid w:val="00E61F0B"/>
    <w:rsid w:val="00E61F5B"/>
    <w:rsid w:val="00E61FA2"/>
    <w:rsid w:val="00E61FBF"/>
    <w:rsid w:val="00E61FC5"/>
    <w:rsid w:val="00E61FF9"/>
    <w:rsid w:val="00E6206E"/>
    <w:rsid w:val="00E6207A"/>
    <w:rsid w:val="00E6210A"/>
    <w:rsid w:val="00E62154"/>
    <w:rsid w:val="00E62167"/>
    <w:rsid w:val="00E6219B"/>
    <w:rsid w:val="00E621F5"/>
    <w:rsid w:val="00E621FB"/>
    <w:rsid w:val="00E62207"/>
    <w:rsid w:val="00E622D3"/>
    <w:rsid w:val="00E6230E"/>
    <w:rsid w:val="00E623AE"/>
    <w:rsid w:val="00E62560"/>
    <w:rsid w:val="00E625F8"/>
    <w:rsid w:val="00E62622"/>
    <w:rsid w:val="00E62628"/>
    <w:rsid w:val="00E626CA"/>
    <w:rsid w:val="00E62755"/>
    <w:rsid w:val="00E6275E"/>
    <w:rsid w:val="00E627B6"/>
    <w:rsid w:val="00E62811"/>
    <w:rsid w:val="00E62844"/>
    <w:rsid w:val="00E6292B"/>
    <w:rsid w:val="00E6292F"/>
    <w:rsid w:val="00E62968"/>
    <w:rsid w:val="00E629FA"/>
    <w:rsid w:val="00E62A0C"/>
    <w:rsid w:val="00E62A50"/>
    <w:rsid w:val="00E62A62"/>
    <w:rsid w:val="00E62CC7"/>
    <w:rsid w:val="00E62CD2"/>
    <w:rsid w:val="00E62E2D"/>
    <w:rsid w:val="00E63050"/>
    <w:rsid w:val="00E631A8"/>
    <w:rsid w:val="00E632A0"/>
    <w:rsid w:val="00E6336E"/>
    <w:rsid w:val="00E633A6"/>
    <w:rsid w:val="00E633D0"/>
    <w:rsid w:val="00E6346E"/>
    <w:rsid w:val="00E634C7"/>
    <w:rsid w:val="00E63532"/>
    <w:rsid w:val="00E63570"/>
    <w:rsid w:val="00E635A3"/>
    <w:rsid w:val="00E636EE"/>
    <w:rsid w:val="00E63785"/>
    <w:rsid w:val="00E63924"/>
    <w:rsid w:val="00E639AE"/>
    <w:rsid w:val="00E63B4F"/>
    <w:rsid w:val="00E63B65"/>
    <w:rsid w:val="00E63B81"/>
    <w:rsid w:val="00E63BCF"/>
    <w:rsid w:val="00E63BD0"/>
    <w:rsid w:val="00E63C67"/>
    <w:rsid w:val="00E63C9A"/>
    <w:rsid w:val="00E63CB8"/>
    <w:rsid w:val="00E63E15"/>
    <w:rsid w:val="00E63E72"/>
    <w:rsid w:val="00E63E9B"/>
    <w:rsid w:val="00E63EEF"/>
    <w:rsid w:val="00E63F34"/>
    <w:rsid w:val="00E64005"/>
    <w:rsid w:val="00E6404C"/>
    <w:rsid w:val="00E64055"/>
    <w:rsid w:val="00E6414B"/>
    <w:rsid w:val="00E6414D"/>
    <w:rsid w:val="00E6416C"/>
    <w:rsid w:val="00E64184"/>
    <w:rsid w:val="00E641D2"/>
    <w:rsid w:val="00E64245"/>
    <w:rsid w:val="00E64248"/>
    <w:rsid w:val="00E64497"/>
    <w:rsid w:val="00E6453B"/>
    <w:rsid w:val="00E64549"/>
    <w:rsid w:val="00E6454D"/>
    <w:rsid w:val="00E6457A"/>
    <w:rsid w:val="00E6457D"/>
    <w:rsid w:val="00E645EC"/>
    <w:rsid w:val="00E64659"/>
    <w:rsid w:val="00E64693"/>
    <w:rsid w:val="00E646A8"/>
    <w:rsid w:val="00E6471E"/>
    <w:rsid w:val="00E64833"/>
    <w:rsid w:val="00E64871"/>
    <w:rsid w:val="00E64877"/>
    <w:rsid w:val="00E648EF"/>
    <w:rsid w:val="00E649AB"/>
    <w:rsid w:val="00E64D1F"/>
    <w:rsid w:val="00E64D70"/>
    <w:rsid w:val="00E64E20"/>
    <w:rsid w:val="00E64E77"/>
    <w:rsid w:val="00E64E86"/>
    <w:rsid w:val="00E64E93"/>
    <w:rsid w:val="00E64FF1"/>
    <w:rsid w:val="00E64FF7"/>
    <w:rsid w:val="00E65089"/>
    <w:rsid w:val="00E650E5"/>
    <w:rsid w:val="00E6517B"/>
    <w:rsid w:val="00E651D6"/>
    <w:rsid w:val="00E65206"/>
    <w:rsid w:val="00E65217"/>
    <w:rsid w:val="00E6524E"/>
    <w:rsid w:val="00E65273"/>
    <w:rsid w:val="00E65334"/>
    <w:rsid w:val="00E653C4"/>
    <w:rsid w:val="00E65419"/>
    <w:rsid w:val="00E654C0"/>
    <w:rsid w:val="00E654DD"/>
    <w:rsid w:val="00E6554C"/>
    <w:rsid w:val="00E6579B"/>
    <w:rsid w:val="00E657B7"/>
    <w:rsid w:val="00E657EF"/>
    <w:rsid w:val="00E6590D"/>
    <w:rsid w:val="00E65A77"/>
    <w:rsid w:val="00E65ADC"/>
    <w:rsid w:val="00E65B15"/>
    <w:rsid w:val="00E65B74"/>
    <w:rsid w:val="00E65B8B"/>
    <w:rsid w:val="00E65C7A"/>
    <w:rsid w:val="00E65D40"/>
    <w:rsid w:val="00E65DB2"/>
    <w:rsid w:val="00E65EF4"/>
    <w:rsid w:val="00E65F9B"/>
    <w:rsid w:val="00E66007"/>
    <w:rsid w:val="00E6604B"/>
    <w:rsid w:val="00E660C8"/>
    <w:rsid w:val="00E660F7"/>
    <w:rsid w:val="00E66120"/>
    <w:rsid w:val="00E662AA"/>
    <w:rsid w:val="00E662AE"/>
    <w:rsid w:val="00E662FC"/>
    <w:rsid w:val="00E66334"/>
    <w:rsid w:val="00E66356"/>
    <w:rsid w:val="00E66375"/>
    <w:rsid w:val="00E66378"/>
    <w:rsid w:val="00E66748"/>
    <w:rsid w:val="00E66757"/>
    <w:rsid w:val="00E66971"/>
    <w:rsid w:val="00E669EE"/>
    <w:rsid w:val="00E66B86"/>
    <w:rsid w:val="00E66C6C"/>
    <w:rsid w:val="00E66CB1"/>
    <w:rsid w:val="00E66D53"/>
    <w:rsid w:val="00E66D66"/>
    <w:rsid w:val="00E66DB2"/>
    <w:rsid w:val="00E66E18"/>
    <w:rsid w:val="00E66E4E"/>
    <w:rsid w:val="00E67000"/>
    <w:rsid w:val="00E6709B"/>
    <w:rsid w:val="00E67171"/>
    <w:rsid w:val="00E6719C"/>
    <w:rsid w:val="00E672B5"/>
    <w:rsid w:val="00E67363"/>
    <w:rsid w:val="00E6740C"/>
    <w:rsid w:val="00E67430"/>
    <w:rsid w:val="00E6746D"/>
    <w:rsid w:val="00E675BF"/>
    <w:rsid w:val="00E67635"/>
    <w:rsid w:val="00E676F6"/>
    <w:rsid w:val="00E67722"/>
    <w:rsid w:val="00E67853"/>
    <w:rsid w:val="00E67960"/>
    <w:rsid w:val="00E67998"/>
    <w:rsid w:val="00E679BE"/>
    <w:rsid w:val="00E679E7"/>
    <w:rsid w:val="00E67BD8"/>
    <w:rsid w:val="00E67BEB"/>
    <w:rsid w:val="00E67FC4"/>
    <w:rsid w:val="00E700A4"/>
    <w:rsid w:val="00E700C2"/>
    <w:rsid w:val="00E700C9"/>
    <w:rsid w:val="00E70138"/>
    <w:rsid w:val="00E702D2"/>
    <w:rsid w:val="00E7031B"/>
    <w:rsid w:val="00E703C8"/>
    <w:rsid w:val="00E7051A"/>
    <w:rsid w:val="00E7051C"/>
    <w:rsid w:val="00E7059B"/>
    <w:rsid w:val="00E705AD"/>
    <w:rsid w:val="00E705D0"/>
    <w:rsid w:val="00E70610"/>
    <w:rsid w:val="00E7061F"/>
    <w:rsid w:val="00E706FD"/>
    <w:rsid w:val="00E7073F"/>
    <w:rsid w:val="00E70755"/>
    <w:rsid w:val="00E7075B"/>
    <w:rsid w:val="00E707B0"/>
    <w:rsid w:val="00E707DC"/>
    <w:rsid w:val="00E7087F"/>
    <w:rsid w:val="00E708B8"/>
    <w:rsid w:val="00E708F3"/>
    <w:rsid w:val="00E70A11"/>
    <w:rsid w:val="00E70A36"/>
    <w:rsid w:val="00E70B02"/>
    <w:rsid w:val="00E70B2B"/>
    <w:rsid w:val="00E70B8B"/>
    <w:rsid w:val="00E70C07"/>
    <w:rsid w:val="00E70C3F"/>
    <w:rsid w:val="00E70C52"/>
    <w:rsid w:val="00E70D71"/>
    <w:rsid w:val="00E70DD5"/>
    <w:rsid w:val="00E70E33"/>
    <w:rsid w:val="00E70E3A"/>
    <w:rsid w:val="00E70F0E"/>
    <w:rsid w:val="00E70FB9"/>
    <w:rsid w:val="00E70FFA"/>
    <w:rsid w:val="00E7114C"/>
    <w:rsid w:val="00E71155"/>
    <w:rsid w:val="00E711B8"/>
    <w:rsid w:val="00E711C5"/>
    <w:rsid w:val="00E7122B"/>
    <w:rsid w:val="00E712D5"/>
    <w:rsid w:val="00E71404"/>
    <w:rsid w:val="00E71470"/>
    <w:rsid w:val="00E714D8"/>
    <w:rsid w:val="00E71555"/>
    <w:rsid w:val="00E71600"/>
    <w:rsid w:val="00E71634"/>
    <w:rsid w:val="00E7167F"/>
    <w:rsid w:val="00E716AA"/>
    <w:rsid w:val="00E716F1"/>
    <w:rsid w:val="00E716FF"/>
    <w:rsid w:val="00E7178E"/>
    <w:rsid w:val="00E7179B"/>
    <w:rsid w:val="00E7182A"/>
    <w:rsid w:val="00E7189A"/>
    <w:rsid w:val="00E71953"/>
    <w:rsid w:val="00E71AAD"/>
    <w:rsid w:val="00E71AB7"/>
    <w:rsid w:val="00E71B20"/>
    <w:rsid w:val="00E71B80"/>
    <w:rsid w:val="00E71C97"/>
    <w:rsid w:val="00E71CB9"/>
    <w:rsid w:val="00E71CBF"/>
    <w:rsid w:val="00E71CC4"/>
    <w:rsid w:val="00E71D0D"/>
    <w:rsid w:val="00E71D5B"/>
    <w:rsid w:val="00E71F98"/>
    <w:rsid w:val="00E71FE6"/>
    <w:rsid w:val="00E72060"/>
    <w:rsid w:val="00E720FC"/>
    <w:rsid w:val="00E7211B"/>
    <w:rsid w:val="00E722AB"/>
    <w:rsid w:val="00E72351"/>
    <w:rsid w:val="00E7241E"/>
    <w:rsid w:val="00E7242E"/>
    <w:rsid w:val="00E724D1"/>
    <w:rsid w:val="00E7254E"/>
    <w:rsid w:val="00E725E0"/>
    <w:rsid w:val="00E7267F"/>
    <w:rsid w:val="00E726AB"/>
    <w:rsid w:val="00E72709"/>
    <w:rsid w:val="00E7276E"/>
    <w:rsid w:val="00E72859"/>
    <w:rsid w:val="00E7287C"/>
    <w:rsid w:val="00E72971"/>
    <w:rsid w:val="00E72A3F"/>
    <w:rsid w:val="00E72A79"/>
    <w:rsid w:val="00E72AB3"/>
    <w:rsid w:val="00E72B65"/>
    <w:rsid w:val="00E72C41"/>
    <w:rsid w:val="00E72CEB"/>
    <w:rsid w:val="00E72D2B"/>
    <w:rsid w:val="00E72E14"/>
    <w:rsid w:val="00E72E22"/>
    <w:rsid w:val="00E72ED4"/>
    <w:rsid w:val="00E72F23"/>
    <w:rsid w:val="00E72FE2"/>
    <w:rsid w:val="00E73000"/>
    <w:rsid w:val="00E7303A"/>
    <w:rsid w:val="00E7310D"/>
    <w:rsid w:val="00E7314E"/>
    <w:rsid w:val="00E73250"/>
    <w:rsid w:val="00E73276"/>
    <w:rsid w:val="00E73389"/>
    <w:rsid w:val="00E73457"/>
    <w:rsid w:val="00E734A2"/>
    <w:rsid w:val="00E734B8"/>
    <w:rsid w:val="00E7356A"/>
    <w:rsid w:val="00E73614"/>
    <w:rsid w:val="00E736C1"/>
    <w:rsid w:val="00E737C9"/>
    <w:rsid w:val="00E737D8"/>
    <w:rsid w:val="00E737E1"/>
    <w:rsid w:val="00E7392B"/>
    <w:rsid w:val="00E739BA"/>
    <w:rsid w:val="00E73AD1"/>
    <w:rsid w:val="00E73B19"/>
    <w:rsid w:val="00E73B49"/>
    <w:rsid w:val="00E73C2A"/>
    <w:rsid w:val="00E73C66"/>
    <w:rsid w:val="00E73C72"/>
    <w:rsid w:val="00E73CF5"/>
    <w:rsid w:val="00E73CFD"/>
    <w:rsid w:val="00E73D58"/>
    <w:rsid w:val="00E73DD6"/>
    <w:rsid w:val="00E73E6B"/>
    <w:rsid w:val="00E73EF4"/>
    <w:rsid w:val="00E73FA7"/>
    <w:rsid w:val="00E73FAC"/>
    <w:rsid w:val="00E7404D"/>
    <w:rsid w:val="00E74135"/>
    <w:rsid w:val="00E7428A"/>
    <w:rsid w:val="00E74329"/>
    <w:rsid w:val="00E74339"/>
    <w:rsid w:val="00E74596"/>
    <w:rsid w:val="00E7465A"/>
    <w:rsid w:val="00E74668"/>
    <w:rsid w:val="00E748BA"/>
    <w:rsid w:val="00E74903"/>
    <w:rsid w:val="00E74956"/>
    <w:rsid w:val="00E7497A"/>
    <w:rsid w:val="00E749AA"/>
    <w:rsid w:val="00E749F9"/>
    <w:rsid w:val="00E749FD"/>
    <w:rsid w:val="00E74A03"/>
    <w:rsid w:val="00E74A2D"/>
    <w:rsid w:val="00E74A8A"/>
    <w:rsid w:val="00E74BB3"/>
    <w:rsid w:val="00E74C1A"/>
    <w:rsid w:val="00E74C5E"/>
    <w:rsid w:val="00E74E07"/>
    <w:rsid w:val="00E74E8D"/>
    <w:rsid w:val="00E7505E"/>
    <w:rsid w:val="00E750EC"/>
    <w:rsid w:val="00E75183"/>
    <w:rsid w:val="00E75211"/>
    <w:rsid w:val="00E75265"/>
    <w:rsid w:val="00E75283"/>
    <w:rsid w:val="00E75308"/>
    <w:rsid w:val="00E75318"/>
    <w:rsid w:val="00E75337"/>
    <w:rsid w:val="00E753A6"/>
    <w:rsid w:val="00E753E1"/>
    <w:rsid w:val="00E75512"/>
    <w:rsid w:val="00E756A5"/>
    <w:rsid w:val="00E7572E"/>
    <w:rsid w:val="00E75731"/>
    <w:rsid w:val="00E75738"/>
    <w:rsid w:val="00E75A82"/>
    <w:rsid w:val="00E75AC3"/>
    <w:rsid w:val="00E75AE1"/>
    <w:rsid w:val="00E75BFE"/>
    <w:rsid w:val="00E75C6F"/>
    <w:rsid w:val="00E75D01"/>
    <w:rsid w:val="00E75D1D"/>
    <w:rsid w:val="00E75D5F"/>
    <w:rsid w:val="00E75E91"/>
    <w:rsid w:val="00E75ECE"/>
    <w:rsid w:val="00E75F22"/>
    <w:rsid w:val="00E75F4E"/>
    <w:rsid w:val="00E76000"/>
    <w:rsid w:val="00E7607B"/>
    <w:rsid w:val="00E761A2"/>
    <w:rsid w:val="00E761ED"/>
    <w:rsid w:val="00E7624E"/>
    <w:rsid w:val="00E762BE"/>
    <w:rsid w:val="00E763E6"/>
    <w:rsid w:val="00E764B0"/>
    <w:rsid w:val="00E765A2"/>
    <w:rsid w:val="00E7671C"/>
    <w:rsid w:val="00E7695D"/>
    <w:rsid w:val="00E76A62"/>
    <w:rsid w:val="00E76A74"/>
    <w:rsid w:val="00E76B14"/>
    <w:rsid w:val="00E76B27"/>
    <w:rsid w:val="00E76B97"/>
    <w:rsid w:val="00E76BEA"/>
    <w:rsid w:val="00E76C0B"/>
    <w:rsid w:val="00E76C2C"/>
    <w:rsid w:val="00E76D98"/>
    <w:rsid w:val="00E76DDA"/>
    <w:rsid w:val="00E76F9A"/>
    <w:rsid w:val="00E76FC0"/>
    <w:rsid w:val="00E77014"/>
    <w:rsid w:val="00E77133"/>
    <w:rsid w:val="00E77193"/>
    <w:rsid w:val="00E77226"/>
    <w:rsid w:val="00E77279"/>
    <w:rsid w:val="00E772FA"/>
    <w:rsid w:val="00E77469"/>
    <w:rsid w:val="00E77512"/>
    <w:rsid w:val="00E775D8"/>
    <w:rsid w:val="00E77731"/>
    <w:rsid w:val="00E77859"/>
    <w:rsid w:val="00E77863"/>
    <w:rsid w:val="00E77966"/>
    <w:rsid w:val="00E7796B"/>
    <w:rsid w:val="00E7798A"/>
    <w:rsid w:val="00E779CA"/>
    <w:rsid w:val="00E77C12"/>
    <w:rsid w:val="00E77C41"/>
    <w:rsid w:val="00E77C53"/>
    <w:rsid w:val="00E77D86"/>
    <w:rsid w:val="00E77DB0"/>
    <w:rsid w:val="00E77E9E"/>
    <w:rsid w:val="00E77F1A"/>
    <w:rsid w:val="00E77F4F"/>
    <w:rsid w:val="00E8005D"/>
    <w:rsid w:val="00E801B7"/>
    <w:rsid w:val="00E801BB"/>
    <w:rsid w:val="00E80262"/>
    <w:rsid w:val="00E80280"/>
    <w:rsid w:val="00E802CD"/>
    <w:rsid w:val="00E8037F"/>
    <w:rsid w:val="00E80418"/>
    <w:rsid w:val="00E80422"/>
    <w:rsid w:val="00E80486"/>
    <w:rsid w:val="00E8063A"/>
    <w:rsid w:val="00E80664"/>
    <w:rsid w:val="00E80682"/>
    <w:rsid w:val="00E806BD"/>
    <w:rsid w:val="00E806EA"/>
    <w:rsid w:val="00E80703"/>
    <w:rsid w:val="00E807EC"/>
    <w:rsid w:val="00E808A0"/>
    <w:rsid w:val="00E808EA"/>
    <w:rsid w:val="00E80912"/>
    <w:rsid w:val="00E809FE"/>
    <w:rsid w:val="00E80A17"/>
    <w:rsid w:val="00E80A60"/>
    <w:rsid w:val="00E80AD5"/>
    <w:rsid w:val="00E80C59"/>
    <w:rsid w:val="00E80C88"/>
    <w:rsid w:val="00E80C8A"/>
    <w:rsid w:val="00E80D31"/>
    <w:rsid w:val="00E80D3A"/>
    <w:rsid w:val="00E80ECF"/>
    <w:rsid w:val="00E80FF7"/>
    <w:rsid w:val="00E810B6"/>
    <w:rsid w:val="00E81130"/>
    <w:rsid w:val="00E811AD"/>
    <w:rsid w:val="00E8132C"/>
    <w:rsid w:val="00E81421"/>
    <w:rsid w:val="00E814C2"/>
    <w:rsid w:val="00E814DB"/>
    <w:rsid w:val="00E8155A"/>
    <w:rsid w:val="00E81606"/>
    <w:rsid w:val="00E81629"/>
    <w:rsid w:val="00E81639"/>
    <w:rsid w:val="00E81681"/>
    <w:rsid w:val="00E817B8"/>
    <w:rsid w:val="00E817C5"/>
    <w:rsid w:val="00E81894"/>
    <w:rsid w:val="00E818AD"/>
    <w:rsid w:val="00E818B1"/>
    <w:rsid w:val="00E818CB"/>
    <w:rsid w:val="00E81906"/>
    <w:rsid w:val="00E819D4"/>
    <w:rsid w:val="00E819DE"/>
    <w:rsid w:val="00E81ACC"/>
    <w:rsid w:val="00E81D32"/>
    <w:rsid w:val="00E81DC5"/>
    <w:rsid w:val="00E81DF5"/>
    <w:rsid w:val="00E81E67"/>
    <w:rsid w:val="00E81E6D"/>
    <w:rsid w:val="00E81EA6"/>
    <w:rsid w:val="00E8205E"/>
    <w:rsid w:val="00E8207F"/>
    <w:rsid w:val="00E82155"/>
    <w:rsid w:val="00E82165"/>
    <w:rsid w:val="00E8217E"/>
    <w:rsid w:val="00E8222D"/>
    <w:rsid w:val="00E8227C"/>
    <w:rsid w:val="00E822BB"/>
    <w:rsid w:val="00E822EA"/>
    <w:rsid w:val="00E82376"/>
    <w:rsid w:val="00E8244D"/>
    <w:rsid w:val="00E824C9"/>
    <w:rsid w:val="00E824D9"/>
    <w:rsid w:val="00E82527"/>
    <w:rsid w:val="00E825A3"/>
    <w:rsid w:val="00E825B3"/>
    <w:rsid w:val="00E82660"/>
    <w:rsid w:val="00E826C4"/>
    <w:rsid w:val="00E827C6"/>
    <w:rsid w:val="00E82870"/>
    <w:rsid w:val="00E828AC"/>
    <w:rsid w:val="00E829EB"/>
    <w:rsid w:val="00E82A38"/>
    <w:rsid w:val="00E82AE2"/>
    <w:rsid w:val="00E82B27"/>
    <w:rsid w:val="00E82B2A"/>
    <w:rsid w:val="00E82B77"/>
    <w:rsid w:val="00E82C62"/>
    <w:rsid w:val="00E82CE8"/>
    <w:rsid w:val="00E82E1D"/>
    <w:rsid w:val="00E82FC1"/>
    <w:rsid w:val="00E830F4"/>
    <w:rsid w:val="00E8313D"/>
    <w:rsid w:val="00E83161"/>
    <w:rsid w:val="00E831F5"/>
    <w:rsid w:val="00E8321E"/>
    <w:rsid w:val="00E83233"/>
    <w:rsid w:val="00E83273"/>
    <w:rsid w:val="00E8327D"/>
    <w:rsid w:val="00E83374"/>
    <w:rsid w:val="00E833A1"/>
    <w:rsid w:val="00E83545"/>
    <w:rsid w:val="00E835B9"/>
    <w:rsid w:val="00E835DA"/>
    <w:rsid w:val="00E836A9"/>
    <w:rsid w:val="00E8370A"/>
    <w:rsid w:val="00E83790"/>
    <w:rsid w:val="00E837E3"/>
    <w:rsid w:val="00E837F3"/>
    <w:rsid w:val="00E838AD"/>
    <w:rsid w:val="00E83965"/>
    <w:rsid w:val="00E83991"/>
    <w:rsid w:val="00E839E0"/>
    <w:rsid w:val="00E83A52"/>
    <w:rsid w:val="00E83AA9"/>
    <w:rsid w:val="00E83B60"/>
    <w:rsid w:val="00E83CF3"/>
    <w:rsid w:val="00E83D22"/>
    <w:rsid w:val="00E83EAF"/>
    <w:rsid w:val="00E83EB4"/>
    <w:rsid w:val="00E83F7F"/>
    <w:rsid w:val="00E8402F"/>
    <w:rsid w:val="00E8407E"/>
    <w:rsid w:val="00E841D6"/>
    <w:rsid w:val="00E84201"/>
    <w:rsid w:val="00E84425"/>
    <w:rsid w:val="00E844AB"/>
    <w:rsid w:val="00E844FB"/>
    <w:rsid w:val="00E846EA"/>
    <w:rsid w:val="00E84713"/>
    <w:rsid w:val="00E84721"/>
    <w:rsid w:val="00E847D8"/>
    <w:rsid w:val="00E8487E"/>
    <w:rsid w:val="00E848B8"/>
    <w:rsid w:val="00E84916"/>
    <w:rsid w:val="00E8492A"/>
    <w:rsid w:val="00E84A8E"/>
    <w:rsid w:val="00E84AC3"/>
    <w:rsid w:val="00E84B06"/>
    <w:rsid w:val="00E84BFE"/>
    <w:rsid w:val="00E84C79"/>
    <w:rsid w:val="00E84C7A"/>
    <w:rsid w:val="00E84CE9"/>
    <w:rsid w:val="00E84CF6"/>
    <w:rsid w:val="00E84D55"/>
    <w:rsid w:val="00E84E52"/>
    <w:rsid w:val="00E84EF7"/>
    <w:rsid w:val="00E84F3E"/>
    <w:rsid w:val="00E85000"/>
    <w:rsid w:val="00E850D9"/>
    <w:rsid w:val="00E8524A"/>
    <w:rsid w:val="00E85321"/>
    <w:rsid w:val="00E85360"/>
    <w:rsid w:val="00E85377"/>
    <w:rsid w:val="00E853A0"/>
    <w:rsid w:val="00E853B7"/>
    <w:rsid w:val="00E854BE"/>
    <w:rsid w:val="00E85596"/>
    <w:rsid w:val="00E855BD"/>
    <w:rsid w:val="00E85831"/>
    <w:rsid w:val="00E85851"/>
    <w:rsid w:val="00E858D1"/>
    <w:rsid w:val="00E858F5"/>
    <w:rsid w:val="00E8592A"/>
    <w:rsid w:val="00E859C2"/>
    <w:rsid w:val="00E85C15"/>
    <w:rsid w:val="00E85C25"/>
    <w:rsid w:val="00E85C6D"/>
    <w:rsid w:val="00E85CEF"/>
    <w:rsid w:val="00E85F3A"/>
    <w:rsid w:val="00E8600D"/>
    <w:rsid w:val="00E86083"/>
    <w:rsid w:val="00E860CF"/>
    <w:rsid w:val="00E86250"/>
    <w:rsid w:val="00E862CE"/>
    <w:rsid w:val="00E862DF"/>
    <w:rsid w:val="00E8632C"/>
    <w:rsid w:val="00E8641B"/>
    <w:rsid w:val="00E86485"/>
    <w:rsid w:val="00E864CE"/>
    <w:rsid w:val="00E865AA"/>
    <w:rsid w:val="00E865DB"/>
    <w:rsid w:val="00E8666B"/>
    <w:rsid w:val="00E86697"/>
    <w:rsid w:val="00E866F3"/>
    <w:rsid w:val="00E86750"/>
    <w:rsid w:val="00E86810"/>
    <w:rsid w:val="00E8683E"/>
    <w:rsid w:val="00E86853"/>
    <w:rsid w:val="00E86973"/>
    <w:rsid w:val="00E86AD7"/>
    <w:rsid w:val="00E86B06"/>
    <w:rsid w:val="00E86CA1"/>
    <w:rsid w:val="00E86CD3"/>
    <w:rsid w:val="00E86CEF"/>
    <w:rsid w:val="00E86DB9"/>
    <w:rsid w:val="00E86E52"/>
    <w:rsid w:val="00E86E6E"/>
    <w:rsid w:val="00E86E70"/>
    <w:rsid w:val="00E86E79"/>
    <w:rsid w:val="00E86EE1"/>
    <w:rsid w:val="00E86F77"/>
    <w:rsid w:val="00E8701A"/>
    <w:rsid w:val="00E8702C"/>
    <w:rsid w:val="00E8706C"/>
    <w:rsid w:val="00E87185"/>
    <w:rsid w:val="00E871A8"/>
    <w:rsid w:val="00E87255"/>
    <w:rsid w:val="00E87274"/>
    <w:rsid w:val="00E872DA"/>
    <w:rsid w:val="00E872E0"/>
    <w:rsid w:val="00E8731E"/>
    <w:rsid w:val="00E87342"/>
    <w:rsid w:val="00E8738E"/>
    <w:rsid w:val="00E873E8"/>
    <w:rsid w:val="00E87486"/>
    <w:rsid w:val="00E87575"/>
    <w:rsid w:val="00E875A9"/>
    <w:rsid w:val="00E875B8"/>
    <w:rsid w:val="00E87637"/>
    <w:rsid w:val="00E8765C"/>
    <w:rsid w:val="00E877A3"/>
    <w:rsid w:val="00E87817"/>
    <w:rsid w:val="00E878C2"/>
    <w:rsid w:val="00E879B6"/>
    <w:rsid w:val="00E87B07"/>
    <w:rsid w:val="00E87CB1"/>
    <w:rsid w:val="00E87CFD"/>
    <w:rsid w:val="00E87D13"/>
    <w:rsid w:val="00E87DC8"/>
    <w:rsid w:val="00E87E11"/>
    <w:rsid w:val="00E87EEA"/>
    <w:rsid w:val="00E87F06"/>
    <w:rsid w:val="00E87F5E"/>
    <w:rsid w:val="00E90180"/>
    <w:rsid w:val="00E9033D"/>
    <w:rsid w:val="00E90392"/>
    <w:rsid w:val="00E903E3"/>
    <w:rsid w:val="00E90469"/>
    <w:rsid w:val="00E90492"/>
    <w:rsid w:val="00E904EC"/>
    <w:rsid w:val="00E90539"/>
    <w:rsid w:val="00E9057E"/>
    <w:rsid w:val="00E90672"/>
    <w:rsid w:val="00E9068C"/>
    <w:rsid w:val="00E907B7"/>
    <w:rsid w:val="00E907DA"/>
    <w:rsid w:val="00E9084F"/>
    <w:rsid w:val="00E90BEA"/>
    <w:rsid w:val="00E90C65"/>
    <w:rsid w:val="00E90C80"/>
    <w:rsid w:val="00E90D26"/>
    <w:rsid w:val="00E90D4C"/>
    <w:rsid w:val="00E90D53"/>
    <w:rsid w:val="00E90D6D"/>
    <w:rsid w:val="00E90DA5"/>
    <w:rsid w:val="00E90DAF"/>
    <w:rsid w:val="00E90FB9"/>
    <w:rsid w:val="00E90FD7"/>
    <w:rsid w:val="00E91059"/>
    <w:rsid w:val="00E91078"/>
    <w:rsid w:val="00E91083"/>
    <w:rsid w:val="00E910CD"/>
    <w:rsid w:val="00E9124B"/>
    <w:rsid w:val="00E912D0"/>
    <w:rsid w:val="00E913D9"/>
    <w:rsid w:val="00E9146E"/>
    <w:rsid w:val="00E914F9"/>
    <w:rsid w:val="00E914FB"/>
    <w:rsid w:val="00E91509"/>
    <w:rsid w:val="00E917F6"/>
    <w:rsid w:val="00E9182A"/>
    <w:rsid w:val="00E918AE"/>
    <w:rsid w:val="00E918B2"/>
    <w:rsid w:val="00E918FD"/>
    <w:rsid w:val="00E91917"/>
    <w:rsid w:val="00E91943"/>
    <w:rsid w:val="00E919C4"/>
    <w:rsid w:val="00E91B21"/>
    <w:rsid w:val="00E91B41"/>
    <w:rsid w:val="00E91BBB"/>
    <w:rsid w:val="00E91C23"/>
    <w:rsid w:val="00E91C67"/>
    <w:rsid w:val="00E91CE5"/>
    <w:rsid w:val="00E91DF7"/>
    <w:rsid w:val="00E91E3B"/>
    <w:rsid w:val="00E91E68"/>
    <w:rsid w:val="00E91F9E"/>
    <w:rsid w:val="00E91FEF"/>
    <w:rsid w:val="00E9205B"/>
    <w:rsid w:val="00E920D7"/>
    <w:rsid w:val="00E92109"/>
    <w:rsid w:val="00E92178"/>
    <w:rsid w:val="00E9242A"/>
    <w:rsid w:val="00E92480"/>
    <w:rsid w:val="00E924A2"/>
    <w:rsid w:val="00E9261D"/>
    <w:rsid w:val="00E92731"/>
    <w:rsid w:val="00E92753"/>
    <w:rsid w:val="00E928A6"/>
    <w:rsid w:val="00E928B1"/>
    <w:rsid w:val="00E929D9"/>
    <w:rsid w:val="00E92BBA"/>
    <w:rsid w:val="00E92C32"/>
    <w:rsid w:val="00E92C3D"/>
    <w:rsid w:val="00E92C4D"/>
    <w:rsid w:val="00E92C81"/>
    <w:rsid w:val="00E92CE8"/>
    <w:rsid w:val="00E92CF0"/>
    <w:rsid w:val="00E92DBA"/>
    <w:rsid w:val="00E92DF8"/>
    <w:rsid w:val="00E92E61"/>
    <w:rsid w:val="00E92EA5"/>
    <w:rsid w:val="00E92EB4"/>
    <w:rsid w:val="00E92EE0"/>
    <w:rsid w:val="00E92EE9"/>
    <w:rsid w:val="00E92EF5"/>
    <w:rsid w:val="00E92F67"/>
    <w:rsid w:val="00E92FB4"/>
    <w:rsid w:val="00E9304D"/>
    <w:rsid w:val="00E93078"/>
    <w:rsid w:val="00E93104"/>
    <w:rsid w:val="00E93186"/>
    <w:rsid w:val="00E93365"/>
    <w:rsid w:val="00E93384"/>
    <w:rsid w:val="00E9355C"/>
    <w:rsid w:val="00E937EB"/>
    <w:rsid w:val="00E93887"/>
    <w:rsid w:val="00E93924"/>
    <w:rsid w:val="00E9395B"/>
    <w:rsid w:val="00E9396A"/>
    <w:rsid w:val="00E93995"/>
    <w:rsid w:val="00E93AA0"/>
    <w:rsid w:val="00E93AE6"/>
    <w:rsid w:val="00E93B13"/>
    <w:rsid w:val="00E93B52"/>
    <w:rsid w:val="00E93B9F"/>
    <w:rsid w:val="00E93D2E"/>
    <w:rsid w:val="00E93D65"/>
    <w:rsid w:val="00E93DB7"/>
    <w:rsid w:val="00E93DE3"/>
    <w:rsid w:val="00E93DE7"/>
    <w:rsid w:val="00E93EC8"/>
    <w:rsid w:val="00E93F1E"/>
    <w:rsid w:val="00E93F55"/>
    <w:rsid w:val="00E93FBB"/>
    <w:rsid w:val="00E93FCB"/>
    <w:rsid w:val="00E9400F"/>
    <w:rsid w:val="00E94068"/>
    <w:rsid w:val="00E940BC"/>
    <w:rsid w:val="00E9414C"/>
    <w:rsid w:val="00E94174"/>
    <w:rsid w:val="00E941BC"/>
    <w:rsid w:val="00E942DE"/>
    <w:rsid w:val="00E942FC"/>
    <w:rsid w:val="00E94367"/>
    <w:rsid w:val="00E94368"/>
    <w:rsid w:val="00E94439"/>
    <w:rsid w:val="00E945C0"/>
    <w:rsid w:val="00E947B3"/>
    <w:rsid w:val="00E947BF"/>
    <w:rsid w:val="00E9481E"/>
    <w:rsid w:val="00E94917"/>
    <w:rsid w:val="00E94A3F"/>
    <w:rsid w:val="00E94A88"/>
    <w:rsid w:val="00E94A8A"/>
    <w:rsid w:val="00E94A98"/>
    <w:rsid w:val="00E94AD1"/>
    <w:rsid w:val="00E94AED"/>
    <w:rsid w:val="00E94C4D"/>
    <w:rsid w:val="00E94CE7"/>
    <w:rsid w:val="00E94D28"/>
    <w:rsid w:val="00E94D62"/>
    <w:rsid w:val="00E94DB9"/>
    <w:rsid w:val="00E94DE1"/>
    <w:rsid w:val="00E94E96"/>
    <w:rsid w:val="00E95056"/>
    <w:rsid w:val="00E95090"/>
    <w:rsid w:val="00E950A8"/>
    <w:rsid w:val="00E951A7"/>
    <w:rsid w:val="00E951D1"/>
    <w:rsid w:val="00E95235"/>
    <w:rsid w:val="00E95340"/>
    <w:rsid w:val="00E95375"/>
    <w:rsid w:val="00E953A4"/>
    <w:rsid w:val="00E954CA"/>
    <w:rsid w:val="00E95522"/>
    <w:rsid w:val="00E95556"/>
    <w:rsid w:val="00E95667"/>
    <w:rsid w:val="00E95758"/>
    <w:rsid w:val="00E95919"/>
    <w:rsid w:val="00E9593E"/>
    <w:rsid w:val="00E95952"/>
    <w:rsid w:val="00E95A75"/>
    <w:rsid w:val="00E95B55"/>
    <w:rsid w:val="00E95CE3"/>
    <w:rsid w:val="00E95D74"/>
    <w:rsid w:val="00E95DBC"/>
    <w:rsid w:val="00E95E1E"/>
    <w:rsid w:val="00E95EA7"/>
    <w:rsid w:val="00E95EE4"/>
    <w:rsid w:val="00E95F1E"/>
    <w:rsid w:val="00E95FE1"/>
    <w:rsid w:val="00E96076"/>
    <w:rsid w:val="00E960D1"/>
    <w:rsid w:val="00E961A3"/>
    <w:rsid w:val="00E961EE"/>
    <w:rsid w:val="00E962A4"/>
    <w:rsid w:val="00E96341"/>
    <w:rsid w:val="00E963F8"/>
    <w:rsid w:val="00E96452"/>
    <w:rsid w:val="00E96474"/>
    <w:rsid w:val="00E964BD"/>
    <w:rsid w:val="00E964DA"/>
    <w:rsid w:val="00E9654C"/>
    <w:rsid w:val="00E965A3"/>
    <w:rsid w:val="00E965D3"/>
    <w:rsid w:val="00E96634"/>
    <w:rsid w:val="00E96694"/>
    <w:rsid w:val="00E967AB"/>
    <w:rsid w:val="00E967F0"/>
    <w:rsid w:val="00E96808"/>
    <w:rsid w:val="00E968B6"/>
    <w:rsid w:val="00E968CB"/>
    <w:rsid w:val="00E96910"/>
    <w:rsid w:val="00E96936"/>
    <w:rsid w:val="00E96B7E"/>
    <w:rsid w:val="00E96D5E"/>
    <w:rsid w:val="00E96D92"/>
    <w:rsid w:val="00E96DE1"/>
    <w:rsid w:val="00E96E01"/>
    <w:rsid w:val="00E96E19"/>
    <w:rsid w:val="00E96E6F"/>
    <w:rsid w:val="00E96EC3"/>
    <w:rsid w:val="00E96F46"/>
    <w:rsid w:val="00E97031"/>
    <w:rsid w:val="00E9705F"/>
    <w:rsid w:val="00E970C0"/>
    <w:rsid w:val="00E97228"/>
    <w:rsid w:val="00E973CB"/>
    <w:rsid w:val="00E9741C"/>
    <w:rsid w:val="00E97464"/>
    <w:rsid w:val="00E9748C"/>
    <w:rsid w:val="00E97495"/>
    <w:rsid w:val="00E974B3"/>
    <w:rsid w:val="00E9752D"/>
    <w:rsid w:val="00E975F0"/>
    <w:rsid w:val="00E97635"/>
    <w:rsid w:val="00E976B1"/>
    <w:rsid w:val="00E976DB"/>
    <w:rsid w:val="00E977B7"/>
    <w:rsid w:val="00E977E9"/>
    <w:rsid w:val="00E978B4"/>
    <w:rsid w:val="00E979A5"/>
    <w:rsid w:val="00E97A4F"/>
    <w:rsid w:val="00E97A8C"/>
    <w:rsid w:val="00E97AE4"/>
    <w:rsid w:val="00E97B4B"/>
    <w:rsid w:val="00E97B4E"/>
    <w:rsid w:val="00E97B79"/>
    <w:rsid w:val="00E97C3F"/>
    <w:rsid w:val="00E97C43"/>
    <w:rsid w:val="00E97C53"/>
    <w:rsid w:val="00E97C95"/>
    <w:rsid w:val="00E97D00"/>
    <w:rsid w:val="00E97EDC"/>
    <w:rsid w:val="00E97F67"/>
    <w:rsid w:val="00E97FAE"/>
    <w:rsid w:val="00EA003D"/>
    <w:rsid w:val="00EA00D4"/>
    <w:rsid w:val="00EA0244"/>
    <w:rsid w:val="00EA03CD"/>
    <w:rsid w:val="00EA0648"/>
    <w:rsid w:val="00EA065D"/>
    <w:rsid w:val="00EA06C8"/>
    <w:rsid w:val="00EA084C"/>
    <w:rsid w:val="00EA0870"/>
    <w:rsid w:val="00EA08A2"/>
    <w:rsid w:val="00EA0931"/>
    <w:rsid w:val="00EA09CE"/>
    <w:rsid w:val="00EA0AA3"/>
    <w:rsid w:val="00EA0B01"/>
    <w:rsid w:val="00EA0B3F"/>
    <w:rsid w:val="00EA0BDE"/>
    <w:rsid w:val="00EA0BFA"/>
    <w:rsid w:val="00EA0C3F"/>
    <w:rsid w:val="00EA0C46"/>
    <w:rsid w:val="00EA0C4E"/>
    <w:rsid w:val="00EA0E13"/>
    <w:rsid w:val="00EA0F0D"/>
    <w:rsid w:val="00EA1045"/>
    <w:rsid w:val="00EA10AB"/>
    <w:rsid w:val="00EA11F2"/>
    <w:rsid w:val="00EA12AD"/>
    <w:rsid w:val="00EA12D3"/>
    <w:rsid w:val="00EA1329"/>
    <w:rsid w:val="00EA13BF"/>
    <w:rsid w:val="00EA145B"/>
    <w:rsid w:val="00EA146E"/>
    <w:rsid w:val="00EA14A1"/>
    <w:rsid w:val="00EA14AD"/>
    <w:rsid w:val="00EA14D4"/>
    <w:rsid w:val="00EA14E0"/>
    <w:rsid w:val="00EA15E3"/>
    <w:rsid w:val="00EA15FD"/>
    <w:rsid w:val="00EA160A"/>
    <w:rsid w:val="00EA1628"/>
    <w:rsid w:val="00EA163C"/>
    <w:rsid w:val="00EA16A3"/>
    <w:rsid w:val="00EA16E6"/>
    <w:rsid w:val="00EA175A"/>
    <w:rsid w:val="00EA1778"/>
    <w:rsid w:val="00EA17EE"/>
    <w:rsid w:val="00EA18DE"/>
    <w:rsid w:val="00EA18E5"/>
    <w:rsid w:val="00EA199D"/>
    <w:rsid w:val="00EA19F1"/>
    <w:rsid w:val="00EA1AEE"/>
    <w:rsid w:val="00EA1CD1"/>
    <w:rsid w:val="00EA1D59"/>
    <w:rsid w:val="00EA1D5B"/>
    <w:rsid w:val="00EA1DF7"/>
    <w:rsid w:val="00EA1E88"/>
    <w:rsid w:val="00EA1E8E"/>
    <w:rsid w:val="00EA1ED2"/>
    <w:rsid w:val="00EA1EF5"/>
    <w:rsid w:val="00EA2081"/>
    <w:rsid w:val="00EA20F4"/>
    <w:rsid w:val="00EA2161"/>
    <w:rsid w:val="00EA224E"/>
    <w:rsid w:val="00EA226C"/>
    <w:rsid w:val="00EA231E"/>
    <w:rsid w:val="00EA23D3"/>
    <w:rsid w:val="00EA2463"/>
    <w:rsid w:val="00EA249B"/>
    <w:rsid w:val="00EA251D"/>
    <w:rsid w:val="00EA2650"/>
    <w:rsid w:val="00EA2750"/>
    <w:rsid w:val="00EA2789"/>
    <w:rsid w:val="00EA2992"/>
    <w:rsid w:val="00EA2A0B"/>
    <w:rsid w:val="00EA2B80"/>
    <w:rsid w:val="00EA2BB4"/>
    <w:rsid w:val="00EA2CCA"/>
    <w:rsid w:val="00EA2DF3"/>
    <w:rsid w:val="00EA2E4E"/>
    <w:rsid w:val="00EA2E74"/>
    <w:rsid w:val="00EA2E88"/>
    <w:rsid w:val="00EA2F5F"/>
    <w:rsid w:val="00EA2F79"/>
    <w:rsid w:val="00EA2FC3"/>
    <w:rsid w:val="00EA3089"/>
    <w:rsid w:val="00EA31AD"/>
    <w:rsid w:val="00EA3322"/>
    <w:rsid w:val="00EA34D0"/>
    <w:rsid w:val="00EA34FB"/>
    <w:rsid w:val="00EA3671"/>
    <w:rsid w:val="00EA3692"/>
    <w:rsid w:val="00EA36C3"/>
    <w:rsid w:val="00EA3727"/>
    <w:rsid w:val="00EA3813"/>
    <w:rsid w:val="00EA385A"/>
    <w:rsid w:val="00EA385D"/>
    <w:rsid w:val="00EA3945"/>
    <w:rsid w:val="00EA39A6"/>
    <w:rsid w:val="00EA39D2"/>
    <w:rsid w:val="00EA3A10"/>
    <w:rsid w:val="00EA3ACC"/>
    <w:rsid w:val="00EA3AF1"/>
    <w:rsid w:val="00EA3BE6"/>
    <w:rsid w:val="00EA3CCE"/>
    <w:rsid w:val="00EA3DB6"/>
    <w:rsid w:val="00EA3F7D"/>
    <w:rsid w:val="00EA418A"/>
    <w:rsid w:val="00EA4204"/>
    <w:rsid w:val="00EA42C7"/>
    <w:rsid w:val="00EA42CF"/>
    <w:rsid w:val="00EA436E"/>
    <w:rsid w:val="00EA439A"/>
    <w:rsid w:val="00EA43B7"/>
    <w:rsid w:val="00EA440A"/>
    <w:rsid w:val="00EA4452"/>
    <w:rsid w:val="00EA448C"/>
    <w:rsid w:val="00EA44C2"/>
    <w:rsid w:val="00EA462C"/>
    <w:rsid w:val="00EA47DB"/>
    <w:rsid w:val="00EA47E4"/>
    <w:rsid w:val="00EA487D"/>
    <w:rsid w:val="00EA49B0"/>
    <w:rsid w:val="00EA4A18"/>
    <w:rsid w:val="00EA4BA8"/>
    <w:rsid w:val="00EA4BCA"/>
    <w:rsid w:val="00EA4BEB"/>
    <w:rsid w:val="00EA4C65"/>
    <w:rsid w:val="00EA4CBB"/>
    <w:rsid w:val="00EA4CDC"/>
    <w:rsid w:val="00EA4D44"/>
    <w:rsid w:val="00EA4E30"/>
    <w:rsid w:val="00EA4EE3"/>
    <w:rsid w:val="00EA50E0"/>
    <w:rsid w:val="00EA50EF"/>
    <w:rsid w:val="00EA5148"/>
    <w:rsid w:val="00EA51E5"/>
    <w:rsid w:val="00EA5314"/>
    <w:rsid w:val="00EA5431"/>
    <w:rsid w:val="00EA548E"/>
    <w:rsid w:val="00EA54A1"/>
    <w:rsid w:val="00EA55E4"/>
    <w:rsid w:val="00EA5781"/>
    <w:rsid w:val="00EA58C2"/>
    <w:rsid w:val="00EA591E"/>
    <w:rsid w:val="00EA592E"/>
    <w:rsid w:val="00EA597B"/>
    <w:rsid w:val="00EA597E"/>
    <w:rsid w:val="00EA5A29"/>
    <w:rsid w:val="00EA5A93"/>
    <w:rsid w:val="00EA5B10"/>
    <w:rsid w:val="00EA5B69"/>
    <w:rsid w:val="00EA5C03"/>
    <w:rsid w:val="00EA5C1F"/>
    <w:rsid w:val="00EA5C24"/>
    <w:rsid w:val="00EA5C97"/>
    <w:rsid w:val="00EA5CA1"/>
    <w:rsid w:val="00EA5DFA"/>
    <w:rsid w:val="00EA5E5C"/>
    <w:rsid w:val="00EA5EA2"/>
    <w:rsid w:val="00EA5EC4"/>
    <w:rsid w:val="00EA5FFB"/>
    <w:rsid w:val="00EA6016"/>
    <w:rsid w:val="00EA6087"/>
    <w:rsid w:val="00EA608E"/>
    <w:rsid w:val="00EA6241"/>
    <w:rsid w:val="00EA6243"/>
    <w:rsid w:val="00EA624D"/>
    <w:rsid w:val="00EA6282"/>
    <w:rsid w:val="00EA6395"/>
    <w:rsid w:val="00EA63E1"/>
    <w:rsid w:val="00EA6434"/>
    <w:rsid w:val="00EA64B8"/>
    <w:rsid w:val="00EA66B8"/>
    <w:rsid w:val="00EA66DB"/>
    <w:rsid w:val="00EA67BB"/>
    <w:rsid w:val="00EA67E6"/>
    <w:rsid w:val="00EA681A"/>
    <w:rsid w:val="00EA687F"/>
    <w:rsid w:val="00EA68B5"/>
    <w:rsid w:val="00EA68F3"/>
    <w:rsid w:val="00EA6961"/>
    <w:rsid w:val="00EA6A4B"/>
    <w:rsid w:val="00EA6A5C"/>
    <w:rsid w:val="00EA6A93"/>
    <w:rsid w:val="00EA6ADB"/>
    <w:rsid w:val="00EA6ADD"/>
    <w:rsid w:val="00EA6AE8"/>
    <w:rsid w:val="00EA6C0F"/>
    <w:rsid w:val="00EA6D00"/>
    <w:rsid w:val="00EA6D44"/>
    <w:rsid w:val="00EA6DC3"/>
    <w:rsid w:val="00EA6E2D"/>
    <w:rsid w:val="00EA6E2F"/>
    <w:rsid w:val="00EA6F0B"/>
    <w:rsid w:val="00EA6F22"/>
    <w:rsid w:val="00EA6FAD"/>
    <w:rsid w:val="00EA707A"/>
    <w:rsid w:val="00EA7139"/>
    <w:rsid w:val="00EA71BF"/>
    <w:rsid w:val="00EA7291"/>
    <w:rsid w:val="00EA72FF"/>
    <w:rsid w:val="00EA7529"/>
    <w:rsid w:val="00EA757F"/>
    <w:rsid w:val="00EA759C"/>
    <w:rsid w:val="00EA7789"/>
    <w:rsid w:val="00EA787C"/>
    <w:rsid w:val="00EA78CF"/>
    <w:rsid w:val="00EA7961"/>
    <w:rsid w:val="00EA79B6"/>
    <w:rsid w:val="00EA79E1"/>
    <w:rsid w:val="00EA7A4F"/>
    <w:rsid w:val="00EA7B01"/>
    <w:rsid w:val="00EA7B1E"/>
    <w:rsid w:val="00EA7B65"/>
    <w:rsid w:val="00EA7CC5"/>
    <w:rsid w:val="00EA7CFE"/>
    <w:rsid w:val="00EA7D76"/>
    <w:rsid w:val="00EA7DA0"/>
    <w:rsid w:val="00EA7DC1"/>
    <w:rsid w:val="00EA7E05"/>
    <w:rsid w:val="00EA7F5F"/>
    <w:rsid w:val="00EA7FB8"/>
    <w:rsid w:val="00EB007C"/>
    <w:rsid w:val="00EB0089"/>
    <w:rsid w:val="00EB0243"/>
    <w:rsid w:val="00EB0313"/>
    <w:rsid w:val="00EB03C1"/>
    <w:rsid w:val="00EB0430"/>
    <w:rsid w:val="00EB0510"/>
    <w:rsid w:val="00EB0554"/>
    <w:rsid w:val="00EB06A9"/>
    <w:rsid w:val="00EB0748"/>
    <w:rsid w:val="00EB07A2"/>
    <w:rsid w:val="00EB07F4"/>
    <w:rsid w:val="00EB0834"/>
    <w:rsid w:val="00EB0926"/>
    <w:rsid w:val="00EB0939"/>
    <w:rsid w:val="00EB09B9"/>
    <w:rsid w:val="00EB09F8"/>
    <w:rsid w:val="00EB0A7D"/>
    <w:rsid w:val="00EB0B1E"/>
    <w:rsid w:val="00EB0B41"/>
    <w:rsid w:val="00EB0B85"/>
    <w:rsid w:val="00EB0C71"/>
    <w:rsid w:val="00EB0D84"/>
    <w:rsid w:val="00EB0E30"/>
    <w:rsid w:val="00EB0E82"/>
    <w:rsid w:val="00EB0F04"/>
    <w:rsid w:val="00EB1014"/>
    <w:rsid w:val="00EB106F"/>
    <w:rsid w:val="00EB11A5"/>
    <w:rsid w:val="00EB1202"/>
    <w:rsid w:val="00EB1266"/>
    <w:rsid w:val="00EB134D"/>
    <w:rsid w:val="00EB13F1"/>
    <w:rsid w:val="00EB163B"/>
    <w:rsid w:val="00EB1685"/>
    <w:rsid w:val="00EB16AB"/>
    <w:rsid w:val="00EB17EC"/>
    <w:rsid w:val="00EB1804"/>
    <w:rsid w:val="00EB1821"/>
    <w:rsid w:val="00EB1833"/>
    <w:rsid w:val="00EB1891"/>
    <w:rsid w:val="00EB1896"/>
    <w:rsid w:val="00EB191A"/>
    <w:rsid w:val="00EB194D"/>
    <w:rsid w:val="00EB19EF"/>
    <w:rsid w:val="00EB1A7A"/>
    <w:rsid w:val="00EB1B02"/>
    <w:rsid w:val="00EB1C02"/>
    <w:rsid w:val="00EB1C16"/>
    <w:rsid w:val="00EB1C5A"/>
    <w:rsid w:val="00EB1C75"/>
    <w:rsid w:val="00EB1C8D"/>
    <w:rsid w:val="00EB1DB6"/>
    <w:rsid w:val="00EB1E82"/>
    <w:rsid w:val="00EB21C4"/>
    <w:rsid w:val="00EB21F1"/>
    <w:rsid w:val="00EB22CD"/>
    <w:rsid w:val="00EB242A"/>
    <w:rsid w:val="00EB2466"/>
    <w:rsid w:val="00EB263B"/>
    <w:rsid w:val="00EB27BA"/>
    <w:rsid w:val="00EB27D9"/>
    <w:rsid w:val="00EB27F9"/>
    <w:rsid w:val="00EB28B4"/>
    <w:rsid w:val="00EB29E2"/>
    <w:rsid w:val="00EB29EA"/>
    <w:rsid w:val="00EB2A06"/>
    <w:rsid w:val="00EB2A15"/>
    <w:rsid w:val="00EB2A68"/>
    <w:rsid w:val="00EB2A75"/>
    <w:rsid w:val="00EB2B89"/>
    <w:rsid w:val="00EB2B8F"/>
    <w:rsid w:val="00EB2C41"/>
    <w:rsid w:val="00EB2C6E"/>
    <w:rsid w:val="00EB2CE3"/>
    <w:rsid w:val="00EB2D4B"/>
    <w:rsid w:val="00EB2DB6"/>
    <w:rsid w:val="00EB2DC6"/>
    <w:rsid w:val="00EB2DF2"/>
    <w:rsid w:val="00EB2E43"/>
    <w:rsid w:val="00EB2F22"/>
    <w:rsid w:val="00EB2FC8"/>
    <w:rsid w:val="00EB30E0"/>
    <w:rsid w:val="00EB31EB"/>
    <w:rsid w:val="00EB31EE"/>
    <w:rsid w:val="00EB3223"/>
    <w:rsid w:val="00EB3298"/>
    <w:rsid w:val="00EB3299"/>
    <w:rsid w:val="00EB35DD"/>
    <w:rsid w:val="00EB35F0"/>
    <w:rsid w:val="00EB3721"/>
    <w:rsid w:val="00EB379B"/>
    <w:rsid w:val="00EB37B5"/>
    <w:rsid w:val="00EB380B"/>
    <w:rsid w:val="00EB3850"/>
    <w:rsid w:val="00EB3857"/>
    <w:rsid w:val="00EB3932"/>
    <w:rsid w:val="00EB3941"/>
    <w:rsid w:val="00EB3996"/>
    <w:rsid w:val="00EB3A67"/>
    <w:rsid w:val="00EB3A98"/>
    <w:rsid w:val="00EB3B5B"/>
    <w:rsid w:val="00EB3B71"/>
    <w:rsid w:val="00EB3BA8"/>
    <w:rsid w:val="00EB3C1E"/>
    <w:rsid w:val="00EB3C41"/>
    <w:rsid w:val="00EB3C8E"/>
    <w:rsid w:val="00EB3CD3"/>
    <w:rsid w:val="00EB3CEB"/>
    <w:rsid w:val="00EB3DC9"/>
    <w:rsid w:val="00EB3DFA"/>
    <w:rsid w:val="00EB3E10"/>
    <w:rsid w:val="00EB3E59"/>
    <w:rsid w:val="00EB3E8E"/>
    <w:rsid w:val="00EB3FB9"/>
    <w:rsid w:val="00EB3FC7"/>
    <w:rsid w:val="00EB401E"/>
    <w:rsid w:val="00EB4034"/>
    <w:rsid w:val="00EB403C"/>
    <w:rsid w:val="00EB4072"/>
    <w:rsid w:val="00EB412C"/>
    <w:rsid w:val="00EB4166"/>
    <w:rsid w:val="00EB4190"/>
    <w:rsid w:val="00EB4337"/>
    <w:rsid w:val="00EB453A"/>
    <w:rsid w:val="00EB454C"/>
    <w:rsid w:val="00EB45D7"/>
    <w:rsid w:val="00EB464A"/>
    <w:rsid w:val="00EB466E"/>
    <w:rsid w:val="00EB46A1"/>
    <w:rsid w:val="00EB46FB"/>
    <w:rsid w:val="00EB4702"/>
    <w:rsid w:val="00EB477C"/>
    <w:rsid w:val="00EB4783"/>
    <w:rsid w:val="00EB4792"/>
    <w:rsid w:val="00EB47BF"/>
    <w:rsid w:val="00EB4840"/>
    <w:rsid w:val="00EB488B"/>
    <w:rsid w:val="00EB4908"/>
    <w:rsid w:val="00EB49B8"/>
    <w:rsid w:val="00EB4B6C"/>
    <w:rsid w:val="00EB4C1C"/>
    <w:rsid w:val="00EB4C9E"/>
    <w:rsid w:val="00EB4D27"/>
    <w:rsid w:val="00EB4D70"/>
    <w:rsid w:val="00EB4DA0"/>
    <w:rsid w:val="00EB4EDA"/>
    <w:rsid w:val="00EB4F3E"/>
    <w:rsid w:val="00EB4F65"/>
    <w:rsid w:val="00EB51B1"/>
    <w:rsid w:val="00EB51E3"/>
    <w:rsid w:val="00EB523C"/>
    <w:rsid w:val="00EB52BE"/>
    <w:rsid w:val="00EB52C2"/>
    <w:rsid w:val="00EB5310"/>
    <w:rsid w:val="00EB5391"/>
    <w:rsid w:val="00EB540A"/>
    <w:rsid w:val="00EB5448"/>
    <w:rsid w:val="00EB54B6"/>
    <w:rsid w:val="00EB55E4"/>
    <w:rsid w:val="00EB565E"/>
    <w:rsid w:val="00EB566C"/>
    <w:rsid w:val="00EB5776"/>
    <w:rsid w:val="00EB5783"/>
    <w:rsid w:val="00EB5810"/>
    <w:rsid w:val="00EB58F3"/>
    <w:rsid w:val="00EB598D"/>
    <w:rsid w:val="00EB5993"/>
    <w:rsid w:val="00EB5B67"/>
    <w:rsid w:val="00EB5BCB"/>
    <w:rsid w:val="00EB5C1A"/>
    <w:rsid w:val="00EB5C2E"/>
    <w:rsid w:val="00EB5C87"/>
    <w:rsid w:val="00EB5CEF"/>
    <w:rsid w:val="00EB5D29"/>
    <w:rsid w:val="00EB5DC9"/>
    <w:rsid w:val="00EB5EF2"/>
    <w:rsid w:val="00EB5FCA"/>
    <w:rsid w:val="00EB6073"/>
    <w:rsid w:val="00EB60C3"/>
    <w:rsid w:val="00EB6113"/>
    <w:rsid w:val="00EB6148"/>
    <w:rsid w:val="00EB6157"/>
    <w:rsid w:val="00EB6249"/>
    <w:rsid w:val="00EB6272"/>
    <w:rsid w:val="00EB62F7"/>
    <w:rsid w:val="00EB63A2"/>
    <w:rsid w:val="00EB63C4"/>
    <w:rsid w:val="00EB640B"/>
    <w:rsid w:val="00EB6440"/>
    <w:rsid w:val="00EB64C0"/>
    <w:rsid w:val="00EB64F8"/>
    <w:rsid w:val="00EB656C"/>
    <w:rsid w:val="00EB6610"/>
    <w:rsid w:val="00EB663C"/>
    <w:rsid w:val="00EB66A4"/>
    <w:rsid w:val="00EB67C5"/>
    <w:rsid w:val="00EB67FF"/>
    <w:rsid w:val="00EB69BB"/>
    <w:rsid w:val="00EB6A05"/>
    <w:rsid w:val="00EB6A14"/>
    <w:rsid w:val="00EB6B6A"/>
    <w:rsid w:val="00EB6BDF"/>
    <w:rsid w:val="00EB6C50"/>
    <w:rsid w:val="00EB6CB4"/>
    <w:rsid w:val="00EB6CFD"/>
    <w:rsid w:val="00EB6D06"/>
    <w:rsid w:val="00EB6DBC"/>
    <w:rsid w:val="00EB6EEF"/>
    <w:rsid w:val="00EB6F28"/>
    <w:rsid w:val="00EB6F84"/>
    <w:rsid w:val="00EB6FB5"/>
    <w:rsid w:val="00EB6FCA"/>
    <w:rsid w:val="00EB6FD3"/>
    <w:rsid w:val="00EB713E"/>
    <w:rsid w:val="00EB7183"/>
    <w:rsid w:val="00EB71C3"/>
    <w:rsid w:val="00EB72DB"/>
    <w:rsid w:val="00EB72F1"/>
    <w:rsid w:val="00EB72F3"/>
    <w:rsid w:val="00EB73E4"/>
    <w:rsid w:val="00EB74C9"/>
    <w:rsid w:val="00EB74E8"/>
    <w:rsid w:val="00EB7521"/>
    <w:rsid w:val="00EB7582"/>
    <w:rsid w:val="00EB75A8"/>
    <w:rsid w:val="00EB75FF"/>
    <w:rsid w:val="00EB7653"/>
    <w:rsid w:val="00EB76D6"/>
    <w:rsid w:val="00EB7826"/>
    <w:rsid w:val="00EB7832"/>
    <w:rsid w:val="00EB78BF"/>
    <w:rsid w:val="00EB78FA"/>
    <w:rsid w:val="00EB794C"/>
    <w:rsid w:val="00EB799A"/>
    <w:rsid w:val="00EB79BE"/>
    <w:rsid w:val="00EB7A8E"/>
    <w:rsid w:val="00EB7ABB"/>
    <w:rsid w:val="00EB7AE1"/>
    <w:rsid w:val="00EB7B7A"/>
    <w:rsid w:val="00EB7C0E"/>
    <w:rsid w:val="00EB7C44"/>
    <w:rsid w:val="00EB7CB6"/>
    <w:rsid w:val="00EB7CDC"/>
    <w:rsid w:val="00EB7CF8"/>
    <w:rsid w:val="00EB7D73"/>
    <w:rsid w:val="00EB7E31"/>
    <w:rsid w:val="00EB7E5E"/>
    <w:rsid w:val="00EB7E64"/>
    <w:rsid w:val="00EB7EAD"/>
    <w:rsid w:val="00EC002E"/>
    <w:rsid w:val="00EC0086"/>
    <w:rsid w:val="00EC00FF"/>
    <w:rsid w:val="00EC01A2"/>
    <w:rsid w:val="00EC0277"/>
    <w:rsid w:val="00EC0292"/>
    <w:rsid w:val="00EC02EB"/>
    <w:rsid w:val="00EC02FE"/>
    <w:rsid w:val="00EC0387"/>
    <w:rsid w:val="00EC03B8"/>
    <w:rsid w:val="00EC03F2"/>
    <w:rsid w:val="00EC0465"/>
    <w:rsid w:val="00EC04DA"/>
    <w:rsid w:val="00EC054F"/>
    <w:rsid w:val="00EC05E0"/>
    <w:rsid w:val="00EC061B"/>
    <w:rsid w:val="00EC063E"/>
    <w:rsid w:val="00EC0689"/>
    <w:rsid w:val="00EC06C7"/>
    <w:rsid w:val="00EC0714"/>
    <w:rsid w:val="00EC0717"/>
    <w:rsid w:val="00EC07CD"/>
    <w:rsid w:val="00EC081E"/>
    <w:rsid w:val="00EC0A3C"/>
    <w:rsid w:val="00EC0A90"/>
    <w:rsid w:val="00EC0AC8"/>
    <w:rsid w:val="00EC0B3A"/>
    <w:rsid w:val="00EC0B6B"/>
    <w:rsid w:val="00EC0BC5"/>
    <w:rsid w:val="00EC0C66"/>
    <w:rsid w:val="00EC0C6C"/>
    <w:rsid w:val="00EC0D8C"/>
    <w:rsid w:val="00EC0DC9"/>
    <w:rsid w:val="00EC0DDD"/>
    <w:rsid w:val="00EC0E01"/>
    <w:rsid w:val="00EC0E27"/>
    <w:rsid w:val="00EC0EF0"/>
    <w:rsid w:val="00EC0F95"/>
    <w:rsid w:val="00EC100A"/>
    <w:rsid w:val="00EC1025"/>
    <w:rsid w:val="00EC1029"/>
    <w:rsid w:val="00EC1093"/>
    <w:rsid w:val="00EC11A8"/>
    <w:rsid w:val="00EC11DD"/>
    <w:rsid w:val="00EC127D"/>
    <w:rsid w:val="00EC1283"/>
    <w:rsid w:val="00EC12A7"/>
    <w:rsid w:val="00EC12EC"/>
    <w:rsid w:val="00EC1322"/>
    <w:rsid w:val="00EC13E4"/>
    <w:rsid w:val="00EC13F7"/>
    <w:rsid w:val="00EC1445"/>
    <w:rsid w:val="00EC1455"/>
    <w:rsid w:val="00EC147C"/>
    <w:rsid w:val="00EC14A6"/>
    <w:rsid w:val="00EC14C3"/>
    <w:rsid w:val="00EC1527"/>
    <w:rsid w:val="00EC153F"/>
    <w:rsid w:val="00EC15B1"/>
    <w:rsid w:val="00EC16BE"/>
    <w:rsid w:val="00EC1700"/>
    <w:rsid w:val="00EC1721"/>
    <w:rsid w:val="00EC17CA"/>
    <w:rsid w:val="00EC1877"/>
    <w:rsid w:val="00EC18D1"/>
    <w:rsid w:val="00EC1940"/>
    <w:rsid w:val="00EC196F"/>
    <w:rsid w:val="00EC19CC"/>
    <w:rsid w:val="00EC1AA7"/>
    <w:rsid w:val="00EC1B6A"/>
    <w:rsid w:val="00EC1C3F"/>
    <w:rsid w:val="00EC1C97"/>
    <w:rsid w:val="00EC1D28"/>
    <w:rsid w:val="00EC1D8D"/>
    <w:rsid w:val="00EC1DEF"/>
    <w:rsid w:val="00EC1ECD"/>
    <w:rsid w:val="00EC1F4C"/>
    <w:rsid w:val="00EC1F50"/>
    <w:rsid w:val="00EC2001"/>
    <w:rsid w:val="00EC2035"/>
    <w:rsid w:val="00EC2144"/>
    <w:rsid w:val="00EC215F"/>
    <w:rsid w:val="00EC2192"/>
    <w:rsid w:val="00EC233E"/>
    <w:rsid w:val="00EC23F3"/>
    <w:rsid w:val="00EC2489"/>
    <w:rsid w:val="00EC2849"/>
    <w:rsid w:val="00EC2899"/>
    <w:rsid w:val="00EC29C0"/>
    <w:rsid w:val="00EC29CF"/>
    <w:rsid w:val="00EC2A4B"/>
    <w:rsid w:val="00EC2A7E"/>
    <w:rsid w:val="00EC2AD4"/>
    <w:rsid w:val="00EC2AEA"/>
    <w:rsid w:val="00EC2AFC"/>
    <w:rsid w:val="00EC2B8D"/>
    <w:rsid w:val="00EC2BC1"/>
    <w:rsid w:val="00EC2C01"/>
    <w:rsid w:val="00EC2D05"/>
    <w:rsid w:val="00EC2DFD"/>
    <w:rsid w:val="00EC2E6A"/>
    <w:rsid w:val="00EC2F00"/>
    <w:rsid w:val="00EC2F74"/>
    <w:rsid w:val="00EC305C"/>
    <w:rsid w:val="00EC32B4"/>
    <w:rsid w:val="00EC3330"/>
    <w:rsid w:val="00EC3338"/>
    <w:rsid w:val="00EC335B"/>
    <w:rsid w:val="00EC344C"/>
    <w:rsid w:val="00EC344D"/>
    <w:rsid w:val="00EC3494"/>
    <w:rsid w:val="00EC3540"/>
    <w:rsid w:val="00EC3547"/>
    <w:rsid w:val="00EC3577"/>
    <w:rsid w:val="00EC3774"/>
    <w:rsid w:val="00EC37CB"/>
    <w:rsid w:val="00EC38B0"/>
    <w:rsid w:val="00EC38D2"/>
    <w:rsid w:val="00EC3925"/>
    <w:rsid w:val="00EC3968"/>
    <w:rsid w:val="00EC399D"/>
    <w:rsid w:val="00EC39E4"/>
    <w:rsid w:val="00EC3A4F"/>
    <w:rsid w:val="00EC3C4C"/>
    <w:rsid w:val="00EC3C61"/>
    <w:rsid w:val="00EC3CE6"/>
    <w:rsid w:val="00EC3DF2"/>
    <w:rsid w:val="00EC3E35"/>
    <w:rsid w:val="00EC4058"/>
    <w:rsid w:val="00EC410B"/>
    <w:rsid w:val="00EC4123"/>
    <w:rsid w:val="00EC414E"/>
    <w:rsid w:val="00EC4178"/>
    <w:rsid w:val="00EC41EF"/>
    <w:rsid w:val="00EC41FF"/>
    <w:rsid w:val="00EC4296"/>
    <w:rsid w:val="00EC43CD"/>
    <w:rsid w:val="00EC441C"/>
    <w:rsid w:val="00EC44CA"/>
    <w:rsid w:val="00EC4584"/>
    <w:rsid w:val="00EC4727"/>
    <w:rsid w:val="00EC472F"/>
    <w:rsid w:val="00EC4781"/>
    <w:rsid w:val="00EC4851"/>
    <w:rsid w:val="00EC48A4"/>
    <w:rsid w:val="00EC48AD"/>
    <w:rsid w:val="00EC4A4B"/>
    <w:rsid w:val="00EC4A72"/>
    <w:rsid w:val="00EC4C90"/>
    <w:rsid w:val="00EC4CAB"/>
    <w:rsid w:val="00EC4CBD"/>
    <w:rsid w:val="00EC4CCA"/>
    <w:rsid w:val="00EC4D22"/>
    <w:rsid w:val="00EC4D2C"/>
    <w:rsid w:val="00EC4D30"/>
    <w:rsid w:val="00EC4E4C"/>
    <w:rsid w:val="00EC4F5A"/>
    <w:rsid w:val="00EC4F95"/>
    <w:rsid w:val="00EC4FE2"/>
    <w:rsid w:val="00EC5178"/>
    <w:rsid w:val="00EC5196"/>
    <w:rsid w:val="00EC51BC"/>
    <w:rsid w:val="00EC529D"/>
    <w:rsid w:val="00EC52DC"/>
    <w:rsid w:val="00EC52E1"/>
    <w:rsid w:val="00EC53D5"/>
    <w:rsid w:val="00EC5400"/>
    <w:rsid w:val="00EC541E"/>
    <w:rsid w:val="00EC54C8"/>
    <w:rsid w:val="00EC54F4"/>
    <w:rsid w:val="00EC56E4"/>
    <w:rsid w:val="00EC56E9"/>
    <w:rsid w:val="00EC56F1"/>
    <w:rsid w:val="00EC57C9"/>
    <w:rsid w:val="00EC58C8"/>
    <w:rsid w:val="00EC594D"/>
    <w:rsid w:val="00EC5A38"/>
    <w:rsid w:val="00EC5A82"/>
    <w:rsid w:val="00EC5AC7"/>
    <w:rsid w:val="00EC5B28"/>
    <w:rsid w:val="00EC5B64"/>
    <w:rsid w:val="00EC5D70"/>
    <w:rsid w:val="00EC5EBC"/>
    <w:rsid w:val="00EC6032"/>
    <w:rsid w:val="00EC60F7"/>
    <w:rsid w:val="00EC611B"/>
    <w:rsid w:val="00EC6143"/>
    <w:rsid w:val="00EC6286"/>
    <w:rsid w:val="00EC628E"/>
    <w:rsid w:val="00EC6383"/>
    <w:rsid w:val="00EC639E"/>
    <w:rsid w:val="00EC63B6"/>
    <w:rsid w:val="00EC63FE"/>
    <w:rsid w:val="00EC6551"/>
    <w:rsid w:val="00EC6581"/>
    <w:rsid w:val="00EC6586"/>
    <w:rsid w:val="00EC65EA"/>
    <w:rsid w:val="00EC65FF"/>
    <w:rsid w:val="00EC6660"/>
    <w:rsid w:val="00EC6771"/>
    <w:rsid w:val="00EC67AD"/>
    <w:rsid w:val="00EC67E5"/>
    <w:rsid w:val="00EC6852"/>
    <w:rsid w:val="00EC6869"/>
    <w:rsid w:val="00EC6873"/>
    <w:rsid w:val="00EC6922"/>
    <w:rsid w:val="00EC69AD"/>
    <w:rsid w:val="00EC6A92"/>
    <w:rsid w:val="00EC6AB6"/>
    <w:rsid w:val="00EC6AFF"/>
    <w:rsid w:val="00EC6CA3"/>
    <w:rsid w:val="00EC6D8B"/>
    <w:rsid w:val="00EC6E95"/>
    <w:rsid w:val="00EC6F7B"/>
    <w:rsid w:val="00EC6FED"/>
    <w:rsid w:val="00EC71F9"/>
    <w:rsid w:val="00EC7249"/>
    <w:rsid w:val="00EC730E"/>
    <w:rsid w:val="00EC7405"/>
    <w:rsid w:val="00EC750B"/>
    <w:rsid w:val="00EC75BC"/>
    <w:rsid w:val="00EC75C5"/>
    <w:rsid w:val="00EC7681"/>
    <w:rsid w:val="00EC76FA"/>
    <w:rsid w:val="00EC7717"/>
    <w:rsid w:val="00EC7718"/>
    <w:rsid w:val="00EC7738"/>
    <w:rsid w:val="00EC77C5"/>
    <w:rsid w:val="00EC77E2"/>
    <w:rsid w:val="00EC785D"/>
    <w:rsid w:val="00EC7913"/>
    <w:rsid w:val="00EC791D"/>
    <w:rsid w:val="00EC792A"/>
    <w:rsid w:val="00EC79E3"/>
    <w:rsid w:val="00EC7A07"/>
    <w:rsid w:val="00EC7B3E"/>
    <w:rsid w:val="00EC7CB6"/>
    <w:rsid w:val="00EC7DF2"/>
    <w:rsid w:val="00EC7E80"/>
    <w:rsid w:val="00EC7F08"/>
    <w:rsid w:val="00EC7F70"/>
    <w:rsid w:val="00ED0037"/>
    <w:rsid w:val="00ED0172"/>
    <w:rsid w:val="00ED0237"/>
    <w:rsid w:val="00ED024A"/>
    <w:rsid w:val="00ED0263"/>
    <w:rsid w:val="00ED0296"/>
    <w:rsid w:val="00ED02CE"/>
    <w:rsid w:val="00ED02F9"/>
    <w:rsid w:val="00ED0336"/>
    <w:rsid w:val="00ED0338"/>
    <w:rsid w:val="00ED0350"/>
    <w:rsid w:val="00ED038C"/>
    <w:rsid w:val="00ED03C6"/>
    <w:rsid w:val="00ED0410"/>
    <w:rsid w:val="00ED04BF"/>
    <w:rsid w:val="00ED055A"/>
    <w:rsid w:val="00ED0691"/>
    <w:rsid w:val="00ED0695"/>
    <w:rsid w:val="00ED06A9"/>
    <w:rsid w:val="00ED0837"/>
    <w:rsid w:val="00ED08C7"/>
    <w:rsid w:val="00ED08ED"/>
    <w:rsid w:val="00ED0963"/>
    <w:rsid w:val="00ED0979"/>
    <w:rsid w:val="00ED0B18"/>
    <w:rsid w:val="00ED0B6D"/>
    <w:rsid w:val="00ED0CD8"/>
    <w:rsid w:val="00ED0E47"/>
    <w:rsid w:val="00ED0E62"/>
    <w:rsid w:val="00ED0F44"/>
    <w:rsid w:val="00ED1093"/>
    <w:rsid w:val="00ED10A5"/>
    <w:rsid w:val="00ED1201"/>
    <w:rsid w:val="00ED1202"/>
    <w:rsid w:val="00ED121B"/>
    <w:rsid w:val="00ED1243"/>
    <w:rsid w:val="00ED125E"/>
    <w:rsid w:val="00ED129B"/>
    <w:rsid w:val="00ED12DC"/>
    <w:rsid w:val="00ED12E4"/>
    <w:rsid w:val="00ED133D"/>
    <w:rsid w:val="00ED145F"/>
    <w:rsid w:val="00ED1544"/>
    <w:rsid w:val="00ED15C6"/>
    <w:rsid w:val="00ED15E7"/>
    <w:rsid w:val="00ED15ED"/>
    <w:rsid w:val="00ED1670"/>
    <w:rsid w:val="00ED16B8"/>
    <w:rsid w:val="00ED1763"/>
    <w:rsid w:val="00ED1841"/>
    <w:rsid w:val="00ED1854"/>
    <w:rsid w:val="00ED189E"/>
    <w:rsid w:val="00ED18EA"/>
    <w:rsid w:val="00ED18EB"/>
    <w:rsid w:val="00ED19ED"/>
    <w:rsid w:val="00ED1ADD"/>
    <w:rsid w:val="00ED1BB9"/>
    <w:rsid w:val="00ED1BBD"/>
    <w:rsid w:val="00ED1BD2"/>
    <w:rsid w:val="00ED1BF6"/>
    <w:rsid w:val="00ED1C13"/>
    <w:rsid w:val="00ED1C87"/>
    <w:rsid w:val="00ED1CC0"/>
    <w:rsid w:val="00ED1CEA"/>
    <w:rsid w:val="00ED1D0D"/>
    <w:rsid w:val="00ED1D49"/>
    <w:rsid w:val="00ED1D9A"/>
    <w:rsid w:val="00ED1DE5"/>
    <w:rsid w:val="00ED1F6F"/>
    <w:rsid w:val="00ED210D"/>
    <w:rsid w:val="00ED21B3"/>
    <w:rsid w:val="00ED223C"/>
    <w:rsid w:val="00ED22B4"/>
    <w:rsid w:val="00ED2367"/>
    <w:rsid w:val="00ED2490"/>
    <w:rsid w:val="00ED2494"/>
    <w:rsid w:val="00ED249D"/>
    <w:rsid w:val="00ED24B6"/>
    <w:rsid w:val="00ED24E7"/>
    <w:rsid w:val="00ED26DE"/>
    <w:rsid w:val="00ED2733"/>
    <w:rsid w:val="00ED276F"/>
    <w:rsid w:val="00ED27CF"/>
    <w:rsid w:val="00ED28A4"/>
    <w:rsid w:val="00ED294A"/>
    <w:rsid w:val="00ED29AA"/>
    <w:rsid w:val="00ED29E8"/>
    <w:rsid w:val="00ED2A3C"/>
    <w:rsid w:val="00ED2AAA"/>
    <w:rsid w:val="00ED2B0C"/>
    <w:rsid w:val="00ED2BDD"/>
    <w:rsid w:val="00ED2C36"/>
    <w:rsid w:val="00ED2E1B"/>
    <w:rsid w:val="00ED2E46"/>
    <w:rsid w:val="00ED2EEE"/>
    <w:rsid w:val="00ED2F64"/>
    <w:rsid w:val="00ED2FD0"/>
    <w:rsid w:val="00ED3062"/>
    <w:rsid w:val="00ED3099"/>
    <w:rsid w:val="00ED314D"/>
    <w:rsid w:val="00ED31F5"/>
    <w:rsid w:val="00ED3315"/>
    <w:rsid w:val="00ED334D"/>
    <w:rsid w:val="00ED3357"/>
    <w:rsid w:val="00ED350D"/>
    <w:rsid w:val="00ED353F"/>
    <w:rsid w:val="00ED35FD"/>
    <w:rsid w:val="00ED3657"/>
    <w:rsid w:val="00ED36A6"/>
    <w:rsid w:val="00ED36CD"/>
    <w:rsid w:val="00ED3721"/>
    <w:rsid w:val="00ED378D"/>
    <w:rsid w:val="00ED3818"/>
    <w:rsid w:val="00ED38C8"/>
    <w:rsid w:val="00ED39C3"/>
    <w:rsid w:val="00ED3A23"/>
    <w:rsid w:val="00ED3AFE"/>
    <w:rsid w:val="00ED3BD5"/>
    <w:rsid w:val="00ED3C62"/>
    <w:rsid w:val="00ED3CBD"/>
    <w:rsid w:val="00ED3E83"/>
    <w:rsid w:val="00ED3F98"/>
    <w:rsid w:val="00ED3FAB"/>
    <w:rsid w:val="00ED40E2"/>
    <w:rsid w:val="00ED4210"/>
    <w:rsid w:val="00ED427C"/>
    <w:rsid w:val="00ED42B0"/>
    <w:rsid w:val="00ED42EF"/>
    <w:rsid w:val="00ED4365"/>
    <w:rsid w:val="00ED43F8"/>
    <w:rsid w:val="00ED441C"/>
    <w:rsid w:val="00ED442C"/>
    <w:rsid w:val="00ED4555"/>
    <w:rsid w:val="00ED472F"/>
    <w:rsid w:val="00ED47A3"/>
    <w:rsid w:val="00ED4954"/>
    <w:rsid w:val="00ED49A6"/>
    <w:rsid w:val="00ED4AB6"/>
    <w:rsid w:val="00ED4BB9"/>
    <w:rsid w:val="00ED4BBF"/>
    <w:rsid w:val="00ED4BEE"/>
    <w:rsid w:val="00ED4C06"/>
    <w:rsid w:val="00ED4C0A"/>
    <w:rsid w:val="00ED4C79"/>
    <w:rsid w:val="00ED4C9F"/>
    <w:rsid w:val="00ED4D36"/>
    <w:rsid w:val="00ED4D60"/>
    <w:rsid w:val="00ED4F25"/>
    <w:rsid w:val="00ED4FED"/>
    <w:rsid w:val="00ED50BE"/>
    <w:rsid w:val="00ED50D1"/>
    <w:rsid w:val="00ED5146"/>
    <w:rsid w:val="00ED51D3"/>
    <w:rsid w:val="00ED5273"/>
    <w:rsid w:val="00ED527B"/>
    <w:rsid w:val="00ED52E6"/>
    <w:rsid w:val="00ED54B2"/>
    <w:rsid w:val="00ED54E1"/>
    <w:rsid w:val="00ED54EA"/>
    <w:rsid w:val="00ED563E"/>
    <w:rsid w:val="00ED56F6"/>
    <w:rsid w:val="00ED575B"/>
    <w:rsid w:val="00ED579B"/>
    <w:rsid w:val="00ED57A0"/>
    <w:rsid w:val="00ED57A2"/>
    <w:rsid w:val="00ED5893"/>
    <w:rsid w:val="00ED5941"/>
    <w:rsid w:val="00ED5943"/>
    <w:rsid w:val="00ED5A71"/>
    <w:rsid w:val="00ED5A94"/>
    <w:rsid w:val="00ED5B1D"/>
    <w:rsid w:val="00ED5B53"/>
    <w:rsid w:val="00ED5B9A"/>
    <w:rsid w:val="00ED5BEC"/>
    <w:rsid w:val="00ED5C0E"/>
    <w:rsid w:val="00ED5C73"/>
    <w:rsid w:val="00ED5C93"/>
    <w:rsid w:val="00ED5D7F"/>
    <w:rsid w:val="00ED5DB4"/>
    <w:rsid w:val="00ED5DCE"/>
    <w:rsid w:val="00ED5E72"/>
    <w:rsid w:val="00ED5F19"/>
    <w:rsid w:val="00ED5F8B"/>
    <w:rsid w:val="00ED61D2"/>
    <w:rsid w:val="00ED6268"/>
    <w:rsid w:val="00ED6283"/>
    <w:rsid w:val="00ED635D"/>
    <w:rsid w:val="00ED643D"/>
    <w:rsid w:val="00ED64BA"/>
    <w:rsid w:val="00ED6764"/>
    <w:rsid w:val="00ED67B9"/>
    <w:rsid w:val="00ED67C9"/>
    <w:rsid w:val="00ED6891"/>
    <w:rsid w:val="00ED68A0"/>
    <w:rsid w:val="00ED68A4"/>
    <w:rsid w:val="00ED691A"/>
    <w:rsid w:val="00ED6932"/>
    <w:rsid w:val="00ED69A6"/>
    <w:rsid w:val="00ED69F5"/>
    <w:rsid w:val="00ED6A73"/>
    <w:rsid w:val="00ED6B8F"/>
    <w:rsid w:val="00ED6CCA"/>
    <w:rsid w:val="00ED6D5C"/>
    <w:rsid w:val="00ED6D74"/>
    <w:rsid w:val="00ED6DD3"/>
    <w:rsid w:val="00ED6E6B"/>
    <w:rsid w:val="00ED6F83"/>
    <w:rsid w:val="00ED70B8"/>
    <w:rsid w:val="00ED7118"/>
    <w:rsid w:val="00ED721A"/>
    <w:rsid w:val="00ED72D0"/>
    <w:rsid w:val="00ED733B"/>
    <w:rsid w:val="00ED74CD"/>
    <w:rsid w:val="00ED74F6"/>
    <w:rsid w:val="00ED75FA"/>
    <w:rsid w:val="00ED762E"/>
    <w:rsid w:val="00ED76BC"/>
    <w:rsid w:val="00ED76FB"/>
    <w:rsid w:val="00ED7711"/>
    <w:rsid w:val="00ED7787"/>
    <w:rsid w:val="00ED786B"/>
    <w:rsid w:val="00ED7977"/>
    <w:rsid w:val="00ED797B"/>
    <w:rsid w:val="00ED7A8F"/>
    <w:rsid w:val="00ED7B6D"/>
    <w:rsid w:val="00ED7B8A"/>
    <w:rsid w:val="00ED7BBC"/>
    <w:rsid w:val="00ED7BDD"/>
    <w:rsid w:val="00ED7C48"/>
    <w:rsid w:val="00ED7C4B"/>
    <w:rsid w:val="00ED7D24"/>
    <w:rsid w:val="00ED7D62"/>
    <w:rsid w:val="00ED7E05"/>
    <w:rsid w:val="00ED7EF0"/>
    <w:rsid w:val="00ED7EFD"/>
    <w:rsid w:val="00ED7F34"/>
    <w:rsid w:val="00EE0007"/>
    <w:rsid w:val="00EE000D"/>
    <w:rsid w:val="00EE002F"/>
    <w:rsid w:val="00EE006D"/>
    <w:rsid w:val="00EE00C4"/>
    <w:rsid w:val="00EE00C8"/>
    <w:rsid w:val="00EE00E1"/>
    <w:rsid w:val="00EE015E"/>
    <w:rsid w:val="00EE01C2"/>
    <w:rsid w:val="00EE01CB"/>
    <w:rsid w:val="00EE0203"/>
    <w:rsid w:val="00EE023C"/>
    <w:rsid w:val="00EE0240"/>
    <w:rsid w:val="00EE02D4"/>
    <w:rsid w:val="00EE02E9"/>
    <w:rsid w:val="00EE0412"/>
    <w:rsid w:val="00EE041B"/>
    <w:rsid w:val="00EE0522"/>
    <w:rsid w:val="00EE06B6"/>
    <w:rsid w:val="00EE08DD"/>
    <w:rsid w:val="00EE0B0B"/>
    <w:rsid w:val="00EE0B1B"/>
    <w:rsid w:val="00EE0B51"/>
    <w:rsid w:val="00EE0B65"/>
    <w:rsid w:val="00EE0C04"/>
    <w:rsid w:val="00EE0D69"/>
    <w:rsid w:val="00EE0DBE"/>
    <w:rsid w:val="00EE0EAC"/>
    <w:rsid w:val="00EE0EB2"/>
    <w:rsid w:val="00EE0FAD"/>
    <w:rsid w:val="00EE101C"/>
    <w:rsid w:val="00EE1165"/>
    <w:rsid w:val="00EE11B1"/>
    <w:rsid w:val="00EE1231"/>
    <w:rsid w:val="00EE125C"/>
    <w:rsid w:val="00EE12CA"/>
    <w:rsid w:val="00EE135B"/>
    <w:rsid w:val="00EE142D"/>
    <w:rsid w:val="00EE145E"/>
    <w:rsid w:val="00EE149C"/>
    <w:rsid w:val="00EE14BE"/>
    <w:rsid w:val="00EE14E4"/>
    <w:rsid w:val="00EE14F3"/>
    <w:rsid w:val="00EE16A9"/>
    <w:rsid w:val="00EE1706"/>
    <w:rsid w:val="00EE1851"/>
    <w:rsid w:val="00EE18E8"/>
    <w:rsid w:val="00EE193C"/>
    <w:rsid w:val="00EE194E"/>
    <w:rsid w:val="00EE1978"/>
    <w:rsid w:val="00EE19E4"/>
    <w:rsid w:val="00EE1A0B"/>
    <w:rsid w:val="00EE1A3D"/>
    <w:rsid w:val="00EE1B24"/>
    <w:rsid w:val="00EE1B32"/>
    <w:rsid w:val="00EE1B50"/>
    <w:rsid w:val="00EE1B55"/>
    <w:rsid w:val="00EE1B63"/>
    <w:rsid w:val="00EE1B92"/>
    <w:rsid w:val="00EE1BA1"/>
    <w:rsid w:val="00EE1CB1"/>
    <w:rsid w:val="00EE1CD9"/>
    <w:rsid w:val="00EE1D2F"/>
    <w:rsid w:val="00EE1E2E"/>
    <w:rsid w:val="00EE1E92"/>
    <w:rsid w:val="00EE1EDD"/>
    <w:rsid w:val="00EE1F49"/>
    <w:rsid w:val="00EE1FD2"/>
    <w:rsid w:val="00EE2199"/>
    <w:rsid w:val="00EE21D9"/>
    <w:rsid w:val="00EE2215"/>
    <w:rsid w:val="00EE2251"/>
    <w:rsid w:val="00EE22FA"/>
    <w:rsid w:val="00EE2375"/>
    <w:rsid w:val="00EE240E"/>
    <w:rsid w:val="00EE2429"/>
    <w:rsid w:val="00EE2465"/>
    <w:rsid w:val="00EE24E0"/>
    <w:rsid w:val="00EE250D"/>
    <w:rsid w:val="00EE259A"/>
    <w:rsid w:val="00EE262B"/>
    <w:rsid w:val="00EE262C"/>
    <w:rsid w:val="00EE2646"/>
    <w:rsid w:val="00EE2806"/>
    <w:rsid w:val="00EE28DF"/>
    <w:rsid w:val="00EE28E7"/>
    <w:rsid w:val="00EE2950"/>
    <w:rsid w:val="00EE29C9"/>
    <w:rsid w:val="00EE29E5"/>
    <w:rsid w:val="00EE2A02"/>
    <w:rsid w:val="00EE2AF1"/>
    <w:rsid w:val="00EE2D91"/>
    <w:rsid w:val="00EE2DAE"/>
    <w:rsid w:val="00EE2DD4"/>
    <w:rsid w:val="00EE2E6E"/>
    <w:rsid w:val="00EE303F"/>
    <w:rsid w:val="00EE3084"/>
    <w:rsid w:val="00EE30F7"/>
    <w:rsid w:val="00EE3118"/>
    <w:rsid w:val="00EE3185"/>
    <w:rsid w:val="00EE3195"/>
    <w:rsid w:val="00EE3201"/>
    <w:rsid w:val="00EE32FE"/>
    <w:rsid w:val="00EE3329"/>
    <w:rsid w:val="00EE333E"/>
    <w:rsid w:val="00EE3347"/>
    <w:rsid w:val="00EE336B"/>
    <w:rsid w:val="00EE3419"/>
    <w:rsid w:val="00EE342B"/>
    <w:rsid w:val="00EE3491"/>
    <w:rsid w:val="00EE363B"/>
    <w:rsid w:val="00EE375E"/>
    <w:rsid w:val="00EE3768"/>
    <w:rsid w:val="00EE382F"/>
    <w:rsid w:val="00EE3872"/>
    <w:rsid w:val="00EE38DD"/>
    <w:rsid w:val="00EE39F6"/>
    <w:rsid w:val="00EE3A0B"/>
    <w:rsid w:val="00EE3A16"/>
    <w:rsid w:val="00EE3A36"/>
    <w:rsid w:val="00EE3A52"/>
    <w:rsid w:val="00EE3A75"/>
    <w:rsid w:val="00EE3B7A"/>
    <w:rsid w:val="00EE3BAC"/>
    <w:rsid w:val="00EE3C2F"/>
    <w:rsid w:val="00EE3C6A"/>
    <w:rsid w:val="00EE3CF1"/>
    <w:rsid w:val="00EE3D74"/>
    <w:rsid w:val="00EE3D88"/>
    <w:rsid w:val="00EE3DE9"/>
    <w:rsid w:val="00EE3E0B"/>
    <w:rsid w:val="00EE3E35"/>
    <w:rsid w:val="00EE3F65"/>
    <w:rsid w:val="00EE3F68"/>
    <w:rsid w:val="00EE3F92"/>
    <w:rsid w:val="00EE4070"/>
    <w:rsid w:val="00EE4073"/>
    <w:rsid w:val="00EE40DB"/>
    <w:rsid w:val="00EE4162"/>
    <w:rsid w:val="00EE425A"/>
    <w:rsid w:val="00EE4423"/>
    <w:rsid w:val="00EE4467"/>
    <w:rsid w:val="00EE45B7"/>
    <w:rsid w:val="00EE45FF"/>
    <w:rsid w:val="00EE4658"/>
    <w:rsid w:val="00EE47BA"/>
    <w:rsid w:val="00EE483C"/>
    <w:rsid w:val="00EE4A07"/>
    <w:rsid w:val="00EE4B1E"/>
    <w:rsid w:val="00EE4B36"/>
    <w:rsid w:val="00EE4C11"/>
    <w:rsid w:val="00EE4CB8"/>
    <w:rsid w:val="00EE4D4C"/>
    <w:rsid w:val="00EE4D78"/>
    <w:rsid w:val="00EE4DE9"/>
    <w:rsid w:val="00EE4E56"/>
    <w:rsid w:val="00EE4E9A"/>
    <w:rsid w:val="00EE4ED3"/>
    <w:rsid w:val="00EE4F87"/>
    <w:rsid w:val="00EE4FED"/>
    <w:rsid w:val="00EE5159"/>
    <w:rsid w:val="00EE5246"/>
    <w:rsid w:val="00EE52A7"/>
    <w:rsid w:val="00EE52F0"/>
    <w:rsid w:val="00EE53A3"/>
    <w:rsid w:val="00EE53D8"/>
    <w:rsid w:val="00EE540A"/>
    <w:rsid w:val="00EE54FD"/>
    <w:rsid w:val="00EE5537"/>
    <w:rsid w:val="00EE558B"/>
    <w:rsid w:val="00EE563B"/>
    <w:rsid w:val="00EE56EE"/>
    <w:rsid w:val="00EE576B"/>
    <w:rsid w:val="00EE57A4"/>
    <w:rsid w:val="00EE5885"/>
    <w:rsid w:val="00EE5B1C"/>
    <w:rsid w:val="00EE5D48"/>
    <w:rsid w:val="00EE5DC2"/>
    <w:rsid w:val="00EE5DDF"/>
    <w:rsid w:val="00EE5E37"/>
    <w:rsid w:val="00EE5E76"/>
    <w:rsid w:val="00EE5E7A"/>
    <w:rsid w:val="00EE5EA8"/>
    <w:rsid w:val="00EE5F15"/>
    <w:rsid w:val="00EE5F9B"/>
    <w:rsid w:val="00EE603D"/>
    <w:rsid w:val="00EE6074"/>
    <w:rsid w:val="00EE60A1"/>
    <w:rsid w:val="00EE6124"/>
    <w:rsid w:val="00EE618C"/>
    <w:rsid w:val="00EE6360"/>
    <w:rsid w:val="00EE63C3"/>
    <w:rsid w:val="00EE6471"/>
    <w:rsid w:val="00EE65AB"/>
    <w:rsid w:val="00EE65CB"/>
    <w:rsid w:val="00EE65E5"/>
    <w:rsid w:val="00EE65F6"/>
    <w:rsid w:val="00EE662A"/>
    <w:rsid w:val="00EE666A"/>
    <w:rsid w:val="00EE6687"/>
    <w:rsid w:val="00EE66B6"/>
    <w:rsid w:val="00EE67AA"/>
    <w:rsid w:val="00EE67CF"/>
    <w:rsid w:val="00EE67E7"/>
    <w:rsid w:val="00EE689A"/>
    <w:rsid w:val="00EE68B0"/>
    <w:rsid w:val="00EE690D"/>
    <w:rsid w:val="00EE6978"/>
    <w:rsid w:val="00EE69D3"/>
    <w:rsid w:val="00EE6A21"/>
    <w:rsid w:val="00EE6A8A"/>
    <w:rsid w:val="00EE6B08"/>
    <w:rsid w:val="00EE6B47"/>
    <w:rsid w:val="00EE6C1C"/>
    <w:rsid w:val="00EE6CAB"/>
    <w:rsid w:val="00EE6CF5"/>
    <w:rsid w:val="00EE6CFB"/>
    <w:rsid w:val="00EE6CFD"/>
    <w:rsid w:val="00EE6D27"/>
    <w:rsid w:val="00EE6D54"/>
    <w:rsid w:val="00EE6E00"/>
    <w:rsid w:val="00EE6F16"/>
    <w:rsid w:val="00EE6FDF"/>
    <w:rsid w:val="00EE711A"/>
    <w:rsid w:val="00EE7199"/>
    <w:rsid w:val="00EE7220"/>
    <w:rsid w:val="00EE7237"/>
    <w:rsid w:val="00EE7337"/>
    <w:rsid w:val="00EE74F5"/>
    <w:rsid w:val="00EE7514"/>
    <w:rsid w:val="00EE75B3"/>
    <w:rsid w:val="00EE7697"/>
    <w:rsid w:val="00EE76CA"/>
    <w:rsid w:val="00EE7756"/>
    <w:rsid w:val="00EE77C9"/>
    <w:rsid w:val="00EE77F8"/>
    <w:rsid w:val="00EE784F"/>
    <w:rsid w:val="00EE78B6"/>
    <w:rsid w:val="00EE78EB"/>
    <w:rsid w:val="00EE7B80"/>
    <w:rsid w:val="00EE7BCB"/>
    <w:rsid w:val="00EE7CCA"/>
    <w:rsid w:val="00EE7D83"/>
    <w:rsid w:val="00EE7E62"/>
    <w:rsid w:val="00EE7E63"/>
    <w:rsid w:val="00EE7F27"/>
    <w:rsid w:val="00EE7FE2"/>
    <w:rsid w:val="00EF0055"/>
    <w:rsid w:val="00EF006A"/>
    <w:rsid w:val="00EF007A"/>
    <w:rsid w:val="00EF0100"/>
    <w:rsid w:val="00EF02E1"/>
    <w:rsid w:val="00EF0340"/>
    <w:rsid w:val="00EF0353"/>
    <w:rsid w:val="00EF0623"/>
    <w:rsid w:val="00EF071B"/>
    <w:rsid w:val="00EF0759"/>
    <w:rsid w:val="00EF081E"/>
    <w:rsid w:val="00EF08E2"/>
    <w:rsid w:val="00EF091F"/>
    <w:rsid w:val="00EF0934"/>
    <w:rsid w:val="00EF0969"/>
    <w:rsid w:val="00EF09A4"/>
    <w:rsid w:val="00EF09A9"/>
    <w:rsid w:val="00EF09AB"/>
    <w:rsid w:val="00EF0B4D"/>
    <w:rsid w:val="00EF0B88"/>
    <w:rsid w:val="00EF0B8D"/>
    <w:rsid w:val="00EF0D3B"/>
    <w:rsid w:val="00EF0D9F"/>
    <w:rsid w:val="00EF1008"/>
    <w:rsid w:val="00EF100B"/>
    <w:rsid w:val="00EF11D9"/>
    <w:rsid w:val="00EF127B"/>
    <w:rsid w:val="00EF128F"/>
    <w:rsid w:val="00EF161A"/>
    <w:rsid w:val="00EF162C"/>
    <w:rsid w:val="00EF178C"/>
    <w:rsid w:val="00EF184B"/>
    <w:rsid w:val="00EF185D"/>
    <w:rsid w:val="00EF1868"/>
    <w:rsid w:val="00EF18EF"/>
    <w:rsid w:val="00EF1947"/>
    <w:rsid w:val="00EF19E0"/>
    <w:rsid w:val="00EF1A87"/>
    <w:rsid w:val="00EF1AB0"/>
    <w:rsid w:val="00EF1C7D"/>
    <w:rsid w:val="00EF1D71"/>
    <w:rsid w:val="00EF1E4A"/>
    <w:rsid w:val="00EF1E76"/>
    <w:rsid w:val="00EF1F46"/>
    <w:rsid w:val="00EF1F57"/>
    <w:rsid w:val="00EF1F5D"/>
    <w:rsid w:val="00EF1F9F"/>
    <w:rsid w:val="00EF20A0"/>
    <w:rsid w:val="00EF20AA"/>
    <w:rsid w:val="00EF2253"/>
    <w:rsid w:val="00EF2372"/>
    <w:rsid w:val="00EF23A3"/>
    <w:rsid w:val="00EF23CE"/>
    <w:rsid w:val="00EF24B8"/>
    <w:rsid w:val="00EF24BA"/>
    <w:rsid w:val="00EF259F"/>
    <w:rsid w:val="00EF26EC"/>
    <w:rsid w:val="00EF26F2"/>
    <w:rsid w:val="00EF2796"/>
    <w:rsid w:val="00EF27D9"/>
    <w:rsid w:val="00EF28E2"/>
    <w:rsid w:val="00EF29D6"/>
    <w:rsid w:val="00EF2A86"/>
    <w:rsid w:val="00EF2A95"/>
    <w:rsid w:val="00EF2AD7"/>
    <w:rsid w:val="00EF2AF4"/>
    <w:rsid w:val="00EF2B98"/>
    <w:rsid w:val="00EF2C5E"/>
    <w:rsid w:val="00EF2C6A"/>
    <w:rsid w:val="00EF2C97"/>
    <w:rsid w:val="00EF2CCC"/>
    <w:rsid w:val="00EF2CF4"/>
    <w:rsid w:val="00EF2DB7"/>
    <w:rsid w:val="00EF2E7C"/>
    <w:rsid w:val="00EF2E90"/>
    <w:rsid w:val="00EF2EC6"/>
    <w:rsid w:val="00EF302F"/>
    <w:rsid w:val="00EF30C6"/>
    <w:rsid w:val="00EF30C9"/>
    <w:rsid w:val="00EF3146"/>
    <w:rsid w:val="00EF31C7"/>
    <w:rsid w:val="00EF332F"/>
    <w:rsid w:val="00EF335B"/>
    <w:rsid w:val="00EF34C4"/>
    <w:rsid w:val="00EF352F"/>
    <w:rsid w:val="00EF3582"/>
    <w:rsid w:val="00EF361D"/>
    <w:rsid w:val="00EF365A"/>
    <w:rsid w:val="00EF36C4"/>
    <w:rsid w:val="00EF383C"/>
    <w:rsid w:val="00EF3927"/>
    <w:rsid w:val="00EF394F"/>
    <w:rsid w:val="00EF3AA9"/>
    <w:rsid w:val="00EF3AB8"/>
    <w:rsid w:val="00EF3BB3"/>
    <w:rsid w:val="00EF3C97"/>
    <w:rsid w:val="00EF3E00"/>
    <w:rsid w:val="00EF3E08"/>
    <w:rsid w:val="00EF3E3A"/>
    <w:rsid w:val="00EF3E5C"/>
    <w:rsid w:val="00EF3FC1"/>
    <w:rsid w:val="00EF3FC9"/>
    <w:rsid w:val="00EF3FF2"/>
    <w:rsid w:val="00EF4035"/>
    <w:rsid w:val="00EF4067"/>
    <w:rsid w:val="00EF4178"/>
    <w:rsid w:val="00EF426E"/>
    <w:rsid w:val="00EF4282"/>
    <w:rsid w:val="00EF431D"/>
    <w:rsid w:val="00EF434F"/>
    <w:rsid w:val="00EF435D"/>
    <w:rsid w:val="00EF436F"/>
    <w:rsid w:val="00EF4466"/>
    <w:rsid w:val="00EF44FF"/>
    <w:rsid w:val="00EF4735"/>
    <w:rsid w:val="00EF47BD"/>
    <w:rsid w:val="00EF47D5"/>
    <w:rsid w:val="00EF49C6"/>
    <w:rsid w:val="00EF4A05"/>
    <w:rsid w:val="00EF4A2E"/>
    <w:rsid w:val="00EF4A81"/>
    <w:rsid w:val="00EF4AA6"/>
    <w:rsid w:val="00EF4C36"/>
    <w:rsid w:val="00EF4C37"/>
    <w:rsid w:val="00EF4C59"/>
    <w:rsid w:val="00EF4E2E"/>
    <w:rsid w:val="00EF4E83"/>
    <w:rsid w:val="00EF4E85"/>
    <w:rsid w:val="00EF50BF"/>
    <w:rsid w:val="00EF5111"/>
    <w:rsid w:val="00EF5186"/>
    <w:rsid w:val="00EF51FB"/>
    <w:rsid w:val="00EF5200"/>
    <w:rsid w:val="00EF5344"/>
    <w:rsid w:val="00EF537F"/>
    <w:rsid w:val="00EF5391"/>
    <w:rsid w:val="00EF53CB"/>
    <w:rsid w:val="00EF544E"/>
    <w:rsid w:val="00EF5526"/>
    <w:rsid w:val="00EF55E5"/>
    <w:rsid w:val="00EF5609"/>
    <w:rsid w:val="00EF563B"/>
    <w:rsid w:val="00EF56E2"/>
    <w:rsid w:val="00EF5757"/>
    <w:rsid w:val="00EF5771"/>
    <w:rsid w:val="00EF5861"/>
    <w:rsid w:val="00EF5864"/>
    <w:rsid w:val="00EF5934"/>
    <w:rsid w:val="00EF5977"/>
    <w:rsid w:val="00EF59D6"/>
    <w:rsid w:val="00EF5A03"/>
    <w:rsid w:val="00EF5ADD"/>
    <w:rsid w:val="00EF5B46"/>
    <w:rsid w:val="00EF5C23"/>
    <w:rsid w:val="00EF5C7D"/>
    <w:rsid w:val="00EF5CA7"/>
    <w:rsid w:val="00EF5D17"/>
    <w:rsid w:val="00EF5DAE"/>
    <w:rsid w:val="00EF5E32"/>
    <w:rsid w:val="00EF5E5E"/>
    <w:rsid w:val="00EF5F63"/>
    <w:rsid w:val="00EF5FE4"/>
    <w:rsid w:val="00EF604D"/>
    <w:rsid w:val="00EF61A7"/>
    <w:rsid w:val="00EF61BC"/>
    <w:rsid w:val="00EF6339"/>
    <w:rsid w:val="00EF63D8"/>
    <w:rsid w:val="00EF63F9"/>
    <w:rsid w:val="00EF64D6"/>
    <w:rsid w:val="00EF64E4"/>
    <w:rsid w:val="00EF6517"/>
    <w:rsid w:val="00EF6548"/>
    <w:rsid w:val="00EF66CA"/>
    <w:rsid w:val="00EF66D5"/>
    <w:rsid w:val="00EF67CB"/>
    <w:rsid w:val="00EF6842"/>
    <w:rsid w:val="00EF686E"/>
    <w:rsid w:val="00EF6885"/>
    <w:rsid w:val="00EF6902"/>
    <w:rsid w:val="00EF69AD"/>
    <w:rsid w:val="00EF6A14"/>
    <w:rsid w:val="00EF6A99"/>
    <w:rsid w:val="00EF6B25"/>
    <w:rsid w:val="00EF6C23"/>
    <w:rsid w:val="00EF6D33"/>
    <w:rsid w:val="00EF6DB4"/>
    <w:rsid w:val="00EF6DFC"/>
    <w:rsid w:val="00EF6E1E"/>
    <w:rsid w:val="00EF6EB8"/>
    <w:rsid w:val="00EF6EC2"/>
    <w:rsid w:val="00EF6F57"/>
    <w:rsid w:val="00EF7039"/>
    <w:rsid w:val="00EF70A9"/>
    <w:rsid w:val="00EF7156"/>
    <w:rsid w:val="00EF71EC"/>
    <w:rsid w:val="00EF722A"/>
    <w:rsid w:val="00EF732E"/>
    <w:rsid w:val="00EF7366"/>
    <w:rsid w:val="00EF73A0"/>
    <w:rsid w:val="00EF74D1"/>
    <w:rsid w:val="00EF74F9"/>
    <w:rsid w:val="00EF755A"/>
    <w:rsid w:val="00EF75D1"/>
    <w:rsid w:val="00EF7601"/>
    <w:rsid w:val="00EF7623"/>
    <w:rsid w:val="00EF76FF"/>
    <w:rsid w:val="00EF7730"/>
    <w:rsid w:val="00EF7778"/>
    <w:rsid w:val="00EF7909"/>
    <w:rsid w:val="00EF7950"/>
    <w:rsid w:val="00EF7A37"/>
    <w:rsid w:val="00EF7A51"/>
    <w:rsid w:val="00EF7AC2"/>
    <w:rsid w:val="00EF7B4D"/>
    <w:rsid w:val="00EF7BCD"/>
    <w:rsid w:val="00EF7C09"/>
    <w:rsid w:val="00EF7C91"/>
    <w:rsid w:val="00EF7F0D"/>
    <w:rsid w:val="00EF7F8D"/>
    <w:rsid w:val="00F000D5"/>
    <w:rsid w:val="00F0010A"/>
    <w:rsid w:val="00F0014C"/>
    <w:rsid w:val="00F001B9"/>
    <w:rsid w:val="00F00208"/>
    <w:rsid w:val="00F0025B"/>
    <w:rsid w:val="00F00276"/>
    <w:rsid w:val="00F00278"/>
    <w:rsid w:val="00F002B8"/>
    <w:rsid w:val="00F0037A"/>
    <w:rsid w:val="00F00430"/>
    <w:rsid w:val="00F0070C"/>
    <w:rsid w:val="00F00789"/>
    <w:rsid w:val="00F007DD"/>
    <w:rsid w:val="00F00843"/>
    <w:rsid w:val="00F0088D"/>
    <w:rsid w:val="00F008CC"/>
    <w:rsid w:val="00F00971"/>
    <w:rsid w:val="00F009CB"/>
    <w:rsid w:val="00F009DF"/>
    <w:rsid w:val="00F00A11"/>
    <w:rsid w:val="00F00B93"/>
    <w:rsid w:val="00F00C5C"/>
    <w:rsid w:val="00F00C99"/>
    <w:rsid w:val="00F00C9A"/>
    <w:rsid w:val="00F00CAD"/>
    <w:rsid w:val="00F00D04"/>
    <w:rsid w:val="00F00D72"/>
    <w:rsid w:val="00F00E35"/>
    <w:rsid w:val="00F00E38"/>
    <w:rsid w:val="00F00ED8"/>
    <w:rsid w:val="00F00F89"/>
    <w:rsid w:val="00F00F9F"/>
    <w:rsid w:val="00F00FBA"/>
    <w:rsid w:val="00F00FCC"/>
    <w:rsid w:val="00F01006"/>
    <w:rsid w:val="00F010C7"/>
    <w:rsid w:val="00F0110C"/>
    <w:rsid w:val="00F0113D"/>
    <w:rsid w:val="00F0115C"/>
    <w:rsid w:val="00F011C9"/>
    <w:rsid w:val="00F01288"/>
    <w:rsid w:val="00F0138A"/>
    <w:rsid w:val="00F0143B"/>
    <w:rsid w:val="00F01453"/>
    <w:rsid w:val="00F014EA"/>
    <w:rsid w:val="00F01509"/>
    <w:rsid w:val="00F015BC"/>
    <w:rsid w:val="00F01673"/>
    <w:rsid w:val="00F016B2"/>
    <w:rsid w:val="00F016C0"/>
    <w:rsid w:val="00F0186B"/>
    <w:rsid w:val="00F0187B"/>
    <w:rsid w:val="00F018F0"/>
    <w:rsid w:val="00F01996"/>
    <w:rsid w:val="00F01A10"/>
    <w:rsid w:val="00F01A60"/>
    <w:rsid w:val="00F01B46"/>
    <w:rsid w:val="00F01BDA"/>
    <w:rsid w:val="00F01C45"/>
    <w:rsid w:val="00F01D47"/>
    <w:rsid w:val="00F01D63"/>
    <w:rsid w:val="00F01F10"/>
    <w:rsid w:val="00F02026"/>
    <w:rsid w:val="00F02098"/>
    <w:rsid w:val="00F02099"/>
    <w:rsid w:val="00F0224C"/>
    <w:rsid w:val="00F02290"/>
    <w:rsid w:val="00F0229A"/>
    <w:rsid w:val="00F0229C"/>
    <w:rsid w:val="00F02446"/>
    <w:rsid w:val="00F02515"/>
    <w:rsid w:val="00F0258B"/>
    <w:rsid w:val="00F025C7"/>
    <w:rsid w:val="00F025DF"/>
    <w:rsid w:val="00F02621"/>
    <w:rsid w:val="00F0262B"/>
    <w:rsid w:val="00F026AC"/>
    <w:rsid w:val="00F02906"/>
    <w:rsid w:val="00F02910"/>
    <w:rsid w:val="00F02994"/>
    <w:rsid w:val="00F02A20"/>
    <w:rsid w:val="00F02A3E"/>
    <w:rsid w:val="00F02B02"/>
    <w:rsid w:val="00F02B71"/>
    <w:rsid w:val="00F02B7A"/>
    <w:rsid w:val="00F02CD0"/>
    <w:rsid w:val="00F02D4F"/>
    <w:rsid w:val="00F02E4D"/>
    <w:rsid w:val="00F02E65"/>
    <w:rsid w:val="00F02E82"/>
    <w:rsid w:val="00F03032"/>
    <w:rsid w:val="00F0305A"/>
    <w:rsid w:val="00F0305F"/>
    <w:rsid w:val="00F0306B"/>
    <w:rsid w:val="00F03088"/>
    <w:rsid w:val="00F030A9"/>
    <w:rsid w:val="00F03250"/>
    <w:rsid w:val="00F032B0"/>
    <w:rsid w:val="00F032DB"/>
    <w:rsid w:val="00F032F9"/>
    <w:rsid w:val="00F03303"/>
    <w:rsid w:val="00F034C9"/>
    <w:rsid w:val="00F034CD"/>
    <w:rsid w:val="00F035C5"/>
    <w:rsid w:val="00F03835"/>
    <w:rsid w:val="00F03889"/>
    <w:rsid w:val="00F038F9"/>
    <w:rsid w:val="00F03920"/>
    <w:rsid w:val="00F039BA"/>
    <w:rsid w:val="00F039DE"/>
    <w:rsid w:val="00F03A2E"/>
    <w:rsid w:val="00F03AD2"/>
    <w:rsid w:val="00F03B17"/>
    <w:rsid w:val="00F03B22"/>
    <w:rsid w:val="00F03BDE"/>
    <w:rsid w:val="00F03BF8"/>
    <w:rsid w:val="00F03C85"/>
    <w:rsid w:val="00F03E14"/>
    <w:rsid w:val="00F03ED2"/>
    <w:rsid w:val="00F03EFD"/>
    <w:rsid w:val="00F03F1C"/>
    <w:rsid w:val="00F03F4E"/>
    <w:rsid w:val="00F041DE"/>
    <w:rsid w:val="00F041F7"/>
    <w:rsid w:val="00F041FD"/>
    <w:rsid w:val="00F043F7"/>
    <w:rsid w:val="00F04415"/>
    <w:rsid w:val="00F044CF"/>
    <w:rsid w:val="00F0456E"/>
    <w:rsid w:val="00F046A1"/>
    <w:rsid w:val="00F0472C"/>
    <w:rsid w:val="00F047AD"/>
    <w:rsid w:val="00F047B7"/>
    <w:rsid w:val="00F04810"/>
    <w:rsid w:val="00F0483F"/>
    <w:rsid w:val="00F049BB"/>
    <w:rsid w:val="00F04A0E"/>
    <w:rsid w:val="00F04B81"/>
    <w:rsid w:val="00F04CEF"/>
    <w:rsid w:val="00F04CFB"/>
    <w:rsid w:val="00F04E6B"/>
    <w:rsid w:val="00F04E93"/>
    <w:rsid w:val="00F04E9F"/>
    <w:rsid w:val="00F04F87"/>
    <w:rsid w:val="00F04FE0"/>
    <w:rsid w:val="00F05089"/>
    <w:rsid w:val="00F0514F"/>
    <w:rsid w:val="00F051A9"/>
    <w:rsid w:val="00F051B4"/>
    <w:rsid w:val="00F0520E"/>
    <w:rsid w:val="00F0522B"/>
    <w:rsid w:val="00F0522E"/>
    <w:rsid w:val="00F052B2"/>
    <w:rsid w:val="00F052EC"/>
    <w:rsid w:val="00F053B8"/>
    <w:rsid w:val="00F054B2"/>
    <w:rsid w:val="00F05597"/>
    <w:rsid w:val="00F0560A"/>
    <w:rsid w:val="00F05679"/>
    <w:rsid w:val="00F05690"/>
    <w:rsid w:val="00F056BD"/>
    <w:rsid w:val="00F05765"/>
    <w:rsid w:val="00F0576A"/>
    <w:rsid w:val="00F05784"/>
    <w:rsid w:val="00F0578A"/>
    <w:rsid w:val="00F057B1"/>
    <w:rsid w:val="00F05856"/>
    <w:rsid w:val="00F0587D"/>
    <w:rsid w:val="00F058A5"/>
    <w:rsid w:val="00F0590F"/>
    <w:rsid w:val="00F0594F"/>
    <w:rsid w:val="00F05978"/>
    <w:rsid w:val="00F059CA"/>
    <w:rsid w:val="00F059FE"/>
    <w:rsid w:val="00F05A8A"/>
    <w:rsid w:val="00F05ACD"/>
    <w:rsid w:val="00F05C7E"/>
    <w:rsid w:val="00F05E06"/>
    <w:rsid w:val="00F05FFF"/>
    <w:rsid w:val="00F06048"/>
    <w:rsid w:val="00F06081"/>
    <w:rsid w:val="00F060B2"/>
    <w:rsid w:val="00F06188"/>
    <w:rsid w:val="00F06189"/>
    <w:rsid w:val="00F061C6"/>
    <w:rsid w:val="00F06398"/>
    <w:rsid w:val="00F06464"/>
    <w:rsid w:val="00F064BC"/>
    <w:rsid w:val="00F064F5"/>
    <w:rsid w:val="00F066F4"/>
    <w:rsid w:val="00F0672B"/>
    <w:rsid w:val="00F0678A"/>
    <w:rsid w:val="00F0678E"/>
    <w:rsid w:val="00F067B0"/>
    <w:rsid w:val="00F067C3"/>
    <w:rsid w:val="00F067ED"/>
    <w:rsid w:val="00F0689B"/>
    <w:rsid w:val="00F06955"/>
    <w:rsid w:val="00F06A8C"/>
    <w:rsid w:val="00F06B6F"/>
    <w:rsid w:val="00F06BC2"/>
    <w:rsid w:val="00F06BF4"/>
    <w:rsid w:val="00F06D5A"/>
    <w:rsid w:val="00F06D5C"/>
    <w:rsid w:val="00F07048"/>
    <w:rsid w:val="00F070BC"/>
    <w:rsid w:val="00F0720A"/>
    <w:rsid w:val="00F07225"/>
    <w:rsid w:val="00F072E6"/>
    <w:rsid w:val="00F072EB"/>
    <w:rsid w:val="00F07321"/>
    <w:rsid w:val="00F07333"/>
    <w:rsid w:val="00F0733E"/>
    <w:rsid w:val="00F0749B"/>
    <w:rsid w:val="00F076A7"/>
    <w:rsid w:val="00F07785"/>
    <w:rsid w:val="00F077DB"/>
    <w:rsid w:val="00F078C8"/>
    <w:rsid w:val="00F07925"/>
    <w:rsid w:val="00F079B7"/>
    <w:rsid w:val="00F07BB8"/>
    <w:rsid w:val="00F07BFE"/>
    <w:rsid w:val="00F07C04"/>
    <w:rsid w:val="00F07C9D"/>
    <w:rsid w:val="00F07D02"/>
    <w:rsid w:val="00F07E07"/>
    <w:rsid w:val="00F07E9B"/>
    <w:rsid w:val="00F07EB9"/>
    <w:rsid w:val="00F07F41"/>
    <w:rsid w:val="00F07FF9"/>
    <w:rsid w:val="00F10017"/>
    <w:rsid w:val="00F100FE"/>
    <w:rsid w:val="00F10213"/>
    <w:rsid w:val="00F10260"/>
    <w:rsid w:val="00F1032F"/>
    <w:rsid w:val="00F10344"/>
    <w:rsid w:val="00F1041C"/>
    <w:rsid w:val="00F104E9"/>
    <w:rsid w:val="00F10898"/>
    <w:rsid w:val="00F10947"/>
    <w:rsid w:val="00F109B4"/>
    <w:rsid w:val="00F10A0C"/>
    <w:rsid w:val="00F10A25"/>
    <w:rsid w:val="00F10A3F"/>
    <w:rsid w:val="00F10AA9"/>
    <w:rsid w:val="00F10ACF"/>
    <w:rsid w:val="00F10B5D"/>
    <w:rsid w:val="00F10B8A"/>
    <w:rsid w:val="00F10C28"/>
    <w:rsid w:val="00F10C70"/>
    <w:rsid w:val="00F10E53"/>
    <w:rsid w:val="00F10EB5"/>
    <w:rsid w:val="00F10ECA"/>
    <w:rsid w:val="00F10ED5"/>
    <w:rsid w:val="00F10EEB"/>
    <w:rsid w:val="00F10F1D"/>
    <w:rsid w:val="00F11001"/>
    <w:rsid w:val="00F11085"/>
    <w:rsid w:val="00F1109A"/>
    <w:rsid w:val="00F110BB"/>
    <w:rsid w:val="00F11151"/>
    <w:rsid w:val="00F11186"/>
    <w:rsid w:val="00F111DA"/>
    <w:rsid w:val="00F11297"/>
    <w:rsid w:val="00F11308"/>
    <w:rsid w:val="00F113A3"/>
    <w:rsid w:val="00F113BD"/>
    <w:rsid w:val="00F11493"/>
    <w:rsid w:val="00F1149A"/>
    <w:rsid w:val="00F11575"/>
    <w:rsid w:val="00F116A7"/>
    <w:rsid w:val="00F11883"/>
    <w:rsid w:val="00F11965"/>
    <w:rsid w:val="00F11A1E"/>
    <w:rsid w:val="00F11B6F"/>
    <w:rsid w:val="00F11BB1"/>
    <w:rsid w:val="00F11C03"/>
    <w:rsid w:val="00F11C7C"/>
    <w:rsid w:val="00F11E10"/>
    <w:rsid w:val="00F11E74"/>
    <w:rsid w:val="00F11EB9"/>
    <w:rsid w:val="00F11EC0"/>
    <w:rsid w:val="00F11EEC"/>
    <w:rsid w:val="00F11F28"/>
    <w:rsid w:val="00F11F2F"/>
    <w:rsid w:val="00F11F78"/>
    <w:rsid w:val="00F11FCC"/>
    <w:rsid w:val="00F120EB"/>
    <w:rsid w:val="00F1213D"/>
    <w:rsid w:val="00F121AE"/>
    <w:rsid w:val="00F12283"/>
    <w:rsid w:val="00F124B3"/>
    <w:rsid w:val="00F12539"/>
    <w:rsid w:val="00F12648"/>
    <w:rsid w:val="00F12663"/>
    <w:rsid w:val="00F127C5"/>
    <w:rsid w:val="00F1280A"/>
    <w:rsid w:val="00F1289E"/>
    <w:rsid w:val="00F128CE"/>
    <w:rsid w:val="00F12912"/>
    <w:rsid w:val="00F1293F"/>
    <w:rsid w:val="00F12962"/>
    <w:rsid w:val="00F12A48"/>
    <w:rsid w:val="00F12AC0"/>
    <w:rsid w:val="00F12AFC"/>
    <w:rsid w:val="00F12BC2"/>
    <w:rsid w:val="00F12BEC"/>
    <w:rsid w:val="00F12DB8"/>
    <w:rsid w:val="00F12E45"/>
    <w:rsid w:val="00F12F03"/>
    <w:rsid w:val="00F12F3E"/>
    <w:rsid w:val="00F12FBA"/>
    <w:rsid w:val="00F130A4"/>
    <w:rsid w:val="00F130D1"/>
    <w:rsid w:val="00F13122"/>
    <w:rsid w:val="00F13416"/>
    <w:rsid w:val="00F134A8"/>
    <w:rsid w:val="00F13581"/>
    <w:rsid w:val="00F1359D"/>
    <w:rsid w:val="00F13712"/>
    <w:rsid w:val="00F137C8"/>
    <w:rsid w:val="00F13816"/>
    <w:rsid w:val="00F13875"/>
    <w:rsid w:val="00F13883"/>
    <w:rsid w:val="00F1391A"/>
    <w:rsid w:val="00F13983"/>
    <w:rsid w:val="00F13A3E"/>
    <w:rsid w:val="00F13B1C"/>
    <w:rsid w:val="00F13B95"/>
    <w:rsid w:val="00F13C19"/>
    <w:rsid w:val="00F13C1C"/>
    <w:rsid w:val="00F13CC1"/>
    <w:rsid w:val="00F13E20"/>
    <w:rsid w:val="00F13E21"/>
    <w:rsid w:val="00F13E24"/>
    <w:rsid w:val="00F13E29"/>
    <w:rsid w:val="00F1416A"/>
    <w:rsid w:val="00F14175"/>
    <w:rsid w:val="00F1421E"/>
    <w:rsid w:val="00F1424B"/>
    <w:rsid w:val="00F142AE"/>
    <w:rsid w:val="00F142EE"/>
    <w:rsid w:val="00F143D4"/>
    <w:rsid w:val="00F14548"/>
    <w:rsid w:val="00F14552"/>
    <w:rsid w:val="00F145A1"/>
    <w:rsid w:val="00F1466B"/>
    <w:rsid w:val="00F146A6"/>
    <w:rsid w:val="00F14701"/>
    <w:rsid w:val="00F1476B"/>
    <w:rsid w:val="00F147E0"/>
    <w:rsid w:val="00F147E5"/>
    <w:rsid w:val="00F1488A"/>
    <w:rsid w:val="00F14921"/>
    <w:rsid w:val="00F149E2"/>
    <w:rsid w:val="00F14AC2"/>
    <w:rsid w:val="00F14B39"/>
    <w:rsid w:val="00F14BBA"/>
    <w:rsid w:val="00F14C90"/>
    <w:rsid w:val="00F14CA0"/>
    <w:rsid w:val="00F14D3C"/>
    <w:rsid w:val="00F14D4E"/>
    <w:rsid w:val="00F14E23"/>
    <w:rsid w:val="00F14EB6"/>
    <w:rsid w:val="00F14F9A"/>
    <w:rsid w:val="00F15069"/>
    <w:rsid w:val="00F15090"/>
    <w:rsid w:val="00F150A8"/>
    <w:rsid w:val="00F1514A"/>
    <w:rsid w:val="00F151F4"/>
    <w:rsid w:val="00F1520D"/>
    <w:rsid w:val="00F152A4"/>
    <w:rsid w:val="00F1533E"/>
    <w:rsid w:val="00F153B0"/>
    <w:rsid w:val="00F1548F"/>
    <w:rsid w:val="00F1555E"/>
    <w:rsid w:val="00F1564A"/>
    <w:rsid w:val="00F156FC"/>
    <w:rsid w:val="00F15950"/>
    <w:rsid w:val="00F15994"/>
    <w:rsid w:val="00F159B4"/>
    <w:rsid w:val="00F15A50"/>
    <w:rsid w:val="00F15A6D"/>
    <w:rsid w:val="00F15AAB"/>
    <w:rsid w:val="00F15BE3"/>
    <w:rsid w:val="00F15C3A"/>
    <w:rsid w:val="00F15D3A"/>
    <w:rsid w:val="00F15D42"/>
    <w:rsid w:val="00F15DFD"/>
    <w:rsid w:val="00F15E75"/>
    <w:rsid w:val="00F15EB3"/>
    <w:rsid w:val="00F1600C"/>
    <w:rsid w:val="00F16032"/>
    <w:rsid w:val="00F16077"/>
    <w:rsid w:val="00F160D7"/>
    <w:rsid w:val="00F161A2"/>
    <w:rsid w:val="00F162CC"/>
    <w:rsid w:val="00F1631A"/>
    <w:rsid w:val="00F16325"/>
    <w:rsid w:val="00F1637A"/>
    <w:rsid w:val="00F16397"/>
    <w:rsid w:val="00F164AC"/>
    <w:rsid w:val="00F164B4"/>
    <w:rsid w:val="00F164F4"/>
    <w:rsid w:val="00F16636"/>
    <w:rsid w:val="00F1668D"/>
    <w:rsid w:val="00F1671F"/>
    <w:rsid w:val="00F16753"/>
    <w:rsid w:val="00F16758"/>
    <w:rsid w:val="00F167CA"/>
    <w:rsid w:val="00F16899"/>
    <w:rsid w:val="00F168E4"/>
    <w:rsid w:val="00F16972"/>
    <w:rsid w:val="00F1697E"/>
    <w:rsid w:val="00F169CD"/>
    <w:rsid w:val="00F16A61"/>
    <w:rsid w:val="00F16C42"/>
    <w:rsid w:val="00F16E9A"/>
    <w:rsid w:val="00F17181"/>
    <w:rsid w:val="00F1719C"/>
    <w:rsid w:val="00F17299"/>
    <w:rsid w:val="00F172F6"/>
    <w:rsid w:val="00F175B8"/>
    <w:rsid w:val="00F175D5"/>
    <w:rsid w:val="00F175DC"/>
    <w:rsid w:val="00F1762D"/>
    <w:rsid w:val="00F176CE"/>
    <w:rsid w:val="00F176F9"/>
    <w:rsid w:val="00F1770B"/>
    <w:rsid w:val="00F17759"/>
    <w:rsid w:val="00F1784B"/>
    <w:rsid w:val="00F17866"/>
    <w:rsid w:val="00F17932"/>
    <w:rsid w:val="00F17A49"/>
    <w:rsid w:val="00F17B0D"/>
    <w:rsid w:val="00F17BDC"/>
    <w:rsid w:val="00F17C40"/>
    <w:rsid w:val="00F17D0B"/>
    <w:rsid w:val="00F17EEA"/>
    <w:rsid w:val="00F17F14"/>
    <w:rsid w:val="00F17F63"/>
    <w:rsid w:val="00F17FA0"/>
    <w:rsid w:val="00F20067"/>
    <w:rsid w:val="00F20143"/>
    <w:rsid w:val="00F202BF"/>
    <w:rsid w:val="00F2034F"/>
    <w:rsid w:val="00F2036F"/>
    <w:rsid w:val="00F20428"/>
    <w:rsid w:val="00F204A5"/>
    <w:rsid w:val="00F2050B"/>
    <w:rsid w:val="00F205D7"/>
    <w:rsid w:val="00F20678"/>
    <w:rsid w:val="00F20721"/>
    <w:rsid w:val="00F20940"/>
    <w:rsid w:val="00F20989"/>
    <w:rsid w:val="00F20ACD"/>
    <w:rsid w:val="00F20B62"/>
    <w:rsid w:val="00F20C01"/>
    <w:rsid w:val="00F20C9A"/>
    <w:rsid w:val="00F20D55"/>
    <w:rsid w:val="00F20D94"/>
    <w:rsid w:val="00F20E9F"/>
    <w:rsid w:val="00F20EB7"/>
    <w:rsid w:val="00F20F81"/>
    <w:rsid w:val="00F21039"/>
    <w:rsid w:val="00F21066"/>
    <w:rsid w:val="00F21094"/>
    <w:rsid w:val="00F210AC"/>
    <w:rsid w:val="00F2110B"/>
    <w:rsid w:val="00F2112B"/>
    <w:rsid w:val="00F21187"/>
    <w:rsid w:val="00F211B5"/>
    <w:rsid w:val="00F21266"/>
    <w:rsid w:val="00F212BE"/>
    <w:rsid w:val="00F21366"/>
    <w:rsid w:val="00F21395"/>
    <w:rsid w:val="00F213B4"/>
    <w:rsid w:val="00F213F6"/>
    <w:rsid w:val="00F21473"/>
    <w:rsid w:val="00F21493"/>
    <w:rsid w:val="00F21497"/>
    <w:rsid w:val="00F214C8"/>
    <w:rsid w:val="00F214D0"/>
    <w:rsid w:val="00F21518"/>
    <w:rsid w:val="00F21540"/>
    <w:rsid w:val="00F2160E"/>
    <w:rsid w:val="00F21668"/>
    <w:rsid w:val="00F21754"/>
    <w:rsid w:val="00F2178B"/>
    <w:rsid w:val="00F217AE"/>
    <w:rsid w:val="00F21817"/>
    <w:rsid w:val="00F21950"/>
    <w:rsid w:val="00F21A59"/>
    <w:rsid w:val="00F21BAC"/>
    <w:rsid w:val="00F21BFE"/>
    <w:rsid w:val="00F21E90"/>
    <w:rsid w:val="00F21E99"/>
    <w:rsid w:val="00F21F15"/>
    <w:rsid w:val="00F21F65"/>
    <w:rsid w:val="00F21FB2"/>
    <w:rsid w:val="00F21FC0"/>
    <w:rsid w:val="00F2219D"/>
    <w:rsid w:val="00F222AE"/>
    <w:rsid w:val="00F223A1"/>
    <w:rsid w:val="00F22412"/>
    <w:rsid w:val="00F22447"/>
    <w:rsid w:val="00F22486"/>
    <w:rsid w:val="00F2252B"/>
    <w:rsid w:val="00F225D0"/>
    <w:rsid w:val="00F22601"/>
    <w:rsid w:val="00F226B8"/>
    <w:rsid w:val="00F226CA"/>
    <w:rsid w:val="00F227A9"/>
    <w:rsid w:val="00F228E1"/>
    <w:rsid w:val="00F22906"/>
    <w:rsid w:val="00F22916"/>
    <w:rsid w:val="00F22ACA"/>
    <w:rsid w:val="00F22C12"/>
    <w:rsid w:val="00F22C64"/>
    <w:rsid w:val="00F22D2B"/>
    <w:rsid w:val="00F22DDE"/>
    <w:rsid w:val="00F22E38"/>
    <w:rsid w:val="00F22E61"/>
    <w:rsid w:val="00F22ED6"/>
    <w:rsid w:val="00F22F16"/>
    <w:rsid w:val="00F22FA5"/>
    <w:rsid w:val="00F230A7"/>
    <w:rsid w:val="00F2311A"/>
    <w:rsid w:val="00F23183"/>
    <w:rsid w:val="00F231C6"/>
    <w:rsid w:val="00F231FB"/>
    <w:rsid w:val="00F2329C"/>
    <w:rsid w:val="00F232CF"/>
    <w:rsid w:val="00F23320"/>
    <w:rsid w:val="00F23388"/>
    <w:rsid w:val="00F23485"/>
    <w:rsid w:val="00F2348A"/>
    <w:rsid w:val="00F2349F"/>
    <w:rsid w:val="00F234CE"/>
    <w:rsid w:val="00F234D8"/>
    <w:rsid w:val="00F2353D"/>
    <w:rsid w:val="00F23543"/>
    <w:rsid w:val="00F2362B"/>
    <w:rsid w:val="00F23691"/>
    <w:rsid w:val="00F236AD"/>
    <w:rsid w:val="00F23758"/>
    <w:rsid w:val="00F237FB"/>
    <w:rsid w:val="00F23829"/>
    <w:rsid w:val="00F23842"/>
    <w:rsid w:val="00F238C8"/>
    <w:rsid w:val="00F239A9"/>
    <w:rsid w:val="00F23B7D"/>
    <w:rsid w:val="00F23C02"/>
    <w:rsid w:val="00F23C22"/>
    <w:rsid w:val="00F23C4E"/>
    <w:rsid w:val="00F23CAB"/>
    <w:rsid w:val="00F23CBE"/>
    <w:rsid w:val="00F23CE1"/>
    <w:rsid w:val="00F23CF5"/>
    <w:rsid w:val="00F23D46"/>
    <w:rsid w:val="00F23E13"/>
    <w:rsid w:val="00F23F2B"/>
    <w:rsid w:val="00F23F2C"/>
    <w:rsid w:val="00F23F2D"/>
    <w:rsid w:val="00F24082"/>
    <w:rsid w:val="00F2414C"/>
    <w:rsid w:val="00F2418D"/>
    <w:rsid w:val="00F24247"/>
    <w:rsid w:val="00F2429A"/>
    <w:rsid w:val="00F2448F"/>
    <w:rsid w:val="00F244A6"/>
    <w:rsid w:val="00F244AD"/>
    <w:rsid w:val="00F244B1"/>
    <w:rsid w:val="00F24512"/>
    <w:rsid w:val="00F2451D"/>
    <w:rsid w:val="00F2461C"/>
    <w:rsid w:val="00F24696"/>
    <w:rsid w:val="00F24724"/>
    <w:rsid w:val="00F24783"/>
    <w:rsid w:val="00F247FF"/>
    <w:rsid w:val="00F24821"/>
    <w:rsid w:val="00F24927"/>
    <w:rsid w:val="00F2492D"/>
    <w:rsid w:val="00F2499F"/>
    <w:rsid w:val="00F24A3A"/>
    <w:rsid w:val="00F24A43"/>
    <w:rsid w:val="00F24B06"/>
    <w:rsid w:val="00F24B7A"/>
    <w:rsid w:val="00F24C84"/>
    <w:rsid w:val="00F24D7B"/>
    <w:rsid w:val="00F24D97"/>
    <w:rsid w:val="00F24E32"/>
    <w:rsid w:val="00F24E9D"/>
    <w:rsid w:val="00F24F46"/>
    <w:rsid w:val="00F24F66"/>
    <w:rsid w:val="00F24FC1"/>
    <w:rsid w:val="00F24FD2"/>
    <w:rsid w:val="00F2500C"/>
    <w:rsid w:val="00F250F9"/>
    <w:rsid w:val="00F25233"/>
    <w:rsid w:val="00F252CB"/>
    <w:rsid w:val="00F25372"/>
    <w:rsid w:val="00F253EE"/>
    <w:rsid w:val="00F2540C"/>
    <w:rsid w:val="00F254BF"/>
    <w:rsid w:val="00F25510"/>
    <w:rsid w:val="00F25549"/>
    <w:rsid w:val="00F2556C"/>
    <w:rsid w:val="00F2557D"/>
    <w:rsid w:val="00F2561B"/>
    <w:rsid w:val="00F2562D"/>
    <w:rsid w:val="00F2566B"/>
    <w:rsid w:val="00F256AF"/>
    <w:rsid w:val="00F256D1"/>
    <w:rsid w:val="00F257B9"/>
    <w:rsid w:val="00F25867"/>
    <w:rsid w:val="00F258D6"/>
    <w:rsid w:val="00F25921"/>
    <w:rsid w:val="00F2596D"/>
    <w:rsid w:val="00F25A4D"/>
    <w:rsid w:val="00F25BBC"/>
    <w:rsid w:val="00F25BE3"/>
    <w:rsid w:val="00F25C15"/>
    <w:rsid w:val="00F25C62"/>
    <w:rsid w:val="00F25C91"/>
    <w:rsid w:val="00F25DA1"/>
    <w:rsid w:val="00F25EDF"/>
    <w:rsid w:val="00F25EEC"/>
    <w:rsid w:val="00F25F4C"/>
    <w:rsid w:val="00F25F9F"/>
    <w:rsid w:val="00F26139"/>
    <w:rsid w:val="00F26157"/>
    <w:rsid w:val="00F26176"/>
    <w:rsid w:val="00F2619C"/>
    <w:rsid w:val="00F2620C"/>
    <w:rsid w:val="00F26225"/>
    <w:rsid w:val="00F262C9"/>
    <w:rsid w:val="00F262EF"/>
    <w:rsid w:val="00F2638F"/>
    <w:rsid w:val="00F2647F"/>
    <w:rsid w:val="00F26497"/>
    <w:rsid w:val="00F2659C"/>
    <w:rsid w:val="00F265B6"/>
    <w:rsid w:val="00F265BB"/>
    <w:rsid w:val="00F2668F"/>
    <w:rsid w:val="00F266D7"/>
    <w:rsid w:val="00F26768"/>
    <w:rsid w:val="00F26780"/>
    <w:rsid w:val="00F26849"/>
    <w:rsid w:val="00F26870"/>
    <w:rsid w:val="00F2688E"/>
    <w:rsid w:val="00F26899"/>
    <w:rsid w:val="00F26991"/>
    <w:rsid w:val="00F26AC7"/>
    <w:rsid w:val="00F26AED"/>
    <w:rsid w:val="00F26B29"/>
    <w:rsid w:val="00F26B78"/>
    <w:rsid w:val="00F26D1F"/>
    <w:rsid w:val="00F26DD3"/>
    <w:rsid w:val="00F26DE0"/>
    <w:rsid w:val="00F26DF3"/>
    <w:rsid w:val="00F26E1A"/>
    <w:rsid w:val="00F26EFF"/>
    <w:rsid w:val="00F26F4F"/>
    <w:rsid w:val="00F26FAA"/>
    <w:rsid w:val="00F26FBF"/>
    <w:rsid w:val="00F2703B"/>
    <w:rsid w:val="00F272B0"/>
    <w:rsid w:val="00F272CA"/>
    <w:rsid w:val="00F272F4"/>
    <w:rsid w:val="00F272FE"/>
    <w:rsid w:val="00F27344"/>
    <w:rsid w:val="00F27388"/>
    <w:rsid w:val="00F273E4"/>
    <w:rsid w:val="00F27415"/>
    <w:rsid w:val="00F27430"/>
    <w:rsid w:val="00F275C0"/>
    <w:rsid w:val="00F275D6"/>
    <w:rsid w:val="00F27652"/>
    <w:rsid w:val="00F276A4"/>
    <w:rsid w:val="00F27731"/>
    <w:rsid w:val="00F279EA"/>
    <w:rsid w:val="00F27A60"/>
    <w:rsid w:val="00F27BD6"/>
    <w:rsid w:val="00F27BE4"/>
    <w:rsid w:val="00F27BFE"/>
    <w:rsid w:val="00F27C8B"/>
    <w:rsid w:val="00F27CCB"/>
    <w:rsid w:val="00F27DEA"/>
    <w:rsid w:val="00F27DF5"/>
    <w:rsid w:val="00F27E90"/>
    <w:rsid w:val="00F27EB9"/>
    <w:rsid w:val="00F27F74"/>
    <w:rsid w:val="00F27F81"/>
    <w:rsid w:val="00F27FE9"/>
    <w:rsid w:val="00F301E6"/>
    <w:rsid w:val="00F301E8"/>
    <w:rsid w:val="00F30302"/>
    <w:rsid w:val="00F304E9"/>
    <w:rsid w:val="00F3054D"/>
    <w:rsid w:val="00F30596"/>
    <w:rsid w:val="00F306DA"/>
    <w:rsid w:val="00F30777"/>
    <w:rsid w:val="00F30865"/>
    <w:rsid w:val="00F30A55"/>
    <w:rsid w:val="00F30AA4"/>
    <w:rsid w:val="00F30BC6"/>
    <w:rsid w:val="00F30C10"/>
    <w:rsid w:val="00F30D52"/>
    <w:rsid w:val="00F30D8B"/>
    <w:rsid w:val="00F30DB0"/>
    <w:rsid w:val="00F30DE0"/>
    <w:rsid w:val="00F30E07"/>
    <w:rsid w:val="00F30E59"/>
    <w:rsid w:val="00F30EF5"/>
    <w:rsid w:val="00F30F1D"/>
    <w:rsid w:val="00F30F4A"/>
    <w:rsid w:val="00F30F4C"/>
    <w:rsid w:val="00F30FD3"/>
    <w:rsid w:val="00F3104D"/>
    <w:rsid w:val="00F310B7"/>
    <w:rsid w:val="00F3111A"/>
    <w:rsid w:val="00F3112A"/>
    <w:rsid w:val="00F3133E"/>
    <w:rsid w:val="00F31421"/>
    <w:rsid w:val="00F31485"/>
    <w:rsid w:val="00F31500"/>
    <w:rsid w:val="00F315F1"/>
    <w:rsid w:val="00F31652"/>
    <w:rsid w:val="00F316AC"/>
    <w:rsid w:val="00F3171B"/>
    <w:rsid w:val="00F31768"/>
    <w:rsid w:val="00F31792"/>
    <w:rsid w:val="00F317F2"/>
    <w:rsid w:val="00F318C9"/>
    <w:rsid w:val="00F319A9"/>
    <w:rsid w:val="00F319C7"/>
    <w:rsid w:val="00F31A6C"/>
    <w:rsid w:val="00F31BB9"/>
    <w:rsid w:val="00F31C05"/>
    <w:rsid w:val="00F31C66"/>
    <w:rsid w:val="00F31C82"/>
    <w:rsid w:val="00F31D59"/>
    <w:rsid w:val="00F31D85"/>
    <w:rsid w:val="00F31E47"/>
    <w:rsid w:val="00F31E4D"/>
    <w:rsid w:val="00F31EBC"/>
    <w:rsid w:val="00F31ED8"/>
    <w:rsid w:val="00F31EDA"/>
    <w:rsid w:val="00F31F3E"/>
    <w:rsid w:val="00F31F86"/>
    <w:rsid w:val="00F31FC6"/>
    <w:rsid w:val="00F32264"/>
    <w:rsid w:val="00F32280"/>
    <w:rsid w:val="00F322DF"/>
    <w:rsid w:val="00F32351"/>
    <w:rsid w:val="00F32363"/>
    <w:rsid w:val="00F3238A"/>
    <w:rsid w:val="00F3243C"/>
    <w:rsid w:val="00F32458"/>
    <w:rsid w:val="00F32495"/>
    <w:rsid w:val="00F32503"/>
    <w:rsid w:val="00F32598"/>
    <w:rsid w:val="00F325CC"/>
    <w:rsid w:val="00F32672"/>
    <w:rsid w:val="00F326B2"/>
    <w:rsid w:val="00F326CA"/>
    <w:rsid w:val="00F326F3"/>
    <w:rsid w:val="00F3270E"/>
    <w:rsid w:val="00F3291C"/>
    <w:rsid w:val="00F32A0A"/>
    <w:rsid w:val="00F32B55"/>
    <w:rsid w:val="00F32C2E"/>
    <w:rsid w:val="00F32D2F"/>
    <w:rsid w:val="00F32DCA"/>
    <w:rsid w:val="00F32E93"/>
    <w:rsid w:val="00F32FFD"/>
    <w:rsid w:val="00F330C8"/>
    <w:rsid w:val="00F33116"/>
    <w:rsid w:val="00F331D8"/>
    <w:rsid w:val="00F33213"/>
    <w:rsid w:val="00F33218"/>
    <w:rsid w:val="00F33257"/>
    <w:rsid w:val="00F33262"/>
    <w:rsid w:val="00F332D9"/>
    <w:rsid w:val="00F33332"/>
    <w:rsid w:val="00F33383"/>
    <w:rsid w:val="00F334FE"/>
    <w:rsid w:val="00F3351A"/>
    <w:rsid w:val="00F3353F"/>
    <w:rsid w:val="00F33564"/>
    <w:rsid w:val="00F335BD"/>
    <w:rsid w:val="00F336C7"/>
    <w:rsid w:val="00F33769"/>
    <w:rsid w:val="00F337F2"/>
    <w:rsid w:val="00F338FA"/>
    <w:rsid w:val="00F3394C"/>
    <w:rsid w:val="00F339E1"/>
    <w:rsid w:val="00F33C8C"/>
    <w:rsid w:val="00F33D17"/>
    <w:rsid w:val="00F33E90"/>
    <w:rsid w:val="00F34114"/>
    <w:rsid w:val="00F34165"/>
    <w:rsid w:val="00F341F9"/>
    <w:rsid w:val="00F342B5"/>
    <w:rsid w:val="00F34305"/>
    <w:rsid w:val="00F3433E"/>
    <w:rsid w:val="00F3435F"/>
    <w:rsid w:val="00F344F2"/>
    <w:rsid w:val="00F34646"/>
    <w:rsid w:val="00F346AF"/>
    <w:rsid w:val="00F3473D"/>
    <w:rsid w:val="00F34834"/>
    <w:rsid w:val="00F34927"/>
    <w:rsid w:val="00F349C3"/>
    <w:rsid w:val="00F34A03"/>
    <w:rsid w:val="00F34A71"/>
    <w:rsid w:val="00F34A73"/>
    <w:rsid w:val="00F34AB7"/>
    <w:rsid w:val="00F34AC1"/>
    <w:rsid w:val="00F34B40"/>
    <w:rsid w:val="00F34CA7"/>
    <w:rsid w:val="00F34D32"/>
    <w:rsid w:val="00F34F39"/>
    <w:rsid w:val="00F3501B"/>
    <w:rsid w:val="00F35055"/>
    <w:rsid w:val="00F35242"/>
    <w:rsid w:val="00F35259"/>
    <w:rsid w:val="00F352BD"/>
    <w:rsid w:val="00F35312"/>
    <w:rsid w:val="00F35351"/>
    <w:rsid w:val="00F353C9"/>
    <w:rsid w:val="00F355C8"/>
    <w:rsid w:val="00F35654"/>
    <w:rsid w:val="00F3565E"/>
    <w:rsid w:val="00F356B5"/>
    <w:rsid w:val="00F356FB"/>
    <w:rsid w:val="00F35762"/>
    <w:rsid w:val="00F35800"/>
    <w:rsid w:val="00F35887"/>
    <w:rsid w:val="00F3594F"/>
    <w:rsid w:val="00F35954"/>
    <w:rsid w:val="00F3595E"/>
    <w:rsid w:val="00F35A6E"/>
    <w:rsid w:val="00F35BE5"/>
    <w:rsid w:val="00F35C24"/>
    <w:rsid w:val="00F35DE1"/>
    <w:rsid w:val="00F35F2A"/>
    <w:rsid w:val="00F35FB4"/>
    <w:rsid w:val="00F35FE9"/>
    <w:rsid w:val="00F360B5"/>
    <w:rsid w:val="00F360BA"/>
    <w:rsid w:val="00F360D9"/>
    <w:rsid w:val="00F3635F"/>
    <w:rsid w:val="00F3639C"/>
    <w:rsid w:val="00F364FA"/>
    <w:rsid w:val="00F3652B"/>
    <w:rsid w:val="00F3653B"/>
    <w:rsid w:val="00F365B0"/>
    <w:rsid w:val="00F365F7"/>
    <w:rsid w:val="00F366C6"/>
    <w:rsid w:val="00F3671B"/>
    <w:rsid w:val="00F36759"/>
    <w:rsid w:val="00F36781"/>
    <w:rsid w:val="00F36782"/>
    <w:rsid w:val="00F367D2"/>
    <w:rsid w:val="00F368DC"/>
    <w:rsid w:val="00F369E5"/>
    <w:rsid w:val="00F36A4D"/>
    <w:rsid w:val="00F36AFF"/>
    <w:rsid w:val="00F36CA5"/>
    <w:rsid w:val="00F36CB8"/>
    <w:rsid w:val="00F36CE4"/>
    <w:rsid w:val="00F36D01"/>
    <w:rsid w:val="00F36D17"/>
    <w:rsid w:val="00F36D18"/>
    <w:rsid w:val="00F36D3B"/>
    <w:rsid w:val="00F36D5C"/>
    <w:rsid w:val="00F36DA7"/>
    <w:rsid w:val="00F36E73"/>
    <w:rsid w:val="00F36E75"/>
    <w:rsid w:val="00F36EE4"/>
    <w:rsid w:val="00F36F74"/>
    <w:rsid w:val="00F36FE4"/>
    <w:rsid w:val="00F36FE5"/>
    <w:rsid w:val="00F3700F"/>
    <w:rsid w:val="00F370A0"/>
    <w:rsid w:val="00F37197"/>
    <w:rsid w:val="00F371F8"/>
    <w:rsid w:val="00F372AD"/>
    <w:rsid w:val="00F373AF"/>
    <w:rsid w:val="00F37450"/>
    <w:rsid w:val="00F37478"/>
    <w:rsid w:val="00F374A8"/>
    <w:rsid w:val="00F374C1"/>
    <w:rsid w:val="00F37526"/>
    <w:rsid w:val="00F3753B"/>
    <w:rsid w:val="00F376D6"/>
    <w:rsid w:val="00F37741"/>
    <w:rsid w:val="00F37780"/>
    <w:rsid w:val="00F377F2"/>
    <w:rsid w:val="00F3788A"/>
    <w:rsid w:val="00F379D8"/>
    <w:rsid w:val="00F37A3C"/>
    <w:rsid w:val="00F37A3E"/>
    <w:rsid w:val="00F37AA8"/>
    <w:rsid w:val="00F37B54"/>
    <w:rsid w:val="00F37B88"/>
    <w:rsid w:val="00F37B8F"/>
    <w:rsid w:val="00F37BCD"/>
    <w:rsid w:val="00F37BDB"/>
    <w:rsid w:val="00F37C02"/>
    <w:rsid w:val="00F37C07"/>
    <w:rsid w:val="00F37C14"/>
    <w:rsid w:val="00F37CA1"/>
    <w:rsid w:val="00F37CB5"/>
    <w:rsid w:val="00F37CB6"/>
    <w:rsid w:val="00F37D87"/>
    <w:rsid w:val="00F37E87"/>
    <w:rsid w:val="00F37F23"/>
    <w:rsid w:val="00F37F2F"/>
    <w:rsid w:val="00F40128"/>
    <w:rsid w:val="00F401AB"/>
    <w:rsid w:val="00F40283"/>
    <w:rsid w:val="00F40350"/>
    <w:rsid w:val="00F4039C"/>
    <w:rsid w:val="00F40407"/>
    <w:rsid w:val="00F40466"/>
    <w:rsid w:val="00F404AA"/>
    <w:rsid w:val="00F404F3"/>
    <w:rsid w:val="00F405F7"/>
    <w:rsid w:val="00F4066C"/>
    <w:rsid w:val="00F407E8"/>
    <w:rsid w:val="00F408C4"/>
    <w:rsid w:val="00F40923"/>
    <w:rsid w:val="00F40969"/>
    <w:rsid w:val="00F40981"/>
    <w:rsid w:val="00F4099C"/>
    <w:rsid w:val="00F409B7"/>
    <w:rsid w:val="00F40A20"/>
    <w:rsid w:val="00F40A4C"/>
    <w:rsid w:val="00F40B3D"/>
    <w:rsid w:val="00F40B52"/>
    <w:rsid w:val="00F40BBB"/>
    <w:rsid w:val="00F40BDD"/>
    <w:rsid w:val="00F40CB3"/>
    <w:rsid w:val="00F40CBA"/>
    <w:rsid w:val="00F40CD9"/>
    <w:rsid w:val="00F40CE7"/>
    <w:rsid w:val="00F40F4E"/>
    <w:rsid w:val="00F40FA7"/>
    <w:rsid w:val="00F40FB3"/>
    <w:rsid w:val="00F40FF1"/>
    <w:rsid w:val="00F40FF3"/>
    <w:rsid w:val="00F4107B"/>
    <w:rsid w:val="00F411B5"/>
    <w:rsid w:val="00F411D4"/>
    <w:rsid w:val="00F413B4"/>
    <w:rsid w:val="00F413B7"/>
    <w:rsid w:val="00F41421"/>
    <w:rsid w:val="00F4143B"/>
    <w:rsid w:val="00F4154E"/>
    <w:rsid w:val="00F41650"/>
    <w:rsid w:val="00F41655"/>
    <w:rsid w:val="00F416B3"/>
    <w:rsid w:val="00F416F0"/>
    <w:rsid w:val="00F41817"/>
    <w:rsid w:val="00F4182A"/>
    <w:rsid w:val="00F41885"/>
    <w:rsid w:val="00F418AE"/>
    <w:rsid w:val="00F418F2"/>
    <w:rsid w:val="00F419AB"/>
    <w:rsid w:val="00F419BC"/>
    <w:rsid w:val="00F419F2"/>
    <w:rsid w:val="00F41A2F"/>
    <w:rsid w:val="00F41A4E"/>
    <w:rsid w:val="00F41A67"/>
    <w:rsid w:val="00F41AAD"/>
    <w:rsid w:val="00F41B55"/>
    <w:rsid w:val="00F41BDA"/>
    <w:rsid w:val="00F41C08"/>
    <w:rsid w:val="00F41C76"/>
    <w:rsid w:val="00F41C97"/>
    <w:rsid w:val="00F41E4E"/>
    <w:rsid w:val="00F41E8C"/>
    <w:rsid w:val="00F41EA3"/>
    <w:rsid w:val="00F41FC9"/>
    <w:rsid w:val="00F421D4"/>
    <w:rsid w:val="00F42304"/>
    <w:rsid w:val="00F4234A"/>
    <w:rsid w:val="00F42357"/>
    <w:rsid w:val="00F4236D"/>
    <w:rsid w:val="00F423FC"/>
    <w:rsid w:val="00F425D6"/>
    <w:rsid w:val="00F426BC"/>
    <w:rsid w:val="00F42733"/>
    <w:rsid w:val="00F42815"/>
    <w:rsid w:val="00F42877"/>
    <w:rsid w:val="00F42A20"/>
    <w:rsid w:val="00F42ADC"/>
    <w:rsid w:val="00F42ADD"/>
    <w:rsid w:val="00F42B06"/>
    <w:rsid w:val="00F42C6D"/>
    <w:rsid w:val="00F42CE1"/>
    <w:rsid w:val="00F42D0D"/>
    <w:rsid w:val="00F42D36"/>
    <w:rsid w:val="00F42D6E"/>
    <w:rsid w:val="00F42E7E"/>
    <w:rsid w:val="00F42EA2"/>
    <w:rsid w:val="00F42F6F"/>
    <w:rsid w:val="00F4301B"/>
    <w:rsid w:val="00F43161"/>
    <w:rsid w:val="00F4331F"/>
    <w:rsid w:val="00F4348D"/>
    <w:rsid w:val="00F434BD"/>
    <w:rsid w:val="00F4354F"/>
    <w:rsid w:val="00F435D3"/>
    <w:rsid w:val="00F43640"/>
    <w:rsid w:val="00F436E3"/>
    <w:rsid w:val="00F437FC"/>
    <w:rsid w:val="00F4384E"/>
    <w:rsid w:val="00F438CD"/>
    <w:rsid w:val="00F43A20"/>
    <w:rsid w:val="00F43AD0"/>
    <w:rsid w:val="00F43AFC"/>
    <w:rsid w:val="00F43BDC"/>
    <w:rsid w:val="00F43C16"/>
    <w:rsid w:val="00F43CE3"/>
    <w:rsid w:val="00F43D1C"/>
    <w:rsid w:val="00F43D68"/>
    <w:rsid w:val="00F43D73"/>
    <w:rsid w:val="00F43D9D"/>
    <w:rsid w:val="00F43DAC"/>
    <w:rsid w:val="00F43F5B"/>
    <w:rsid w:val="00F43FD1"/>
    <w:rsid w:val="00F4407E"/>
    <w:rsid w:val="00F440DA"/>
    <w:rsid w:val="00F44108"/>
    <w:rsid w:val="00F441E1"/>
    <w:rsid w:val="00F441EF"/>
    <w:rsid w:val="00F44361"/>
    <w:rsid w:val="00F44463"/>
    <w:rsid w:val="00F4480A"/>
    <w:rsid w:val="00F4482A"/>
    <w:rsid w:val="00F44888"/>
    <w:rsid w:val="00F44991"/>
    <w:rsid w:val="00F449C0"/>
    <w:rsid w:val="00F449CF"/>
    <w:rsid w:val="00F44ADB"/>
    <w:rsid w:val="00F44B21"/>
    <w:rsid w:val="00F44C85"/>
    <w:rsid w:val="00F44E3C"/>
    <w:rsid w:val="00F44E65"/>
    <w:rsid w:val="00F44ED8"/>
    <w:rsid w:val="00F44F1F"/>
    <w:rsid w:val="00F44F83"/>
    <w:rsid w:val="00F44FFB"/>
    <w:rsid w:val="00F4505F"/>
    <w:rsid w:val="00F4506C"/>
    <w:rsid w:val="00F450AD"/>
    <w:rsid w:val="00F4519E"/>
    <w:rsid w:val="00F451D9"/>
    <w:rsid w:val="00F451E5"/>
    <w:rsid w:val="00F45263"/>
    <w:rsid w:val="00F452A1"/>
    <w:rsid w:val="00F45339"/>
    <w:rsid w:val="00F453D8"/>
    <w:rsid w:val="00F453F3"/>
    <w:rsid w:val="00F4554C"/>
    <w:rsid w:val="00F4565E"/>
    <w:rsid w:val="00F45669"/>
    <w:rsid w:val="00F45818"/>
    <w:rsid w:val="00F45903"/>
    <w:rsid w:val="00F4590E"/>
    <w:rsid w:val="00F459C5"/>
    <w:rsid w:val="00F45A24"/>
    <w:rsid w:val="00F45A93"/>
    <w:rsid w:val="00F45AA4"/>
    <w:rsid w:val="00F45ABC"/>
    <w:rsid w:val="00F45B17"/>
    <w:rsid w:val="00F45B64"/>
    <w:rsid w:val="00F45C16"/>
    <w:rsid w:val="00F45D4B"/>
    <w:rsid w:val="00F45EB5"/>
    <w:rsid w:val="00F45EE2"/>
    <w:rsid w:val="00F45F06"/>
    <w:rsid w:val="00F4606F"/>
    <w:rsid w:val="00F46105"/>
    <w:rsid w:val="00F46123"/>
    <w:rsid w:val="00F4620B"/>
    <w:rsid w:val="00F4621C"/>
    <w:rsid w:val="00F46266"/>
    <w:rsid w:val="00F46273"/>
    <w:rsid w:val="00F463F2"/>
    <w:rsid w:val="00F464D8"/>
    <w:rsid w:val="00F4654F"/>
    <w:rsid w:val="00F465B1"/>
    <w:rsid w:val="00F465F5"/>
    <w:rsid w:val="00F46647"/>
    <w:rsid w:val="00F46790"/>
    <w:rsid w:val="00F467E6"/>
    <w:rsid w:val="00F4683E"/>
    <w:rsid w:val="00F46916"/>
    <w:rsid w:val="00F46982"/>
    <w:rsid w:val="00F469C6"/>
    <w:rsid w:val="00F46A42"/>
    <w:rsid w:val="00F46BBE"/>
    <w:rsid w:val="00F46C02"/>
    <w:rsid w:val="00F46C3E"/>
    <w:rsid w:val="00F46C6C"/>
    <w:rsid w:val="00F46D0E"/>
    <w:rsid w:val="00F46D78"/>
    <w:rsid w:val="00F46DA1"/>
    <w:rsid w:val="00F46DAD"/>
    <w:rsid w:val="00F46DB9"/>
    <w:rsid w:val="00F46E41"/>
    <w:rsid w:val="00F46E78"/>
    <w:rsid w:val="00F46E7D"/>
    <w:rsid w:val="00F46F28"/>
    <w:rsid w:val="00F46F4C"/>
    <w:rsid w:val="00F46F5B"/>
    <w:rsid w:val="00F470D7"/>
    <w:rsid w:val="00F470E8"/>
    <w:rsid w:val="00F471EE"/>
    <w:rsid w:val="00F47268"/>
    <w:rsid w:val="00F4736E"/>
    <w:rsid w:val="00F47372"/>
    <w:rsid w:val="00F474D2"/>
    <w:rsid w:val="00F474F1"/>
    <w:rsid w:val="00F47531"/>
    <w:rsid w:val="00F4755C"/>
    <w:rsid w:val="00F4759A"/>
    <w:rsid w:val="00F475DD"/>
    <w:rsid w:val="00F475F7"/>
    <w:rsid w:val="00F475FB"/>
    <w:rsid w:val="00F47635"/>
    <w:rsid w:val="00F4764D"/>
    <w:rsid w:val="00F4768F"/>
    <w:rsid w:val="00F4771E"/>
    <w:rsid w:val="00F4775B"/>
    <w:rsid w:val="00F47770"/>
    <w:rsid w:val="00F477BE"/>
    <w:rsid w:val="00F478B7"/>
    <w:rsid w:val="00F47932"/>
    <w:rsid w:val="00F47945"/>
    <w:rsid w:val="00F479DA"/>
    <w:rsid w:val="00F47A24"/>
    <w:rsid w:val="00F47B4B"/>
    <w:rsid w:val="00F47CC8"/>
    <w:rsid w:val="00F47D37"/>
    <w:rsid w:val="00F47E5D"/>
    <w:rsid w:val="00F50022"/>
    <w:rsid w:val="00F50045"/>
    <w:rsid w:val="00F5006F"/>
    <w:rsid w:val="00F500E8"/>
    <w:rsid w:val="00F5032D"/>
    <w:rsid w:val="00F5044F"/>
    <w:rsid w:val="00F504F4"/>
    <w:rsid w:val="00F504F8"/>
    <w:rsid w:val="00F50544"/>
    <w:rsid w:val="00F5058C"/>
    <w:rsid w:val="00F50763"/>
    <w:rsid w:val="00F50779"/>
    <w:rsid w:val="00F507CD"/>
    <w:rsid w:val="00F507FF"/>
    <w:rsid w:val="00F508EE"/>
    <w:rsid w:val="00F50A97"/>
    <w:rsid w:val="00F50ABB"/>
    <w:rsid w:val="00F50BF9"/>
    <w:rsid w:val="00F50CF1"/>
    <w:rsid w:val="00F50DD2"/>
    <w:rsid w:val="00F50F25"/>
    <w:rsid w:val="00F50F4E"/>
    <w:rsid w:val="00F50FFF"/>
    <w:rsid w:val="00F51081"/>
    <w:rsid w:val="00F51138"/>
    <w:rsid w:val="00F51330"/>
    <w:rsid w:val="00F513C5"/>
    <w:rsid w:val="00F5142E"/>
    <w:rsid w:val="00F515F5"/>
    <w:rsid w:val="00F5165C"/>
    <w:rsid w:val="00F5175D"/>
    <w:rsid w:val="00F5199E"/>
    <w:rsid w:val="00F51A15"/>
    <w:rsid w:val="00F51B20"/>
    <w:rsid w:val="00F51B53"/>
    <w:rsid w:val="00F51B78"/>
    <w:rsid w:val="00F51BD4"/>
    <w:rsid w:val="00F51C42"/>
    <w:rsid w:val="00F51C7C"/>
    <w:rsid w:val="00F51CD5"/>
    <w:rsid w:val="00F51D3B"/>
    <w:rsid w:val="00F51DC0"/>
    <w:rsid w:val="00F51DFC"/>
    <w:rsid w:val="00F51E6C"/>
    <w:rsid w:val="00F51EA4"/>
    <w:rsid w:val="00F51F04"/>
    <w:rsid w:val="00F51F90"/>
    <w:rsid w:val="00F52042"/>
    <w:rsid w:val="00F5207D"/>
    <w:rsid w:val="00F520CE"/>
    <w:rsid w:val="00F52108"/>
    <w:rsid w:val="00F5212C"/>
    <w:rsid w:val="00F5214A"/>
    <w:rsid w:val="00F52159"/>
    <w:rsid w:val="00F52173"/>
    <w:rsid w:val="00F521DB"/>
    <w:rsid w:val="00F522B4"/>
    <w:rsid w:val="00F522C9"/>
    <w:rsid w:val="00F522E2"/>
    <w:rsid w:val="00F522F2"/>
    <w:rsid w:val="00F523C3"/>
    <w:rsid w:val="00F523CE"/>
    <w:rsid w:val="00F523D2"/>
    <w:rsid w:val="00F5247B"/>
    <w:rsid w:val="00F52549"/>
    <w:rsid w:val="00F52605"/>
    <w:rsid w:val="00F526A9"/>
    <w:rsid w:val="00F52858"/>
    <w:rsid w:val="00F528FD"/>
    <w:rsid w:val="00F529B0"/>
    <w:rsid w:val="00F52A4B"/>
    <w:rsid w:val="00F52A69"/>
    <w:rsid w:val="00F52C42"/>
    <w:rsid w:val="00F52CAF"/>
    <w:rsid w:val="00F52CFD"/>
    <w:rsid w:val="00F52DEC"/>
    <w:rsid w:val="00F52E2C"/>
    <w:rsid w:val="00F52E7A"/>
    <w:rsid w:val="00F52EBF"/>
    <w:rsid w:val="00F52F4F"/>
    <w:rsid w:val="00F52FC2"/>
    <w:rsid w:val="00F53024"/>
    <w:rsid w:val="00F5303D"/>
    <w:rsid w:val="00F53049"/>
    <w:rsid w:val="00F5306B"/>
    <w:rsid w:val="00F530D8"/>
    <w:rsid w:val="00F5315A"/>
    <w:rsid w:val="00F5315C"/>
    <w:rsid w:val="00F531B7"/>
    <w:rsid w:val="00F531C5"/>
    <w:rsid w:val="00F531FF"/>
    <w:rsid w:val="00F5321A"/>
    <w:rsid w:val="00F53285"/>
    <w:rsid w:val="00F534D2"/>
    <w:rsid w:val="00F534E3"/>
    <w:rsid w:val="00F5354B"/>
    <w:rsid w:val="00F53586"/>
    <w:rsid w:val="00F5367C"/>
    <w:rsid w:val="00F536EE"/>
    <w:rsid w:val="00F53787"/>
    <w:rsid w:val="00F53794"/>
    <w:rsid w:val="00F53840"/>
    <w:rsid w:val="00F5387D"/>
    <w:rsid w:val="00F53929"/>
    <w:rsid w:val="00F53947"/>
    <w:rsid w:val="00F53A19"/>
    <w:rsid w:val="00F53A21"/>
    <w:rsid w:val="00F53C24"/>
    <w:rsid w:val="00F53D6D"/>
    <w:rsid w:val="00F53DCE"/>
    <w:rsid w:val="00F53ED2"/>
    <w:rsid w:val="00F53F5E"/>
    <w:rsid w:val="00F53FC4"/>
    <w:rsid w:val="00F5425B"/>
    <w:rsid w:val="00F54305"/>
    <w:rsid w:val="00F54353"/>
    <w:rsid w:val="00F5438E"/>
    <w:rsid w:val="00F543B7"/>
    <w:rsid w:val="00F54402"/>
    <w:rsid w:val="00F5459D"/>
    <w:rsid w:val="00F54761"/>
    <w:rsid w:val="00F5476D"/>
    <w:rsid w:val="00F547D2"/>
    <w:rsid w:val="00F54947"/>
    <w:rsid w:val="00F54A1E"/>
    <w:rsid w:val="00F54A5A"/>
    <w:rsid w:val="00F54A5D"/>
    <w:rsid w:val="00F54AB4"/>
    <w:rsid w:val="00F54ABA"/>
    <w:rsid w:val="00F54AF4"/>
    <w:rsid w:val="00F54B64"/>
    <w:rsid w:val="00F54B9B"/>
    <w:rsid w:val="00F54BBE"/>
    <w:rsid w:val="00F54BE1"/>
    <w:rsid w:val="00F54C33"/>
    <w:rsid w:val="00F54C48"/>
    <w:rsid w:val="00F54CC8"/>
    <w:rsid w:val="00F54CEC"/>
    <w:rsid w:val="00F54DB6"/>
    <w:rsid w:val="00F54E66"/>
    <w:rsid w:val="00F54EA3"/>
    <w:rsid w:val="00F54ED8"/>
    <w:rsid w:val="00F54EFD"/>
    <w:rsid w:val="00F55064"/>
    <w:rsid w:val="00F55117"/>
    <w:rsid w:val="00F55288"/>
    <w:rsid w:val="00F552C5"/>
    <w:rsid w:val="00F552DA"/>
    <w:rsid w:val="00F553B1"/>
    <w:rsid w:val="00F553C8"/>
    <w:rsid w:val="00F553F7"/>
    <w:rsid w:val="00F5550E"/>
    <w:rsid w:val="00F555B7"/>
    <w:rsid w:val="00F55613"/>
    <w:rsid w:val="00F5565B"/>
    <w:rsid w:val="00F556FE"/>
    <w:rsid w:val="00F55701"/>
    <w:rsid w:val="00F55737"/>
    <w:rsid w:val="00F55831"/>
    <w:rsid w:val="00F5586F"/>
    <w:rsid w:val="00F558D9"/>
    <w:rsid w:val="00F55906"/>
    <w:rsid w:val="00F5598F"/>
    <w:rsid w:val="00F55990"/>
    <w:rsid w:val="00F559DD"/>
    <w:rsid w:val="00F55AB1"/>
    <w:rsid w:val="00F55C50"/>
    <w:rsid w:val="00F55D34"/>
    <w:rsid w:val="00F55D55"/>
    <w:rsid w:val="00F55DD6"/>
    <w:rsid w:val="00F55DF0"/>
    <w:rsid w:val="00F55E91"/>
    <w:rsid w:val="00F55FCF"/>
    <w:rsid w:val="00F5600D"/>
    <w:rsid w:val="00F560E6"/>
    <w:rsid w:val="00F560F2"/>
    <w:rsid w:val="00F56110"/>
    <w:rsid w:val="00F561E6"/>
    <w:rsid w:val="00F561F4"/>
    <w:rsid w:val="00F5623A"/>
    <w:rsid w:val="00F562D6"/>
    <w:rsid w:val="00F5638C"/>
    <w:rsid w:val="00F563A4"/>
    <w:rsid w:val="00F5647B"/>
    <w:rsid w:val="00F56595"/>
    <w:rsid w:val="00F566FE"/>
    <w:rsid w:val="00F5677C"/>
    <w:rsid w:val="00F567EF"/>
    <w:rsid w:val="00F5683A"/>
    <w:rsid w:val="00F5685D"/>
    <w:rsid w:val="00F56877"/>
    <w:rsid w:val="00F568FC"/>
    <w:rsid w:val="00F56983"/>
    <w:rsid w:val="00F569B6"/>
    <w:rsid w:val="00F56A7F"/>
    <w:rsid w:val="00F56AC6"/>
    <w:rsid w:val="00F56B12"/>
    <w:rsid w:val="00F56BB6"/>
    <w:rsid w:val="00F56CBD"/>
    <w:rsid w:val="00F56DEA"/>
    <w:rsid w:val="00F56E34"/>
    <w:rsid w:val="00F56EBA"/>
    <w:rsid w:val="00F56EF1"/>
    <w:rsid w:val="00F56FAA"/>
    <w:rsid w:val="00F5708F"/>
    <w:rsid w:val="00F5721F"/>
    <w:rsid w:val="00F57223"/>
    <w:rsid w:val="00F5724A"/>
    <w:rsid w:val="00F5746E"/>
    <w:rsid w:val="00F57476"/>
    <w:rsid w:val="00F57497"/>
    <w:rsid w:val="00F574EF"/>
    <w:rsid w:val="00F575B5"/>
    <w:rsid w:val="00F575D9"/>
    <w:rsid w:val="00F57699"/>
    <w:rsid w:val="00F576A0"/>
    <w:rsid w:val="00F577D9"/>
    <w:rsid w:val="00F577E7"/>
    <w:rsid w:val="00F577F0"/>
    <w:rsid w:val="00F57835"/>
    <w:rsid w:val="00F578DE"/>
    <w:rsid w:val="00F578FC"/>
    <w:rsid w:val="00F579DB"/>
    <w:rsid w:val="00F57A01"/>
    <w:rsid w:val="00F57A0E"/>
    <w:rsid w:val="00F57A8E"/>
    <w:rsid w:val="00F57AD1"/>
    <w:rsid w:val="00F57B14"/>
    <w:rsid w:val="00F57B1B"/>
    <w:rsid w:val="00F57B47"/>
    <w:rsid w:val="00F57B54"/>
    <w:rsid w:val="00F57BCA"/>
    <w:rsid w:val="00F57C34"/>
    <w:rsid w:val="00F57C39"/>
    <w:rsid w:val="00F57F54"/>
    <w:rsid w:val="00F6001A"/>
    <w:rsid w:val="00F60108"/>
    <w:rsid w:val="00F602C4"/>
    <w:rsid w:val="00F60336"/>
    <w:rsid w:val="00F60447"/>
    <w:rsid w:val="00F6044C"/>
    <w:rsid w:val="00F605AC"/>
    <w:rsid w:val="00F60976"/>
    <w:rsid w:val="00F60A25"/>
    <w:rsid w:val="00F60A35"/>
    <w:rsid w:val="00F60B31"/>
    <w:rsid w:val="00F60BA5"/>
    <w:rsid w:val="00F60BEA"/>
    <w:rsid w:val="00F60C16"/>
    <w:rsid w:val="00F60C80"/>
    <w:rsid w:val="00F60D01"/>
    <w:rsid w:val="00F60D0F"/>
    <w:rsid w:val="00F60D3D"/>
    <w:rsid w:val="00F60DED"/>
    <w:rsid w:val="00F60E00"/>
    <w:rsid w:val="00F60EB4"/>
    <w:rsid w:val="00F60FF1"/>
    <w:rsid w:val="00F61004"/>
    <w:rsid w:val="00F61017"/>
    <w:rsid w:val="00F610D1"/>
    <w:rsid w:val="00F6113A"/>
    <w:rsid w:val="00F61147"/>
    <w:rsid w:val="00F611E7"/>
    <w:rsid w:val="00F612D2"/>
    <w:rsid w:val="00F6134A"/>
    <w:rsid w:val="00F6137E"/>
    <w:rsid w:val="00F613DE"/>
    <w:rsid w:val="00F61422"/>
    <w:rsid w:val="00F61427"/>
    <w:rsid w:val="00F61455"/>
    <w:rsid w:val="00F614E0"/>
    <w:rsid w:val="00F61541"/>
    <w:rsid w:val="00F61549"/>
    <w:rsid w:val="00F61564"/>
    <w:rsid w:val="00F61629"/>
    <w:rsid w:val="00F61778"/>
    <w:rsid w:val="00F61871"/>
    <w:rsid w:val="00F61953"/>
    <w:rsid w:val="00F61AC2"/>
    <w:rsid w:val="00F61B31"/>
    <w:rsid w:val="00F61B6A"/>
    <w:rsid w:val="00F61B88"/>
    <w:rsid w:val="00F61C36"/>
    <w:rsid w:val="00F61C52"/>
    <w:rsid w:val="00F61C5D"/>
    <w:rsid w:val="00F61C71"/>
    <w:rsid w:val="00F61CCA"/>
    <w:rsid w:val="00F61D5D"/>
    <w:rsid w:val="00F61D5E"/>
    <w:rsid w:val="00F61DA4"/>
    <w:rsid w:val="00F61DE2"/>
    <w:rsid w:val="00F61EFE"/>
    <w:rsid w:val="00F6205F"/>
    <w:rsid w:val="00F620DF"/>
    <w:rsid w:val="00F621F3"/>
    <w:rsid w:val="00F62274"/>
    <w:rsid w:val="00F622AB"/>
    <w:rsid w:val="00F62364"/>
    <w:rsid w:val="00F623F3"/>
    <w:rsid w:val="00F6242E"/>
    <w:rsid w:val="00F62612"/>
    <w:rsid w:val="00F626F0"/>
    <w:rsid w:val="00F627B7"/>
    <w:rsid w:val="00F62886"/>
    <w:rsid w:val="00F628BD"/>
    <w:rsid w:val="00F62948"/>
    <w:rsid w:val="00F62AFF"/>
    <w:rsid w:val="00F62B9F"/>
    <w:rsid w:val="00F62C74"/>
    <w:rsid w:val="00F62DD7"/>
    <w:rsid w:val="00F62E01"/>
    <w:rsid w:val="00F62E3B"/>
    <w:rsid w:val="00F62FF4"/>
    <w:rsid w:val="00F631B9"/>
    <w:rsid w:val="00F631FB"/>
    <w:rsid w:val="00F63246"/>
    <w:rsid w:val="00F63299"/>
    <w:rsid w:val="00F632C2"/>
    <w:rsid w:val="00F632D5"/>
    <w:rsid w:val="00F63380"/>
    <w:rsid w:val="00F633A0"/>
    <w:rsid w:val="00F633D7"/>
    <w:rsid w:val="00F633E4"/>
    <w:rsid w:val="00F63491"/>
    <w:rsid w:val="00F634C9"/>
    <w:rsid w:val="00F63626"/>
    <w:rsid w:val="00F63683"/>
    <w:rsid w:val="00F636CC"/>
    <w:rsid w:val="00F63750"/>
    <w:rsid w:val="00F6379D"/>
    <w:rsid w:val="00F637A9"/>
    <w:rsid w:val="00F63A02"/>
    <w:rsid w:val="00F63AEF"/>
    <w:rsid w:val="00F63B7A"/>
    <w:rsid w:val="00F63C07"/>
    <w:rsid w:val="00F63C32"/>
    <w:rsid w:val="00F63C8B"/>
    <w:rsid w:val="00F63CB2"/>
    <w:rsid w:val="00F63CF1"/>
    <w:rsid w:val="00F63D03"/>
    <w:rsid w:val="00F63D1E"/>
    <w:rsid w:val="00F63D2E"/>
    <w:rsid w:val="00F63DCF"/>
    <w:rsid w:val="00F63E1D"/>
    <w:rsid w:val="00F63F37"/>
    <w:rsid w:val="00F63FEE"/>
    <w:rsid w:val="00F63FF6"/>
    <w:rsid w:val="00F6407C"/>
    <w:rsid w:val="00F640A0"/>
    <w:rsid w:val="00F640F4"/>
    <w:rsid w:val="00F64103"/>
    <w:rsid w:val="00F6415A"/>
    <w:rsid w:val="00F64223"/>
    <w:rsid w:val="00F6426C"/>
    <w:rsid w:val="00F642D7"/>
    <w:rsid w:val="00F642D8"/>
    <w:rsid w:val="00F642FF"/>
    <w:rsid w:val="00F6432F"/>
    <w:rsid w:val="00F64333"/>
    <w:rsid w:val="00F64345"/>
    <w:rsid w:val="00F644F8"/>
    <w:rsid w:val="00F6455D"/>
    <w:rsid w:val="00F64577"/>
    <w:rsid w:val="00F6461C"/>
    <w:rsid w:val="00F6464D"/>
    <w:rsid w:val="00F646EA"/>
    <w:rsid w:val="00F6470E"/>
    <w:rsid w:val="00F64710"/>
    <w:rsid w:val="00F647CE"/>
    <w:rsid w:val="00F64855"/>
    <w:rsid w:val="00F6493C"/>
    <w:rsid w:val="00F64941"/>
    <w:rsid w:val="00F6496C"/>
    <w:rsid w:val="00F6499B"/>
    <w:rsid w:val="00F64A55"/>
    <w:rsid w:val="00F64A5A"/>
    <w:rsid w:val="00F64A63"/>
    <w:rsid w:val="00F64EAD"/>
    <w:rsid w:val="00F64F24"/>
    <w:rsid w:val="00F64F60"/>
    <w:rsid w:val="00F64FE3"/>
    <w:rsid w:val="00F65012"/>
    <w:rsid w:val="00F65030"/>
    <w:rsid w:val="00F65060"/>
    <w:rsid w:val="00F650F0"/>
    <w:rsid w:val="00F651FC"/>
    <w:rsid w:val="00F6522A"/>
    <w:rsid w:val="00F6522B"/>
    <w:rsid w:val="00F65242"/>
    <w:rsid w:val="00F652BA"/>
    <w:rsid w:val="00F652D0"/>
    <w:rsid w:val="00F65340"/>
    <w:rsid w:val="00F6541E"/>
    <w:rsid w:val="00F6545C"/>
    <w:rsid w:val="00F654B7"/>
    <w:rsid w:val="00F65514"/>
    <w:rsid w:val="00F65584"/>
    <w:rsid w:val="00F65596"/>
    <w:rsid w:val="00F655C2"/>
    <w:rsid w:val="00F655FB"/>
    <w:rsid w:val="00F65602"/>
    <w:rsid w:val="00F6565E"/>
    <w:rsid w:val="00F656A4"/>
    <w:rsid w:val="00F656AC"/>
    <w:rsid w:val="00F6570F"/>
    <w:rsid w:val="00F65765"/>
    <w:rsid w:val="00F6578A"/>
    <w:rsid w:val="00F657D6"/>
    <w:rsid w:val="00F657F2"/>
    <w:rsid w:val="00F6584D"/>
    <w:rsid w:val="00F658A3"/>
    <w:rsid w:val="00F658AA"/>
    <w:rsid w:val="00F65A5B"/>
    <w:rsid w:val="00F65A7B"/>
    <w:rsid w:val="00F65AAD"/>
    <w:rsid w:val="00F65B93"/>
    <w:rsid w:val="00F65C67"/>
    <w:rsid w:val="00F65D1E"/>
    <w:rsid w:val="00F65D64"/>
    <w:rsid w:val="00F65E3D"/>
    <w:rsid w:val="00F65F13"/>
    <w:rsid w:val="00F65F54"/>
    <w:rsid w:val="00F66084"/>
    <w:rsid w:val="00F66125"/>
    <w:rsid w:val="00F6614E"/>
    <w:rsid w:val="00F66184"/>
    <w:rsid w:val="00F6618C"/>
    <w:rsid w:val="00F6619F"/>
    <w:rsid w:val="00F6627D"/>
    <w:rsid w:val="00F66291"/>
    <w:rsid w:val="00F662B3"/>
    <w:rsid w:val="00F662B6"/>
    <w:rsid w:val="00F662ED"/>
    <w:rsid w:val="00F66343"/>
    <w:rsid w:val="00F66354"/>
    <w:rsid w:val="00F663D4"/>
    <w:rsid w:val="00F664FB"/>
    <w:rsid w:val="00F665B1"/>
    <w:rsid w:val="00F665C2"/>
    <w:rsid w:val="00F66634"/>
    <w:rsid w:val="00F66645"/>
    <w:rsid w:val="00F6668F"/>
    <w:rsid w:val="00F666C2"/>
    <w:rsid w:val="00F6672B"/>
    <w:rsid w:val="00F6680A"/>
    <w:rsid w:val="00F668FA"/>
    <w:rsid w:val="00F6697C"/>
    <w:rsid w:val="00F669CB"/>
    <w:rsid w:val="00F669CD"/>
    <w:rsid w:val="00F66CAB"/>
    <w:rsid w:val="00F66D1B"/>
    <w:rsid w:val="00F66DEE"/>
    <w:rsid w:val="00F66E10"/>
    <w:rsid w:val="00F66ED3"/>
    <w:rsid w:val="00F66F25"/>
    <w:rsid w:val="00F66FB3"/>
    <w:rsid w:val="00F670A2"/>
    <w:rsid w:val="00F670A3"/>
    <w:rsid w:val="00F67181"/>
    <w:rsid w:val="00F671D0"/>
    <w:rsid w:val="00F67381"/>
    <w:rsid w:val="00F673C9"/>
    <w:rsid w:val="00F67464"/>
    <w:rsid w:val="00F67494"/>
    <w:rsid w:val="00F674D2"/>
    <w:rsid w:val="00F674FE"/>
    <w:rsid w:val="00F67530"/>
    <w:rsid w:val="00F6753A"/>
    <w:rsid w:val="00F67585"/>
    <w:rsid w:val="00F676DC"/>
    <w:rsid w:val="00F67731"/>
    <w:rsid w:val="00F6776F"/>
    <w:rsid w:val="00F678C8"/>
    <w:rsid w:val="00F678D1"/>
    <w:rsid w:val="00F678D3"/>
    <w:rsid w:val="00F67992"/>
    <w:rsid w:val="00F67A07"/>
    <w:rsid w:val="00F67AA8"/>
    <w:rsid w:val="00F67B4E"/>
    <w:rsid w:val="00F67C22"/>
    <w:rsid w:val="00F67C27"/>
    <w:rsid w:val="00F67D07"/>
    <w:rsid w:val="00F67E2D"/>
    <w:rsid w:val="00F67EC4"/>
    <w:rsid w:val="00F67FA0"/>
    <w:rsid w:val="00F701A6"/>
    <w:rsid w:val="00F70204"/>
    <w:rsid w:val="00F70239"/>
    <w:rsid w:val="00F702BD"/>
    <w:rsid w:val="00F70340"/>
    <w:rsid w:val="00F70525"/>
    <w:rsid w:val="00F70561"/>
    <w:rsid w:val="00F70624"/>
    <w:rsid w:val="00F7070D"/>
    <w:rsid w:val="00F70933"/>
    <w:rsid w:val="00F70ACB"/>
    <w:rsid w:val="00F70AF4"/>
    <w:rsid w:val="00F70B09"/>
    <w:rsid w:val="00F70B79"/>
    <w:rsid w:val="00F70C09"/>
    <w:rsid w:val="00F70CC2"/>
    <w:rsid w:val="00F70D3E"/>
    <w:rsid w:val="00F70E40"/>
    <w:rsid w:val="00F70E5D"/>
    <w:rsid w:val="00F70EBB"/>
    <w:rsid w:val="00F71121"/>
    <w:rsid w:val="00F71197"/>
    <w:rsid w:val="00F711B5"/>
    <w:rsid w:val="00F711CA"/>
    <w:rsid w:val="00F711FE"/>
    <w:rsid w:val="00F7127E"/>
    <w:rsid w:val="00F712C6"/>
    <w:rsid w:val="00F713BE"/>
    <w:rsid w:val="00F71411"/>
    <w:rsid w:val="00F71494"/>
    <w:rsid w:val="00F714DB"/>
    <w:rsid w:val="00F714EB"/>
    <w:rsid w:val="00F7154A"/>
    <w:rsid w:val="00F71753"/>
    <w:rsid w:val="00F717D1"/>
    <w:rsid w:val="00F71884"/>
    <w:rsid w:val="00F7189B"/>
    <w:rsid w:val="00F71A47"/>
    <w:rsid w:val="00F71B29"/>
    <w:rsid w:val="00F71BD3"/>
    <w:rsid w:val="00F71C1D"/>
    <w:rsid w:val="00F71D26"/>
    <w:rsid w:val="00F71DCB"/>
    <w:rsid w:val="00F71E6F"/>
    <w:rsid w:val="00F71F29"/>
    <w:rsid w:val="00F71F2E"/>
    <w:rsid w:val="00F71F93"/>
    <w:rsid w:val="00F72086"/>
    <w:rsid w:val="00F720AE"/>
    <w:rsid w:val="00F7214A"/>
    <w:rsid w:val="00F721A5"/>
    <w:rsid w:val="00F72290"/>
    <w:rsid w:val="00F722C0"/>
    <w:rsid w:val="00F7237F"/>
    <w:rsid w:val="00F7239F"/>
    <w:rsid w:val="00F723C8"/>
    <w:rsid w:val="00F723F8"/>
    <w:rsid w:val="00F72408"/>
    <w:rsid w:val="00F7244B"/>
    <w:rsid w:val="00F72467"/>
    <w:rsid w:val="00F72517"/>
    <w:rsid w:val="00F7259F"/>
    <w:rsid w:val="00F727BC"/>
    <w:rsid w:val="00F72810"/>
    <w:rsid w:val="00F72AEE"/>
    <w:rsid w:val="00F72B91"/>
    <w:rsid w:val="00F72B9B"/>
    <w:rsid w:val="00F72BDF"/>
    <w:rsid w:val="00F72BF5"/>
    <w:rsid w:val="00F72C09"/>
    <w:rsid w:val="00F72C60"/>
    <w:rsid w:val="00F72CF8"/>
    <w:rsid w:val="00F72D38"/>
    <w:rsid w:val="00F72D44"/>
    <w:rsid w:val="00F72D6E"/>
    <w:rsid w:val="00F72E48"/>
    <w:rsid w:val="00F72E93"/>
    <w:rsid w:val="00F72EA4"/>
    <w:rsid w:val="00F72F53"/>
    <w:rsid w:val="00F72FF5"/>
    <w:rsid w:val="00F7307D"/>
    <w:rsid w:val="00F7309D"/>
    <w:rsid w:val="00F730A3"/>
    <w:rsid w:val="00F731A5"/>
    <w:rsid w:val="00F731CC"/>
    <w:rsid w:val="00F731CF"/>
    <w:rsid w:val="00F7320C"/>
    <w:rsid w:val="00F7321D"/>
    <w:rsid w:val="00F73635"/>
    <w:rsid w:val="00F73724"/>
    <w:rsid w:val="00F73775"/>
    <w:rsid w:val="00F73870"/>
    <w:rsid w:val="00F73871"/>
    <w:rsid w:val="00F738D2"/>
    <w:rsid w:val="00F73926"/>
    <w:rsid w:val="00F739F5"/>
    <w:rsid w:val="00F73A30"/>
    <w:rsid w:val="00F73A43"/>
    <w:rsid w:val="00F73A6B"/>
    <w:rsid w:val="00F73B84"/>
    <w:rsid w:val="00F73BBE"/>
    <w:rsid w:val="00F73BD6"/>
    <w:rsid w:val="00F73C7D"/>
    <w:rsid w:val="00F73CB9"/>
    <w:rsid w:val="00F73D10"/>
    <w:rsid w:val="00F73D16"/>
    <w:rsid w:val="00F73D35"/>
    <w:rsid w:val="00F73E3F"/>
    <w:rsid w:val="00F73ED0"/>
    <w:rsid w:val="00F73F2D"/>
    <w:rsid w:val="00F7401F"/>
    <w:rsid w:val="00F74135"/>
    <w:rsid w:val="00F74178"/>
    <w:rsid w:val="00F7419B"/>
    <w:rsid w:val="00F741B2"/>
    <w:rsid w:val="00F741E2"/>
    <w:rsid w:val="00F7425A"/>
    <w:rsid w:val="00F7434E"/>
    <w:rsid w:val="00F74398"/>
    <w:rsid w:val="00F743D1"/>
    <w:rsid w:val="00F74492"/>
    <w:rsid w:val="00F74563"/>
    <w:rsid w:val="00F745F8"/>
    <w:rsid w:val="00F746A9"/>
    <w:rsid w:val="00F746E1"/>
    <w:rsid w:val="00F74719"/>
    <w:rsid w:val="00F74729"/>
    <w:rsid w:val="00F747BE"/>
    <w:rsid w:val="00F7482A"/>
    <w:rsid w:val="00F74831"/>
    <w:rsid w:val="00F74878"/>
    <w:rsid w:val="00F748C0"/>
    <w:rsid w:val="00F74947"/>
    <w:rsid w:val="00F749B7"/>
    <w:rsid w:val="00F74A3C"/>
    <w:rsid w:val="00F74A9F"/>
    <w:rsid w:val="00F74B22"/>
    <w:rsid w:val="00F74B30"/>
    <w:rsid w:val="00F74D40"/>
    <w:rsid w:val="00F74E14"/>
    <w:rsid w:val="00F751D1"/>
    <w:rsid w:val="00F752CD"/>
    <w:rsid w:val="00F752D9"/>
    <w:rsid w:val="00F7548A"/>
    <w:rsid w:val="00F75539"/>
    <w:rsid w:val="00F7560D"/>
    <w:rsid w:val="00F7563C"/>
    <w:rsid w:val="00F756CC"/>
    <w:rsid w:val="00F75731"/>
    <w:rsid w:val="00F75824"/>
    <w:rsid w:val="00F75972"/>
    <w:rsid w:val="00F75A3E"/>
    <w:rsid w:val="00F75A99"/>
    <w:rsid w:val="00F75B79"/>
    <w:rsid w:val="00F75BD3"/>
    <w:rsid w:val="00F75C19"/>
    <w:rsid w:val="00F75C2C"/>
    <w:rsid w:val="00F75C43"/>
    <w:rsid w:val="00F75C93"/>
    <w:rsid w:val="00F75D2F"/>
    <w:rsid w:val="00F75D5A"/>
    <w:rsid w:val="00F75E47"/>
    <w:rsid w:val="00F75EAA"/>
    <w:rsid w:val="00F75FB4"/>
    <w:rsid w:val="00F7607C"/>
    <w:rsid w:val="00F76145"/>
    <w:rsid w:val="00F76154"/>
    <w:rsid w:val="00F7616A"/>
    <w:rsid w:val="00F761F2"/>
    <w:rsid w:val="00F762A6"/>
    <w:rsid w:val="00F76331"/>
    <w:rsid w:val="00F7634A"/>
    <w:rsid w:val="00F763B4"/>
    <w:rsid w:val="00F765C8"/>
    <w:rsid w:val="00F7660F"/>
    <w:rsid w:val="00F76621"/>
    <w:rsid w:val="00F7670A"/>
    <w:rsid w:val="00F76749"/>
    <w:rsid w:val="00F769E9"/>
    <w:rsid w:val="00F76A77"/>
    <w:rsid w:val="00F76ADE"/>
    <w:rsid w:val="00F76C04"/>
    <w:rsid w:val="00F76C49"/>
    <w:rsid w:val="00F76C51"/>
    <w:rsid w:val="00F76D1F"/>
    <w:rsid w:val="00F76DAA"/>
    <w:rsid w:val="00F76DD6"/>
    <w:rsid w:val="00F76F43"/>
    <w:rsid w:val="00F76F91"/>
    <w:rsid w:val="00F770B2"/>
    <w:rsid w:val="00F771E0"/>
    <w:rsid w:val="00F77214"/>
    <w:rsid w:val="00F77257"/>
    <w:rsid w:val="00F77315"/>
    <w:rsid w:val="00F773DB"/>
    <w:rsid w:val="00F773EA"/>
    <w:rsid w:val="00F7742F"/>
    <w:rsid w:val="00F774C3"/>
    <w:rsid w:val="00F77507"/>
    <w:rsid w:val="00F77559"/>
    <w:rsid w:val="00F77617"/>
    <w:rsid w:val="00F776B3"/>
    <w:rsid w:val="00F777E9"/>
    <w:rsid w:val="00F7785E"/>
    <w:rsid w:val="00F77917"/>
    <w:rsid w:val="00F77939"/>
    <w:rsid w:val="00F77989"/>
    <w:rsid w:val="00F77AB7"/>
    <w:rsid w:val="00F77ADF"/>
    <w:rsid w:val="00F77C2B"/>
    <w:rsid w:val="00F77C88"/>
    <w:rsid w:val="00F77CB6"/>
    <w:rsid w:val="00F77D60"/>
    <w:rsid w:val="00F77E18"/>
    <w:rsid w:val="00F77F3F"/>
    <w:rsid w:val="00F800EE"/>
    <w:rsid w:val="00F80130"/>
    <w:rsid w:val="00F80138"/>
    <w:rsid w:val="00F80429"/>
    <w:rsid w:val="00F80516"/>
    <w:rsid w:val="00F80566"/>
    <w:rsid w:val="00F805F4"/>
    <w:rsid w:val="00F805FC"/>
    <w:rsid w:val="00F80664"/>
    <w:rsid w:val="00F8066E"/>
    <w:rsid w:val="00F80720"/>
    <w:rsid w:val="00F807FC"/>
    <w:rsid w:val="00F80862"/>
    <w:rsid w:val="00F808E3"/>
    <w:rsid w:val="00F808F1"/>
    <w:rsid w:val="00F80992"/>
    <w:rsid w:val="00F809B7"/>
    <w:rsid w:val="00F809EC"/>
    <w:rsid w:val="00F80A00"/>
    <w:rsid w:val="00F80A08"/>
    <w:rsid w:val="00F80A14"/>
    <w:rsid w:val="00F80AFD"/>
    <w:rsid w:val="00F80B26"/>
    <w:rsid w:val="00F80C5B"/>
    <w:rsid w:val="00F80D47"/>
    <w:rsid w:val="00F80D64"/>
    <w:rsid w:val="00F80F07"/>
    <w:rsid w:val="00F80F12"/>
    <w:rsid w:val="00F80F75"/>
    <w:rsid w:val="00F80FBA"/>
    <w:rsid w:val="00F80FCC"/>
    <w:rsid w:val="00F8107A"/>
    <w:rsid w:val="00F810D2"/>
    <w:rsid w:val="00F81100"/>
    <w:rsid w:val="00F8113E"/>
    <w:rsid w:val="00F8120A"/>
    <w:rsid w:val="00F81266"/>
    <w:rsid w:val="00F812A1"/>
    <w:rsid w:val="00F81341"/>
    <w:rsid w:val="00F814EC"/>
    <w:rsid w:val="00F814F4"/>
    <w:rsid w:val="00F8151B"/>
    <w:rsid w:val="00F81547"/>
    <w:rsid w:val="00F8169C"/>
    <w:rsid w:val="00F816DA"/>
    <w:rsid w:val="00F816E7"/>
    <w:rsid w:val="00F81735"/>
    <w:rsid w:val="00F8175F"/>
    <w:rsid w:val="00F817BF"/>
    <w:rsid w:val="00F8183B"/>
    <w:rsid w:val="00F818B1"/>
    <w:rsid w:val="00F818E1"/>
    <w:rsid w:val="00F819CC"/>
    <w:rsid w:val="00F81A4A"/>
    <w:rsid w:val="00F81A4C"/>
    <w:rsid w:val="00F81A6F"/>
    <w:rsid w:val="00F81AA2"/>
    <w:rsid w:val="00F81B46"/>
    <w:rsid w:val="00F81B81"/>
    <w:rsid w:val="00F81B8B"/>
    <w:rsid w:val="00F81B92"/>
    <w:rsid w:val="00F81C7D"/>
    <w:rsid w:val="00F81C8D"/>
    <w:rsid w:val="00F81CD5"/>
    <w:rsid w:val="00F81E01"/>
    <w:rsid w:val="00F81E08"/>
    <w:rsid w:val="00F81E13"/>
    <w:rsid w:val="00F81E8E"/>
    <w:rsid w:val="00F81EB0"/>
    <w:rsid w:val="00F81FD4"/>
    <w:rsid w:val="00F8200E"/>
    <w:rsid w:val="00F820EC"/>
    <w:rsid w:val="00F8222F"/>
    <w:rsid w:val="00F8228F"/>
    <w:rsid w:val="00F82594"/>
    <w:rsid w:val="00F8264D"/>
    <w:rsid w:val="00F826D4"/>
    <w:rsid w:val="00F828F0"/>
    <w:rsid w:val="00F82A87"/>
    <w:rsid w:val="00F82AE2"/>
    <w:rsid w:val="00F82C5D"/>
    <w:rsid w:val="00F82CB3"/>
    <w:rsid w:val="00F82CEC"/>
    <w:rsid w:val="00F82D50"/>
    <w:rsid w:val="00F82D8B"/>
    <w:rsid w:val="00F82DB5"/>
    <w:rsid w:val="00F82E57"/>
    <w:rsid w:val="00F82EEA"/>
    <w:rsid w:val="00F82F38"/>
    <w:rsid w:val="00F82F3B"/>
    <w:rsid w:val="00F830B3"/>
    <w:rsid w:val="00F830D7"/>
    <w:rsid w:val="00F830EF"/>
    <w:rsid w:val="00F8314C"/>
    <w:rsid w:val="00F831B3"/>
    <w:rsid w:val="00F832B0"/>
    <w:rsid w:val="00F833FA"/>
    <w:rsid w:val="00F83424"/>
    <w:rsid w:val="00F83586"/>
    <w:rsid w:val="00F835FF"/>
    <w:rsid w:val="00F83693"/>
    <w:rsid w:val="00F839A9"/>
    <w:rsid w:val="00F83B0D"/>
    <w:rsid w:val="00F83B60"/>
    <w:rsid w:val="00F83B65"/>
    <w:rsid w:val="00F83B92"/>
    <w:rsid w:val="00F83BC8"/>
    <w:rsid w:val="00F83C91"/>
    <w:rsid w:val="00F83C9A"/>
    <w:rsid w:val="00F83CB3"/>
    <w:rsid w:val="00F83CD1"/>
    <w:rsid w:val="00F83CFD"/>
    <w:rsid w:val="00F83D0C"/>
    <w:rsid w:val="00F83DEC"/>
    <w:rsid w:val="00F83DFF"/>
    <w:rsid w:val="00F83EF7"/>
    <w:rsid w:val="00F83F57"/>
    <w:rsid w:val="00F83F77"/>
    <w:rsid w:val="00F83F93"/>
    <w:rsid w:val="00F83FB2"/>
    <w:rsid w:val="00F8404A"/>
    <w:rsid w:val="00F840D1"/>
    <w:rsid w:val="00F84129"/>
    <w:rsid w:val="00F8416D"/>
    <w:rsid w:val="00F84204"/>
    <w:rsid w:val="00F84319"/>
    <w:rsid w:val="00F84369"/>
    <w:rsid w:val="00F84386"/>
    <w:rsid w:val="00F84442"/>
    <w:rsid w:val="00F844AE"/>
    <w:rsid w:val="00F84505"/>
    <w:rsid w:val="00F84515"/>
    <w:rsid w:val="00F846C8"/>
    <w:rsid w:val="00F84721"/>
    <w:rsid w:val="00F84758"/>
    <w:rsid w:val="00F8475E"/>
    <w:rsid w:val="00F84778"/>
    <w:rsid w:val="00F8480C"/>
    <w:rsid w:val="00F84848"/>
    <w:rsid w:val="00F8487D"/>
    <w:rsid w:val="00F848D1"/>
    <w:rsid w:val="00F848DE"/>
    <w:rsid w:val="00F84926"/>
    <w:rsid w:val="00F84A7C"/>
    <w:rsid w:val="00F84AA2"/>
    <w:rsid w:val="00F84ABA"/>
    <w:rsid w:val="00F84ADE"/>
    <w:rsid w:val="00F84AE1"/>
    <w:rsid w:val="00F84BD5"/>
    <w:rsid w:val="00F84D36"/>
    <w:rsid w:val="00F84DD4"/>
    <w:rsid w:val="00F84DEE"/>
    <w:rsid w:val="00F84E6A"/>
    <w:rsid w:val="00F84EB3"/>
    <w:rsid w:val="00F84EC1"/>
    <w:rsid w:val="00F8504F"/>
    <w:rsid w:val="00F850A3"/>
    <w:rsid w:val="00F850C9"/>
    <w:rsid w:val="00F85238"/>
    <w:rsid w:val="00F8526C"/>
    <w:rsid w:val="00F85325"/>
    <w:rsid w:val="00F85385"/>
    <w:rsid w:val="00F854E1"/>
    <w:rsid w:val="00F8555D"/>
    <w:rsid w:val="00F85561"/>
    <w:rsid w:val="00F85756"/>
    <w:rsid w:val="00F857A0"/>
    <w:rsid w:val="00F85864"/>
    <w:rsid w:val="00F858AB"/>
    <w:rsid w:val="00F858D0"/>
    <w:rsid w:val="00F8599E"/>
    <w:rsid w:val="00F85B10"/>
    <w:rsid w:val="00F85B56"/>
    <w:rsid w:val="00F85BD9"/>
    <w:rsid w:val="00F85CEC"/>
    <w:rsid w:val="00F85D2F"/>
    <w:rsid w:val="00F85E45"/>
    <w:rsid w:val="00F85E8B"/>
    <w:rsid w:val="00F85F99"/>
    <w:rsid w:val="00F86038"/>
    <w:rsid w:val="00F860B5"/>
    <w:rsid w:val="00F86154"/>
    <w:rsid w:val="00F862C8"/>
    <w:rsid w:val="00F862F8"/>
    <w:rsid w:val="00F8638B"/>
    <w:rsid w:val="00F863DB"/>
    <w:rsid w:val="00F86479"/>
    <w:rsid w:val="00F86651"/>
    <w:rsid w:val="00F8665A"/>
    <w:rsid w:val="00F8672B"/>
    <w:rsid w:val="00F867EB"/>
    <w:rsid w:val="00F867F9"/>
    <w:rsid w:val="00F868DA"/>
    <w:rsid w:val="00F86960"/>
    <w:rsid w:val="00F869E1"/>
    <w:rsid w:val="00F86AD8"/>
    <w:rsid w:val="00F86B31"/>
    <w:rsid w:val="00F86B4E"/>
    <w:rsid w:val="00F86C09"/>
    <w:rsid w:val="00F86D49"/>
    <w:rsid w:val="00F86E1A"/>
    <w:rsid w:val="00F86ED8"/>
    <w:rsid w:val="00F86F19"/>
    <w:rsid w:val="00F86FA5"/>
    <w:rsid w:val="00F86FF9"/>
    <w:rsid w:val="00F8704E"/>
    <w:rsid w:val="00F87091"/>
    <w:rsid w:val="00F870F1"/>
    <w:rsid w:val="00F870F7"/>
    <w:rsid w:val="00F87222"/>
    <w:rsid w:val="00F872D7"/>
    <w:rsid w:val="00F87345"/>
    <w:rsid w:val="00F873A1"/>
    <w:rsid w:val="00F873BB"/>
    <w:rsid w:val="00F87456"/>
    <w:rsid w:val="00F87476"/>
    <w:rsid w:val="00F874DE"/>
    <w:rsid w:val="00F87523"/>
    <w:rsid w:val="00F875E6"/>
    <w:rsid w:val="00F875F6"/>
    <w:rsid w:val="00F875FB"/>
    <w:rsid w:val="00F87732"/>
    <w:rsid w:val="00F8775B"/>
    <w:rsid w:val="00F8778E"/>
    <w:rsid w:val="00F87A11"/>
    <w:rsid w:val="00F87B22"/>
    <w:rsid w:val="00F87C21"/>
    <w:rsid w:val="00F87D72"/>
    <w:rsid w:val="00F87DF4"/>
    <w:rsid w:val="00F87EC1"/>
    <w:rsid w:val="00F87F8E"/>
    <w:rsid w:val="00F87FF9"/>
    <w:rsid w:val="00F90001"/>
    <w:rsid w:val="00F900BE"/>
    <w:rsid w:val="00F900DA"/>
    <w:rsid w:val="00F90136"/>
    <w:rsid w:val="00F901CD"/>
    <w:rsid w:val="00F90220"/>
    <w:rsid w:val="00F90224"/>
    <w:rsid w:val="00F90366"/>
    <w:rsid w:val="00F903A0"/>
    <w:rsid w:val="00F903AA"/>
    <w:rsid w:val="00F9048B"/>
    <w:rsid w:val="00F9059E"/>
    <w:rsid w:val="00F9068C"/>
    <w:rsid w:val="00F90690"/>
    <w:rsid w:val="00F906B8"/>
    <w:rsid w:val="00F906DA"/>
    <w:rsid w:val="00F906E6"/>
    <w:rsid w:val="00F9076B"/>
    <w:rsid w:val="00F907B0"/>
    <w:rsid w:val="00F907C0"/>
    <w:rsid w:val="00F90A7C"/>
    <w:rsid w:val="00F90A7D"/>
    <w:rsid w:val="00F90AEE"/>
    <w:rsid w:val="00F90BD5"/>
    <w:rsid w:val="00F90C44"/>
    <w:rsid w:val="00F90EBB"/>
    <w:rsid w:val="00F90F76"/>
    <w:rsid w:val="00F91085"/>
    <w:rsid w:val="00F910EF"/>
    <w:rsid w:val="00F91109"/>
    <w:rsid w:val="00F91112"/>
    <w:rsid w:val="00F91126"/>
    <w:rsid w:val="00F911F4"/>
    <w:rsid w:val="00F9126F"/>
    <w:rsid w:val="00F9129A"/>
    <w:rsid w:val="00F912CA"/>
    <w:rsid w:val="00F9131B"/>
    <w:rsid w:val="00F9132F"/>
    <w:rsid w:val="00F91364"/>
    <w:rsid w:val="00F913AA"/>
    <w:rsid w:val="00F91593"/>
    <w:rsid w:val="00F915C8"/>
    <w:rsid w:val="00F915FF"/>
    <w:rsid w:val="00F9161D"/>
    <w:rsid w:val="00F9162F"/>
    <w:rsid w:val="00F91640"/>
    <w:rsid w:val="00F91685"/>
    <w:rsid w:val="00F916B8"/>
    <w:rsid w:val="00F91775"/>
    <w:rsid w:val="00F918EF"/>
    <w:rsid w:val="00F91A4D"/>
    <w:rsid w:val="00F91B00"/>
    <w:rsid w:val="00F91B75"/>
    <w:rsid w:val="00F91B94"/>
    <w:rsid w:val="00F91BBE"/>
    <w:rsid w:val="00F91C79"/>
    <w:rsid w:val="00F91C89"/>
    <w:rsid w:val="00F91D11"/>
    <w:rsid w:val="00F91D4B"/>
    <w:rsid w:val="00F91E57"/>
    <w:rsid w:val="00F91EB8"/>
    <w:rsid w:val="00F9201A"/>
    <w:rsid w:val="00F920C6"/>
    <w:rsid w:val="00F9229C"/>
    <w:rsid w:val="00F922B2"/>
    <w:rsid w:val="00F92300"/>
    <w:rsid w:val="00F92317"/>
    <w:rsid w:val="00F92370"/>
    <w:rsid w:val="00F9238E"/>
    <w:rsid w:val="00F92540"/>
    <w:rsid w:val="00F9254F"/>
    <w:rsid w:val="00F9255E"/>
    <w:rsid w:val="00F92795"/>
    <w:rsid w:val="00F927E9"/>
    <w:rsid w:val="00F92870"/>
    <w:rsid w:val="00F928F1"/>
    <w:rsid w:val="00F92904"/>
    <w:rsid w:val="00F92B8E"/>
    <w:rsid w:val="00F92D6F"/>
    <w:rsid w:val="00F92DBB"/>
    <w:rsid w:val="00F92EA4"/>
    <w:rsid w:val="00F92EE7"/>
    <w:rsid w:val="00F92F18"/>
    <w:rsid w:val="00F92FA9"/>
    <w:rsid w:val="00F93012"/>
    <w:rsid w:val="00F93070"/>
    <w:rsid w:val="00F930CD"/>
    <w:rsid w:val="00F93147"/>
    <w:rsid w:val="00F93252"/>
    <w:rsid w:val="00F93356"/>
    <w:rsid w:val="00F93423"/>
    <w:rsid w:val="00F93505"/>
    <w:rsid w:val="00F9355C"/>
    <w:rsid w:val="00F935FB"/>
    <w:rsid w:val="00F93639"/>
    <w:rsid w:val="00F93697"/>
    <w:rsid w:val="00F9374F"/>
    <w:rsid w:val="00F937CD"/>
    <w:rsid w:val="00F938EB"/>
    <w:rsid w:val="00F938FA"/>
    <w:rsid w:val="00F939B6"/>
    <w:rsid w:val="00F93A0D"/>
    <w:rsid w:val="00F93A50"/>
    <w:rsid w:val="00F93B28"/>
    <w:rsid w:val="00F93B39"/>
    <w:rsid w:val="00F93C35"/>
    <w:rsid w:val="00F93C8A"/>
    <w:rsid w:val="00F93D40"/>
    <w:rsid w:val="00F93D9D"/>
    <w:rsid w:val="00F93DD3"/>
    <w:rsid w:val="00F93EC5"/>
    <w:rsid w:val="00F93F40"/>
    <w:rsid w:val="00F93F46"/>
    <w:rsid w:val="00F94040"/>
    <w:rsid w:val="00F940BA"/>
    <w:rsid w:val="00F940CC"/>
    <w:rsid w:val="00F940D0"/>
    <w:rsid w:val="00F9413B"/>
    <w:rsid w:val="00F941ED"/>
    <w:rsid w:val="00F94288"/>
    <w:rsid w:val="00F9428C"/>
    <w:rsid w:val="00F94291"/>
    <w:rsid w:val="00F9430C"/>
    <w:rsid w:val="00F9433A"/>
    <w:rsid w:val="00F94372"/>
    <w:rsid w:val="00F94415"/>
    <w:rsid w:val="00F9445E"/>
    <w:rsid w:val="00F9461D"/>
    <w:rsid w:val="00F946D2"/>
    <w:rsid w:val="00F9475D"/>
    <w:rsid w:val="00F94787"/>
    <w:rsid w:val="00F947FA"/>
    <w:rsid w:val="00F94831"/>
    <w:rsid w:val="00F948A1"/>
    <w:rsid w:val="00F94C54"/>
    <w:rsid w:val="00F94CEA"/>
    <w:rsid w:val="00F94E83"/>
    <w:rsid w:val="00F94FAC"/>
    <w:rsid w:val="00F9501C"/>
    <w:rsid w:val="00F95146"/>
    <w:rsid w:val="00F95177"/>
    <w:rsid w:val="00F95196"/>
    <w:rsid w:val="00F952AC"/>
    <w:rsid w:val="00F952F3"/>
    <w:rsid w:val="00F95375"/>
    <w:rsid w:val="00F95644"/>
    <w:rsid w:val="00F95690"/>
    <w:rsid w:val="00F956D6"/>
    <w:rsid w:val="00F95712"/>
    <w:rsid w:val="00F9578D"/>
    <w:rsid w:val="00F957E5"/>
    <w:rsid w:val="00F957F1"/>
    <w:rsid w:val="00F9590D"/>
    <w:rsid w:val="00F959B4"/>
    <w:rsid w:val="00F95B2E"/>
    <w:rsid w:val="00F95B3D"/>
    <w:rsid w:val="00F95CC4"/>
    <w:rsid w:val="00F95D27"/>
    <w:rsid w:val="00F95D6D"/>
    <w:rsid w:val="00F95E78"/>
    <w:rsid w:val="00F95E94"/>
    <w:rsid w:val="00F95E9C"/>
    <w:rsid w:val="00F95FDB"/>
    <w:rsid w:val="00F960E7"/>
    <w:rsid w:val="00F9614B"/>
    <w:rsid w:val="00F96227"/>
    <w:rsid w:val="00F962AA"/>
    <w:rsid w:val="00F962D9"/>
    <w:rsid w:val="00F9632A"/>
    <w:rsid w:val="00F96356"/>
    <w:rsid w:val="00F963CF"/>
    <w:rsid w:val="00F96446"/>
    <w:rsid w:val="00F96455"/>
    <w:rsid w:val="00F964CE"/>
    <w:rsid w:val="00F965BC"/>
    <w:rsid w:val="00F965C8"/>
    <w:rsid w:val="00F96610"/>
    <w:rsid w:val="00F966D7"/>
    <w:rsid w:val="00F9676A"/>
    <w:rsid w:val="00F9677D"/>
    <w:rsid w:val="00F9679F"/>
    <w:rsid w:val="00F967CE"/>
    <w:rsid w:val="00F967D7"/>
    <w:rsid w:val="00F96849"/>
    <w:rsid w:val="00F969FA"/>
    <w:rsid w:val="00F96A2A"/>
    <w:rsid w:val="00F96B0F"/>
    <w:rsid w:val="00F96BCE"/>
    <w:rsid w:val="00F96CB9"/>
    <w:rsid w:val="00F96EA0"/>
    <w:rsid w:val="00F96F1D"/>
    <w:rsid w:val="00F970AB"/>
    <w:rsid w:val="00F970E5"/>
    <w:rsid w:val="00F970EA"/>
    <w:rsid w:val="00F9719E"/>
    <w:rsid w:val="00F971BD"/>
    <w:rsid w:val="00F9724E"/>
    <w:rsid w:val="00F9725F"/>
    <w:rsid w:val="00F972CE"/>
    <w:rsid w:val="00F97429"/>
    <w:rsid w:val="00F97486"/>
    <w:rsid w:val="00F9751B"/>
    <w:rsid w:val="00F9753D"/>
    <w:rsid w:val="00F97543"/>
    <w:rsid w:val="00F97576"/>
    <w:rsid w:val="00F975A5"/>
    <w:rsid w:val="00F976C8"/>
    <w:rsid w:val="00F9775B"/>
    <w:rsid w:val="00F97765"/>
    <w:rsid w:val="00F9781F"/>
    <w:rsid w:val="00F978FB"/>
    <w:rsid w:val="00F9790A"/>
    <w:rsid w:val="00F979EE"/>
    <w:rsid w:val="00F97AEA"/>
    <w:rsid w:val="00F97C47"/>
    <w:rsid w:val="00F97C95"/>
    <w:rsid w:val="00F97D33"/>
    <w:rsid w:val="00F97D66"/>
    <w:rsid w:val="00F97F54"/>
    <w:rsid w:val="00FA0006"/>
    <w:rsid w:val="00FA0036"/>
    <w:rsid w:val="00FA007E"/>
    <w:rsid w:val="00FA00F5"/>
    <w:rsid w:val="00FA013A"/>
    <w:rsid w:val="00FA0181"/>
    <w:rsid w:val="00FA018B"/>
    <w:rsid w:val="00FA01F1"/>
    <w:rsid w:val="00FA02BA"/>
    <w:rsid w:val="00FA02D5"/>
    <w:rsid w:val="00FA0365"/>
    <w:rsid w:val="00FA0376"/>
    <w:rsid w:val="00FA042C"/>
    <w:rsid w:val="00FA0525"/>
    <w:rsid w:val="00FA05FC"/>
    <w:rsid w:val="00FA06F9"/>
    <w:rsid w:val="00FA074A"/>
    <w:rsid w:val="00FA075E"/>
    <w:rsid w:val="00FA0B22"/>
    <w:rsid w:val="00FA0B7D"/>
    <w:rsid w:val="00FA0BD8"/>
    <w:rsid w:val="00FA0C10"/>
    <w:rsid w:val="00FA0C8D"/>
    <w:rsid w:val="00FA0CB1"/>
    <w:rsid w:val="00FA0D36"/>
    <w:rsid w:val="00FA0FE6"/>
    <w:rsid w:val="00FA100F"/>
    <w:rsid w:val="00FA102F"/>
    <w:rsid w:val="00FA1128"/>
    <w:rsid w:val="00FA1134"/>
    <w:rsid w:val="00FA1153"/>
    <w:rsid w:val="00FA119D"/>
    <w:rsid w:val="00FA11B0"/>
    <w:rsid w:val="00FA11CA"/>
    <w:rsid w:val="00FA1367"/>
    <w:rsid w:val="00FA13BB"/>
    <w:rsid w:val="00FA144B"/>
    <w:rsid w:val="00FA14BB"/>
    <w:rsid w:val="00FA15E8"/>
    <w:rsid w:val="00FA160D"/>
    <w:rsid w:val="00FA16C7"/>
    <w:rsid w:val="00FA174D"/>
    <w:rsid w:val="00FA17F3"/>
    <w:rsid w:val="00FA18D4"/>
    <w:rsid w:val="00FA1953"/>
    <w:rsid w:val="00FA199B"/>
    <w:rsid w:val="00FA19C1"/>
    <w:rsid w:val="00FA1A77"/>
    <w:rsid w:val="00FA1A9E"/>
    <w:rsid w:val="00FA1B7C"/>
    <w:rsid w:val="00FA1BD0"/>
    <w:rsid w:val="00FA1C22"/>
    <w:rsid w:val="00FA1D37"/>
    <w:rsid w:val="00FA1D4D"/>
    <w:rsid w:val="00FA1D7D"/>
    <w:rsid w:val="00FA1DAE"/>
    <w:rsid w:val="00FA1DC0"/>
    <w:rsid w:val="00FA1E5C"/>
    <w:rsid w:val="00FA1EE6"/>
    <w:rsid w:val="00FA1F1A"/>
    <w:rsid w:val="00FA1F9C"/>
    <w:rsid w:val="00FA203C"/>
    <w:rsid w:val="00FA2158"/>
    <w:rsid w:val="00FA2273"/>
    <w:rsid w:val="00FA22AD"/>
    <w:rsid w:val="00FA23A3"/>
    <w:rsid w:val="00FA2414"/>
    <w:rsid w:val="00FA24ED"/>
    <w:rsid w:val="00FA24F2"/>
    <w:rsid w:val="00FA2508"/>
    <w:rsid w:val="00FA250E"/>
    <w:rsid w:val="00FA273F"/>
    <w:rsid w:val="00FA27E2"/>
    <w:rsid w:val="00FA28B1"/>
    <w:rsid w:val="00FA294B"/>
    <w:rsid w:val="00FA29D4"/>
    <w:rsid w:val="00FA29EE"/>
    <w:rsid w:val="00FA2A14"/>
    <w:rsid w:val="00FA2A1D"/>
    <w:rsid w:val="00FA2B1B"/>
    <w:rsid w:val="00FA2B6D"/>
    <w:rsid w:val="00FA2BBD"/>
    <w:rsid w:val="00FA2C88"/>
    <w:rsid w:val="00FA2CB2"/>
    <w:rsid w:val="00FA2DCA"/>
    <w:rsid w:val="00FA2DE1"/>
    <w:rsid w:val="00FA2EEB"/>
    <w:rsid w:val="00FA306E"/>
    <w:rsid w:val="00FA307B"/>
    <w:rsid w:val="00FA311B"/>
    <w:rsid w:val="00FA31FD"/>
    <w:rsid w:val="00FA331E"/>
    <w:rsid w:val="00FA3360"/>
    <w:rsid w:val="00FA3486"/>
    <w:rsid w:val="00FA3587"/>
    <w:rsid w:val="00FA35CB"/>
    <w:rsid w:val="00FA3617"/>
    <w:rsid w:val="00FA3651"/>
    <w:rsid w:val="00FA3682"/>
    <w:rsid w:val="00FA3719"/>
    <w:rsid w:val="00FA3721"/>
    <w:rsid w:val="00FA37BE"/>
    <w:rsid w:val="00FA3820"/>
    <w:rsid w:val="00FA3843"/>
    <w:rsid w:val="00FA3861"/>
    <w:rsid w:val="00FA38EF"/>
    <w:rsid w:val="00FA3951"/>
    <w:rsid w:val="00FA3A09"/>
    <w:rsid w:val="00FA3AB9"/>
    <w:rsid w:val="00FA3AD5"/>
    <w:rsid w:val="00FA3C02"/>
    <w:rsid w:val="00FA3C14"/>
    <w:rsid w:val="00FA3C55"/>
    <w:rsid w:val="00FA3E2D"/>
    <w:rsid w:val="00FA3E55"/>
    <w:rsid w:val="00FA3EE3"/>
    <w:rsid w:val="00FA3F3C"/>
    <w:rsid w:val="00FA400A"/>
    <w:rsid w:val="00FA41B7"/>
    <w:rsid w:val="00FA421C"/>
    <w:rsid w:val="00FA4229"/>
    <w:rsid w:val="00FA4279"/>
    <w:rsid w:val="00FA42E1"/>
    <w:rsid w:val="00FA4418"/>
    <w:rsid w:val="00FA45F6"/>
    <w:rsid w:val="00FA464A"/>
    <w:rsid w:val="00FA468D"/>
    <w:rsid w:val="00FA46BD"/>
    <w:rsid w:val="00FA4795"/>
    <w:rsid w:val="00FA4796"/>
    <w:rsid w:val="00FA48A7"/>
    <w:rsid w:val="00FA4A6B"/>
    <w:rsid w:val="00FA4B58"/>
    <w:rsid w:val="00FA4BC0"/>
    <w:rsid w:val="00FA4D5D"/>
    <w:rsid w:val="00FA4FBA"/>
    <w:rsid w:val="00FA50B7"/>
    <w:rsid w:val="00FA5159"/>
    <w:rsid w:val="00FA5162"/>
    <w:rsid w:val="00FA5175"/>
    <w:rsid w:val="00FA522A"/>
    <w:rsid w:val="00FA5342"/>
    <w:rsid w:val="00FA53EC"/>
    <w:rsid w:val="00FA5543"/>
    <w:rsid w:val="00FA559B"/>
    <w:rsid w:val="00FA55C1"/>
    <w:rsid w:val="00FA573D"/>
    <w:rsid w:val="00FA5971"/>
    <w:rsid w:val="00FA5979"/>
    <w:rsid w:val="00FA5A87"/>
    <w:rsid w:val="00FA5BB0"/>
    <w:rsid w:val="00FA5BF6"/>
    <w:rsid w:val="00FA5C6F"/>
    <w:rsid w:val="00FA5C74"/>
    <w:rsid w:val="00FA5D38"/>
    <w:rsid w:val="00FA5EE1"/>
    <w:rsid w:val="00FA5F01"/>
    <w:rsid w:val="00FA60AF"/>
    <w:rsid w:val="00FA60DD"/>
    <w:rsid w:val="00FA612D"/>
    <w:rsid w:val="00FA61F0"/>
    <w:rsid w:val="00FA627C"/>
    <w:rsid w:val="00FA62BE"/>
    <w:rsid w:val="00FA6327"/>
    <w:rsid w:val="00FA6375"/>
    <w:rsid w:val="00FA6381"/>
    <w:rsid w:val="00FA63B2"/>
    <w:rsid w:val="00FA6460"/>
    <w:rsid w:val="00FA65DB"/>
    <w:rsid w:val="00FA666F"/>
    <w:rsid w:val="00FA6674"/>
    <w:rsid w:val="00FA67D2"/>
    <w:rsid w:val="00FA67E4"/>
    <w:rsid w:val="00FA6844"/>
    <w:rsid w:val="00FA686E"/>
    <w:rsid w:val="00FA6901"/>
    <w:rsid w:val="00FA6927"/>
    <w:rsid w:val="00FA6985"/>
    <w:rsid w:val="00FA6A94"/>
    <w:rsid w:val="00FA6A98"/>
    <w:rsid w:val="00FA6BCB"/>
    <w:rsid w:val="00FA6CCF"/>
    <w:rsid w:val="00FA6D4B"/>
    <w:rsid w:val="00FA6E81"/>
    <w:rsid w:val="00FA6EC7"/>
    <w:rsid w:val="00FA71A6"/>
    <w:rsid w:val="00FA724C"/>
    <w:rsid w:val="00FA72DD"/>
    <w:rsid w:val="00FA735E"/>
    <w:rsid w:val="00FA7495"/>
    <w:rsid w:val="00FA75CC"/>
    <w:rsid w:val="00FA75EC"/>
    <w:rsid w:val="00FA7610"/>
    <w:rsid w:val="00FA765F"/>
    <w:rsid w:val="00FA7675"/>
    <w:rsid w:val="00FA76CF"/>
    <w:rsid w:val="00FA780A"/>
    <w:rsid w:val="00FA781A"/>
    <w:rsid w:val="00FA796F"/>
    <w:rsid w:val="00FA7979"/>
    <w:rsid w:val="00FA79A0"/>
    <w:rsid w:val="00FA7A33"/>
    <w:rsid w:val="00FA7A7B"/>
    <w:rsid w:val="00FA7AA5"/>
    <w:rsid w:val="00FA7ACD"/>
    <w:rsid w:val="00FA7B98"/>
    <w:rsid w:val="00FA7B9B"/>
    <w:rsid w:val="00FA7BC3"/>
    <w:rsid w:val="00FA7BD5"/>
    <w:rsid w:val="00FA7BE6"/>
    <w:rsid w:val="00FA7BFE"/>
    <w:rsid w:val="00FA7C14"/>
    <w:rsid w:val="00FA7C88"/>
    <w:rsid w:val="00FA7CE2"/>
    <w:rsid w:val="00FA7D43"/>
    <w:rsid w:val="00FA7DA4"/>
    <w:rsid w:val="00FA7ECA"/>
    <w:rsid w:val="00FA7F51"/>
    <w:rsid w:val="00FB024F"/>
    <w:rsid w:val="00FB027D"/>
    <w:rsid w:val="00FB03CB"/>
    <w:rsid w:val="00FB0457"/>
    <w:rsid w:val="00FB0479"/>
    <w:rsid w:val="00FB04A9"/>
    <w:rsid w:val="00FB0507"/>
    <w:rsid w:val="00FB0561"/>
    <w:rsid w:val="00FB05BD"/>
    <w:rsid w:val="00FB067B"/>
    <w:rsid w:val="00FB06A6"/>
    <w:rsid w:val="00FB06EA"/>
    <w:rsid w:val="00FB0786"/>
    <w:rsid w:val="00FB07D9"/>
    <w:rsid w:val="00FB07F2"/>
    <w:rsid w:val="00FB086F"/>
    <w:rsid w:val="00FB08B0"/>
    <w:rsid w:val="00FB092D"/>
    <w:rsid w:val="00FB0A44"/>
    <w:rsid w:val="00FB0A62"/>
    <w:rsid w:val="00FB0AA2"/>
    <w:rsid w:val="00FB0AAA"/>
    <w:rsid w:val="00FB0BD6"/>
    <w:rsid w:val="00FB0C29"/>
    <w:rsid w:val="00FB0D7E"/>
    <w:rsid w:val="00FB0E9B"/>
    <w:rsid w:val="00FB0EB4"/>
    <w:rsid w:val="00FB0EBE"/>
    <w:rsid w:val="00FB0FE4"/>
    <w:rsid w:val="00FB1119"/>
    <w:rsid w:val="00FB11F3"/>
    <w:rsid w:val="00FB1211"/>
    <w:rsid w:val="00FB12AA"/>
    <w:rsid w:val="00FB12BC"/>
    <w:rsid w:val="00FB1557"/>
    <w:rsid w:val="00FB15FD"/>
    <w:rsid w:val="00FB16C2"/>
    <w:rsid w:val="00FB16DD"/>
    <w:rsid w:val="00FB173A"/>
    <w:rsid w:val="00FB17C3"/>
    <w:rsid w:val="00FB17CB"/>
    <w:rsid w:val="00FB1884"/>
    <w:rsid w:val="00FB1910"/>
    <w:rsid w:val="00FB192E"/>
    <w:rsid w:val="00FB1961"/>
    <w:rsid w:val="00FB19BA"/>
    <w:rsid w:val="00FB1A23"/>
    <w:rsid w:val="00FB1B26"/>
    <w:rsid w:val="00FB1BF1"/>
    <w:rsid w:val="00FB1D2F"/>
    <w:rsid w:val="00FB1DBE"/>
    <w:rsid w:val="00FB1DC5"/>
    <w:rsid w:val="00FB1E1C"/>
    <w:rsid w:val="00FB1F03"/>
    <w:rsid w:val="00FB1F2B"/>
    <w:rsid w:val="00FB2023"/>
    <w:rsid w:val="00FB20E6"/>
    <w:rsid w:val="00FB2133"/>
    <w:rsid w:val="00FB21AD"/>
    <w:rsid w:val="00FB239A"/>
    <w:rsid w:val="00FB23CF"/>
    <w:rsid w:val="00FB2409"/>
    <w:rsid w:val="00FB2501"/>
    <w:rsid w:val="00FB25DF"/>
    <w:rsid w:val="00FB260D"/>
    <w:rsid w:val="00FB26C3"/>
    <w:rsid w:val="00FB26F7"/>
    <w:rsid w:val="00FB270F"/>
    <w:rsid w:val="00FB2712"/>
    <w:rsid w:val="00FB2731"/>
    <w:rsid w:val="00FB273C"/>
    <w:rsid w:val="00FB278C"/>
    <w:rsid w:val="00FB27A6"/>
    <w:rsid w:val="00FB27AC"/>
    <w:rsid w:val="00FB27DE"/>
    <w:rsid w:val="00FB2978"/>
    <w:rsid w:val="00FB29B3"/>
    <w:rsid w:val="00FB2B82"/>
    <w:rsid w:val="00FB2BD2"/>
    <w:rsid w:val="00FB2DA3"/>
    <w:rsid w:val="00FB2FEA"/>
    <w:rsid w:val="00FB2FF2"/>
    <w:rsid w:val="00FB3220"/>
    <w:rsid w:val="00FB32BD"/>
    <w:rsid w:val="00FB3316"/>
    <w:rsid w:val="00FB3375"/>
    <w:rsid w:val="00FB33D3"/>
    <w:rsid w:val="00FB3561"/>
    <w:rsid w:val="00FB35A9"/>
    <w:rsid w:val="00FB35B3"/>
    <w:rsid w:val="00FB36C3"/>
    <w:rsid w:val="00FB371B"/>
    <w:rsid w:val="00FB38A7"/>
    <w:rsid w:val="00FB39A2"/>
    <w:rsid w:val="00FB3A0D"/>
    <w:rsid w:val="00FB3AFB"/>
    <w:rsid w:val="00FB3B4E"/>
    <w:rsid w:val="00FB3B94"/>
    <w:rsid w:val="00FB3C65"/>
    <w:rsid w:val="00FB3C93"/>
    <w:rsid w:val="00FB3CC5"/>
    <w:rsid w:val="00FB3E11"/>
    <w:rsid w:val="00FB3E74"/>
    <w:rsid w:val="00FB3E8D"/>
    <w:rsid w:val="00FB3F00"/>
    <w:rsid w:val="00FB3F63"/>
    <w:rsid w:val="00FB3F66"/>
    <w:rsid w:val="00FB3F88"/>
    <w:rsid w:val="00FB4039"/>
    <w:rsid w:val="00FB4075"/>
    <w:rsid w:val="00FB41F5"/>
    <w:rsid w:val="00FB4306"/>
    <w:rsid w:val="00FB43BB"/>
    <w:rsid w:val="00FB444B"/>
    <w:rsid w:val="00FB4471"/>
    <w:rsid w:val="00FB4510"/>
    <w:rsid w:val="00FB453D"/>
    <w:rsid w:val="00FB4582"/>
    <w:rsid w:val="00FB45B9"/>
    <w:rsid w:val="00FB4644"/>
    <w:rsid w:val="00FB469F"/>
    <w:rsid w:val="00FB46AB"/>
    <w:rsid w:val="00FB46FD"/>
    <w:rsid w:val="00FB472A"/>
    <w:rsid w:val="00FB47A2"/>
    <w:rsid w:val="00FB47F4"/>
    <w:rsid w:val="00FB499B"/>
    <w:rsid w:val="00FB4A23"/>
    <w:rsid w:val="00FB4A7B"/>
    <w:rsid w:val="00FB4A89"/>
    <w:rsid w:val="00FB4AD3"/>
    <w:rsid w:val="00FB4B79"/>
    <w:rsid w:val="00FB4BE0"/>
    <w:rsid w:val="00FB4C36"/>
    <w:rsid w:val="00FB4CF3"/>
    <w:rsid w:val="00FB4D44"/>
    <w:rsid w:val="00FB4D85"/>
    <w:rsid w:val="00FB4D8B"/>
    <w:rsid w:val="00FB4F83"/>
    <w:rsid w:val="00FB4F9E"/>
    <w:rsid w:val="00FB500D"/>
    <w:rsid w:val="00FB50FB"/>
    <w:rsid w:val="00FB510A"/>
    <w:rsid w:val="00FB511E"/>
    <w:rsid w:val="00FB5133"/>
    <w:rsid w:val="00FB5163"/>
    <w:rsid w:val="00FB520C"/>
    <w:rsid w:val="00FB5294"/>
    <w:rsid w:val="00FB529B"/>
    <w:rsid w:val="00FB529C"/>
    <w:rsid w:val="00FB52F7"/>
    <w:rsid w:val="00FB5312"/>
    <w:rsid w:val="00FB53B9"/>
    <w:rsid w:val="00FB5410"/>
    <w:rsid w:val="00FB5431"/>
    <w:rsid w:val="00FB546F"/>
    <w:rsid w:val="00FB54E5"/>
    <w:rsid w:val="00FB557D"/>
    <w:rsid w:val="00FB55FD"/>
    <w:rsid w:val="00FB5663"/>
    <w:rsid w:val="00FB5759"/>
    <w:rsid w:val="00FB5781"/>
    <w:rsid w:val="00FB58A8"/>
    <w:rsid w:val="00FB58B0"/>
    <w:rsid w:val="00FB58B1"/>
    <w:rsid w:val="00FB58B9"/>
    <w:rsid w:val="00FB5906"/>
    <w:rsid w:val="00FB59BE"/>
    <w:rsid w:val="00FB59D1"/>
    <w:rsid w:val="00FB59DC"/>
    <w:rsid w:val="00FB5A15"/>
    <w:rsid w:val="00FB5A8A"/>
    <w:rsid w:val="00FB5A9F"/>
    <w:rsid w:val="00FB5AC0"/>
    <w:rsid w:val="00FB5AE5"/>
    <w:rsid w:val="00FB5B98"/>
    <w:rsid w:val="00FB5C78"/>
    <w:rsid w:val="00FB5CD4"/>
    <w:rsid w:val="00FB5CFD"/>
    <w:rsid w:val="00FB5D40"/>
    <w:rsid w:val="00FB5E29"/>
    <w:rsid w:val="00FB5E58"/>
    <w:rsid w:val="00FB5E66"/>
    <w:rsid w:val="00FB5EC0"/>
    <w:rsid w:val="00FB5ED1"/>
    <w:rsid w:val="00FB6168"/>
    <w:rsid w:val="00FB6211"/>
    <w:rsid w:val="00FB6248"/>
    <w:rsid w:val="00FB62BB"/>
    <w:rsid w:val="00FB6468"/>
    <w:rsid w:val="00FB65F3"/>
    <w:rsid w:val="00FB672A"/>
    <w:rsid w:val="00FB68C2"/>
    <w:rsid w:val="00FB6984"/>
    <w:rsid w:val="00FB69B7"/>
    <w:rsid w:val="00FB6A3F"/>
    <w:rsid w:val="00FB6AA1"/>
    <w:rsid w:val="00FB6B18"/>
    <w:rsid w:val="00FB6BE8"/>
    <w:rsid w:val="00FB6C23"/>
    <w:rsid w:val="00FB6C67"/>
    <w:rsid w:val="00FB6C77"/>
    <w:rsid w:val="00FB6CA2"/>
    <w:rsid w:val="00FB6D32"/>
    <w:rsid w:val="00FB6DB0"/>
    <w:rsid w:val="00FB6DFD"/>
    <w:rsid w:val="00FB6E02"/>
    <w:rsid w:val="00FB6EF2"/>
    <w:rsid w:val="00FB6F44"/>
    <w:rsid w:val="00FB6FBF"/>
    <w:rsid w:val="00FB70C9"/>
    <w:rsid w:val="00FB7280"/>
    <w:rsid w:val="00FB72F3"/>
    <w:rsid w:val="00FB73BB"/>
    <w:rsid w:val="00FB73C6"/>
    <w:rsid w:val="00FB73E4"/>
    <w:rsid w:val="00FB73EC"/>
    <w:rsid w:val="00FB74C8"/>
    <w:rsid w:val="00FB74F4"/>
    <w:rsid w:val="00FB75C1"/>
    <w:rsid w:val="00FB7664"/>
    <w:rsid w:val="00FB772B"/>
    <w:rsid w:val="00FB7799"/>
    <w:rsid w:val="00FB7886"/>
    <w:rsid w:val="00FB789A"/>
    <w:rsid w:val="00FB78AF"/>
    <w:rsid w:val="00FB79DE"/>
    <w:rsid w:val="00FB7A2E"/>
    <w:rsid w:val="00FB7A55"/>
    <w:rsid w:val="00FB7B44"/>
    <w:rsid w:val="00FB7B7B"/>
    <w:rsid w:val="00FB7BA9"/>
    <w:rsid w:val="00FB7BBF"/>
    <w:rsid w:val="00FB7C08"/>
    <w:rsid w:val="00FB7CA9"/>
    <w:rsid w:val="00FB7D2E"/>
    <w:rsid w:val="00FC012A"/>
    <w:rsid w:val="00FC0186"/>
    <w:rsid w:val="00FC01C3"/>
    <w:rsid w:val="00FC02E7"/>
    <w:rsid w:val="00FC035F"/>
    <w:rsid w:val="00FC0392"/>
    <w:rsid w:val="00FC0484"/>
    <w:rsid w:val="00FC054E"/>
    <w:rsid w:val="00FC0795"/>
    <w:rsid w:val="00FC079A"/>
    <w:rsid w:val="00FC07EF"/>
    <w:rsid w:val="00FC0871"/>
    <w:rsid w:val="00FC0930"/>
    <w:rsid w:val="00FC09D3"/>
    <w:rsid w:val="00FC0A2A"/>
    <w:rsid w:val="00FC0A5D"/>
    <w:rsid w:val="00FC0AD0"/>
    <w:rsid w:val="00FC0C00"/>
    <w:rsid w:val="00FC0C9E"/>
    <w:rsid w:val="00FC0D42"/>
    <w:rsid w:val="00FC0DAF"/>
    <w:rsid w:val="00FC0E2A"/>
    <w:rsid w:val="00FC0EC8"/>
    <w:rsid w:val="00FC0EF5"/>
    <w:rsid w:val="00FC0F17"/>
    <w:rsid w:val="00FC0F8D"/>
    <w:rsid w:val="00FC0FC1"/>
    <w:rsid w:val="00FC0FCA"/>
    <w:rsid w:val="00FC10FC"/>
    <w:rsid w:val="00FC110D"/>
    <w:rsid w:val="00FC115B"/>
    <w:rsid w:val="00FC11B1"/>
    <w:rsid w:val="00FC11CD"/>
    <w:rsid w:val="00FC11F4"/>
    <w:rsid w:val="00FC1272"/>
    <w:rsid w:val="00FC12A1"/>
    <w:rsid w:val="00FC12F0"/>
    <w:rsid w:val="00FC14F6"/>
    <w:rsid w:val="00FC14FD"/>
    <w:rsid w:val="00FC15BB"/>
    <w:rsid w:val="00FC15EA"/>
    <w:rsid w:val="00FC1611"/>
    <w:rsid w:val="00FC16E6"/>
    <w:rsid w:val="00FC16E7"/>
    <w:rsid w:val="00FC1712"/>
    <w:rsid w:val="00FC1759"/>
    <w:rsid w:val="00FC1799"/>
    <w:rsid w:val="00FC17BD"/>
    <w:rsid w:val="00FC17F8"/>
    <w:rsid w:val="00FC1833"/>
    <w:rsid w:val="00FC18CD"/>
    <w:rsid w:val="00FC1924"/>
    <w:rsid w:val="00FC1983"/>
    <w:rsid w:val="00FC1A2D"/>
    <w:rsid w:val="00FC1B36"/>
    <w:rsid w:val="00FC1B39"/>
    <w:rsid w:val="00FC1B63"/>
    <w:rsid w:val="00FC1B7F"/>
    <w:rsid w:val="00FC1D01"/>
    <w:rsid w:val="00FC1D0C"/>
    <w:rsid w:val="00FC1D61"/>
    <w:rsid w:val="00FC1DBA"/>
    <w:rsid w:val="00FC1EBA"/>
    <w:rsid w:val="00FC1EBB"/>
    <w:rsid w:val="00FC2046"/>
    <w:rsid w:val="00FC2058"/>
    <w:rsid w:val="00FC2093"/>
    <w:rsid w:val="00FC21F3"/>
    <w:rsid w:val="00FC2236"/>
    <w:rsid w:val="00FC223A"/>
    <w:rsid w:val="00FC22CE"/>
    <w:rsid w:val="00FC241B"/>
    <w:rsid w:val="00FC2425"/>
    <w:rsid w:val="00FC2429"/>
    <w:rsid w:val="00FC247B"/>
    <w:rsid w:val="00FC2557"/>
    <w:rsid w:val="00FC25BA"/>
    <w:rsid w:val="00FC25D4"/>
    <w:rsid w:val="00FC2647"/>
    <w:rsid w:val="00FC26F8"/>
    <w:rsid w:val="00FC2721"/>
    <w:rsid w:val="00FC276D"/>
    <w:rsid w:val="00FC2791"/>
    <w:rsid w:val="00FC2940"/>
    <w:rsid w:val="00FC2A54"/>
    <w:rsid w:val="00FC2A58"/>
    <w:rsid w:val="00FC2A92"/>
    <w:rsid w:val="00FC2ADD"/>
    <w:rsid w:val="00FC2AEF"/>
    <w:rsid w:val="00FC2B98"/>
    <w:rsid w:val="00FC2D14"/>
    <w:rsid w:val="00FC2EDB"/>
    <w:rsid w:val="00FC2F3D"/>
    <w:rsid w:val="00FC2F46"/>
    <w:rsid w:val="00FC2FC1"/>
    <w:rsid w:val="00FC3028"/>
    <w:rsid w:val="00FC308A"/>
    <w:rsid w:val="00FC3139"/>
    <w:rsid w:val="00FC3168"/>
    <w:rsid w:val="00FC319C"/>
    <w:rsid w:val="00FC31B3"/>
    <w:rsid w:val="00FC31BC"/>
    <w:rsid w:val="00FC31CE"/>
    <w:rsid w:val="00FC31FD"/>
    <w:rsid w:val="00FC326C"/>
    <w:rsid w:val="00FC3397"/>
    <w:rsid w:val="00FC342B"/>
    <w:rsid w:val="00FC3439"/>
    <w:rsid w:val="00FC349E"/>
    <w:rsid w:val="00FC34D0"/>
    <w:rsid w:val="00FC3550"/>
    <w:rsid w:val="00FC361B"/>
    <w:rsid w:val="00FC3649"/>
    <w:rsid w:val="00FC3744"/>
    <w:rsid w:val="00FC3770"/>
    <w:rsid w:val="00FC382C"/>
    <w:rsid w:val="00FC386B"/>
    <w:rsid w:val="00FC39A3"/>
    <w:rsid w:val="00FC3A32"/>
    <w:rsid w:val="00FC3A7F"/>
    <w:rsid w:val="00FC3B51"/>
    <w:rsid w:val="00FC3C41"/>
    <w:rsid w:val="00FC3C44"/>
    <w:rsid w:val="00FC3D88"/>
    <w:rsid w:val="00FC3D9D"/>
    <w:rsid w:val="00FC3E45"/>
    <w:rsid w:val="00FC3E96"/>
    <w:rsid w:val="00FC3F1B"/>
    <w:rsid w:val="00FC3FCB"/>
    <w:rsid w:val="00FC408B"/>
    <w:rsid w:val="00FC409C"/>
    <w:rsid w:val="00FC40DF"/>
    <w:rsid w:val="00FC41E5"/>
    <w:rsid w:val="00FC4210"/>
    <w:rsid w:val="00FC4214"/>
    <w:rsid w:val="00FC432E"/>
    <w:rsid w:val="00FC43F2"/>
    <w:rsid w:val="00FC43F3"/>
    <w:rsid w:val="00FC4491"/>
    <w:rsid w:val="00FC4655"/>
    <w:rsid w:val="00FC4664"/>
    <w:rsid w:val="00FC4676"/>
    <w:rsid w:val="00FC46A3"/>
    <w:rsid w:val="00FC479B"/>
    <w:rsid w:val="00FC48EA"/>
    <w:rsid w:val="00FC48FF"/>
    <w:rsid w:val="00FC4915"/>
    <w:rsid w:val="00FC4B36"/>
    <w:rsid w:val="00FC4B73"/>
    <w:rsid w:val="00FC4BFF"/>
    <w:rsid w:val="00FC4C2E"/>
    <w:rsid w:val="00FC4D64"/>
    <w:rsid w:val="00FC4E5E"/>
    <w:rsid w:val="00FC4E84"/>
    <w:rsid w:val="00FC4EFC"/>
    <w:rsid w:val="00FC4F8F"/>
    <w:rsid w:val="00FC4FFC"/>
    <w:rsid w:val="00FC5168"/>
    <w:rsid w:val="00FC5292"/>
    <w:rsid w:val="00FC5349"/>
    <w:rsid w:val="00FC53D7"/>
    <w:rsid w:val="00FC546E"/>
    <w:rsid w:val="00FC54B9"/>
    <w:rsid w:val="00FC5546"/>
    <w:rsid w:val="00FC55FC"/>
    <w:rsid w:val="00FC5650"/>
    <w:rsid w:val="00FC5715"/>
    <w:rsid w:val="00FC573D"/>
    <w:rsid w:val="00FC57A9"/>
    <w:rsid w:val="00FC57EB"/>
    <w:rsid w:val="00FC5846"/>
    <w:rsid w:val="00FC584F"/>
    <w:rsid w:val="00FC58B8"/>
    <w:rsid w:val="00FC590C"/>
    <w:rsid w:val="00FC590E"/>
    <w:rsid w:val="00FC591C"/>
    <w:rsid w:val="00FC593D"/>
    <w:rsid w:val="00FC5C4B"/>
    <w:rsid w:val="00FC5CBC"/>
    <w:rsid w:val="00FC5CC6"/>
    <w:rsid w:val="00FC5D2C"/>
    <w:rsid w:val="00FC5DC9"/>
    <w:rsid w:val="00FC5E08"/>
    <w:rsid w:val="00FC5ED7"/>
    <w:rsid w:val="00FC5F13"/>
    <w:rsid w:val="00FC5F56"/>
    <w:rsid w:val="00FC60A7"/>
    <w:rsid w:val="00FC60C3"/>
    <w:rsid w:val="00FC617C"/>
    <w:rsid w:val="00FC6286"/>
    <w:rsid w:val="00FC634C"/>
    <w:rsid w:val="00FC63B5"/>
    <w:rsid w:val="00FC63C3"/>
    <w:rsid w:val="00FC64C5"/>
    <w:rsid w:val="00FC661D"/>
    <w:rsid w:val="00FC6659"/>
    <w:rsid w:val="00FC667E"/>
    <w:rsid w:val="00FC674D"/>
    <w:rsid w:val="00FC68B1"/>
    <w:rsid w:val="00FC695B"/>
    <w:rsid w:val="00FC695C"/>
    <w:rsid w:val="00FC69F7"/>
    <w:rsid w:val="00FC6A52"/>
    <w:rsid w:val="00FC6A78"/>
    <w:rsid w:val="00FC6BB1"/>
    <w:rsid w:val="00FC6C4B"/>
    <w:rsid w:val="00FC6C8E"/>
    <w:rsid w:val="00FC6CD5"/>
    <w:rsid w:val="00FC6D7A"/>
    <w:rsid w:val="00FC6D7C"/>
    <w:rsid w:val="00FC6D86"/>
    <w:rsid w:val="00FC6DA1"/>
    <w:rsid w:val="00FC6F58"/>
    <w:rsid w:val="00FC7024"/>
    <w:rsid w:val="00FC703D"/>
    <w:rsid w:val="00FC70CE"/>
    <w:rsid w:val="00FC717C"/>
    <w:rsid w:val="00FC717E"/>
    <w:rsid w:val="00FC719A"/>
    <w:rsid w:val="00FC726C"/>
    <w:rsid w:val="00FC72A4"/>
    <w:rsid w:val="00FC738E"/>
    <w:rsid w:val="00FC7407"/>
    <w:rsid w:val="00FC7455"/>
    <w:rsid w:val="00FC7479"/>
    <w:rsid w:val="00FC75DB"/>
    <w:rsid w:val="00FC782E"/>
    <w:rsid w:val="00FC79FF"/>
    <w:rsid w:val="00FC7A57"/>
    <w:rsid w:val="00FC7AB5"/>
    <w:rsid w:val="00FC7B85"/>
    <w:rsid w:val="00FC7C4B"/>
    <w:rsid w:val="00FC7CC2"/>
    <w:rsid w:val="00FC7CE5"/>
    <w:rsid w:val="00FC7DF8"/>
    <w:rsid w:val="00FC7E16"/>
    <w:rsid w:val="00FC7E4C"/>
    <w:rsid w:val="00FC7E62"/>
    <w:rsid w:val="00FC7ECD"/>
    <w:rsid w:val="00FC7F06"/>
    <w:rsid w:val="00FC7F29"/>
    <w:rsid w:val="00FD0125"/>
    <w:rsid w:val="00FD01D5"/>
    <w:rsid w:val="00FD01E5"/>
    <w:rsid w:val="00FD01E8"/>
    <w:rsid w:val="00FD0288"/>
    <w:rsid w:val="00FD02A1"/>
    <w:rsid w:val="00FD038C"/>
    <w:rsid w:val="00FD0398"/>
    <w:rsid w:val="00FD03E8"/>
    <w:rsid w:val="00FD03F4"/>
    <w:rsid w:val="00FD04A6"/>
    <w:rsid w:val="00FD04E2"/>
    <w:rsid w:val="00FD0662"/>
    <w:rsid w:val="00FD06CA"/>
    <w:rsid w:val="00FD0739"/>
    <w:rsid w:val="00FD0819"/>
    <w:rsid w:val="00FD0845"/>
    <w:rsid w:val="00FD088A"/>
    <w:rsid w:val="00FD0995"/>
    <w:rsid w:val="00FD0B32"/>
    <w:rsid w:val="00FD0B42"/>
    <w:rsid w:val="00FD0B46"/>
    <w:rsid w:val="00FD0BA4"/>
    <w:rsid w:val="00FD0C3C"/>
    <w:rsid w:val="00FD0C44"/>
    <w:rsid w:val="00FD0DCA"/>
    <w:rsid w:val="00FD0DE9"/>
    <w:rsid w:val="00FD0E76"/>
    <w:rsid w:val="00FD0EC1"/>
    <w:rsid w:val="00FD0F20"/>
    <w:rsid w:val="00FD0F6A"/>
    <w:rsid w:val="00FD0FA0"/>
    <w:rsid w:val="00FD102C"/>
    <w:rsid w:val="00FD10E2"/>
    <w:rsid w:val="00FD1113"/>
    <w:rsid w:val="00FD114A"/>
    <w:rsid w:val="00FD127E"/>
    <w:rsid w:val="00FD134E"/>
    <w:rsid w:val="00FD1399"/>
    <w:rsid w:val="00FD139B"/>
    <w:rsid w:val="00FD14C5"/>
    <w:rsid w:val="00FD165D"/>
    <w:rsid w:val="00FD1696"/>
    <w:rsid w:val="00FD1873"/>
    <w:rsid w:val="00FD196B"/>
    <w:rsid w:val="00FD1B0C"/>
    <w:rsid w:val="00FD1B25"/>
    <w:rsid w:val="00FD1BA5"/>
    <w:rsid w:val="00FD1BFD"/>
    <w:rsid w:val="00FD1C11"/>
    <w:rsid w:val="00FD1E02"/>
    <w:rsid w:val="00FD1E09"/>
    <w:rsid w:val="00FD1E0D"/>
    <w:rsid w:val="00FD1E36"/>
    <w:rsid w:val="00FD1E49"/>
    <w:rsid w:val="00FD1E7C"/>
    <w:rsid w:val="00FD1F35"/>
    <w:rsid w:val="00FD1F9E"/>
    <w:rsid w:val="00FD1FD0"/>
    <w:rsid w:val="00FD2077"/>
    <w:rsid w:val="00FD20CE"/>
    <w:rsid w:val="00FD20CF"/>
    <w:rsid w:val="00FD211A"/>
    <w:rsid w:val="00FD215C"/>
    <w:rsid w:val="00FD21D0"/>
    <w:rsid w:val="00FD21D6"/>
    <w:rsid w:val="00FD22E2"/>
    <w:rsid w:val="00FD2323"/>
    <w:rsid w:val="00FD23AC"/>
    <w:rsid w:val="00FD23D5"/>
    <w:rsid w:val="00FD23E1"/>
    <w:rsid w:val="00FD2581"/>
    <w:rsid w:val="00FD268F"/>
    <w:rsid w:val="00FD2745"/>
    <w:rsid w:val="00FD28E0"/>
    <w:rsid w:val="00FD2979"/>
    <w:rsid w:val="00FD2990"/>
    <w:rsid w:val="00FD29B5"/>
    <w:rsid w:val="00FD29BB"/>
    <w:rsid w:val="00FD29C9"/>
    <w:rsid w:val="00FD2A35"/>
    <w:rsid w:val="00FD2B78"/>
    <w:rsid w:val="00FD2CE5"/>
    <w:rsid w:val="00FD2D23"/>
    <w:rsid w:val="00FD2E72"/>
    <w:rsid w:val="00FD2EB1"/>
    <w:rsid w:val="00FD2F57"/>
    <w:rsid w:val="00FD2F8C"/>
    <w:rsid w:val="00FD2F92"/>
    <w:rsid w:val="00FD2FFC"/>
    <w:rsid w:val="00FD31A2"/>
    <w:rsid w:val="00FD31B3"/>
    <w:rsid w:val="00FD322C"/>
    <w:rsid w:val="00FD3335"/>
    <w:rsid w:val="00FD34D7"/>
    <w:rsid w:val="00FD3516"/>
    <w:rsid w:val="00FD35BF"/>
    <w:rsid w:val="00FD35D5"/>
    <w:rsid w:val="00FD35D7"/>
    <w:rsid w:val="00FD3675"/>
    <w:rsid w:val="00FD3684"/>
    <w:rsid w:val="00FD3704"/>
    <w:rsid w:val="00FD371D"/>
    <w:rsid w:val="00FD375E"/>
    <w:rsid w:val="00FD3799"/>
    <w:rsid w:val="00FD38EF"/>
    <w:rsid w:val="00FD3936"/>
    <w:rsid w:val="00FD394C"/>
    <w:rsid w:val="00FD3B73"/>
    <w:rsid w:val="00FD3BBF"/>
    <w:rsid w:val="00FD3C04"/>
    <w:rsid w:val="00FD3CA8"/>
    <w:rsid w:val="00FD3D90"/>
    <w:rsid w:val="00FD3D96"/>
    <w:rsid w:val="00FD3E71"/>
    <w:rsid w:val="00FD3E80"/>
    <w:rsid w:val="00FD3EB3"/>
    <w:rsid w:val="00FD3F16"/>
    <w:rsid w:val="00FD3F9B"/>
    <w:rsid w:val="00FD4114"/>
    <w:rsid w:val="00FD41DB"/>
    <w:rsid w:val="00FD424F"/>
    <w:rsid w:val="00FD429B"/>
    <w:rsid w:val="00FD42A4"/>
    <w:rsid w:val="00FD42B6"/>
    <w:rsid w:val="00FD42C3"/>
    <w:rsid w:val="00FD42D8"/>
    <w:rsid w:val="00FD42FF"/>
    <w:rsid w:val="00FD4369"/>
    <w:rsid w:val="00FD437E"/>
    <w:rsid w:val="00FD438E"/>
    <w:rsid w:val="00FD44B2"/>
    <w:rsid w:val="00FD455A"/>
    <w:rsid w:val="00FD4560"/>
    <w:rsid w:val="00FD456C"/>
    <w:rsid w:val="00FD46B0"/>
    <w:rsid w:val="00FD4703"/>
    <w:rsid w:val="00FD482E"/>
    <w:rsid w:val="00FD4870"/>
    <w:rsid w:val="00FD48B4"/>
    <w:rsid w:val="00FD48EC"/>
    <w:rsid w:val="00FD4911"/>
    <w:rsid w:val="00FD4A8C"/>
    <w:rsid w:val="00FD4AB1"/>
    <w:rsid w:val="00FD4AF0"/>
    <w:rsid w:val="00FD4B8E"/>
    <w:rsid w:val="00FD4BEC"/>
    <w:rsid w:val="00FD4BF4"/>
    <w:rsid w:val="00FD4C84"/>
    <w:rsid w:val="00FD4CAA"/>
    <w:rsid w:val="00FD4D7F"/>
    <w:rsid w:val="00FD4DC3"/>
    <w:rsid w:val="00FD4E10"/>
    <w:rsid w:val="00FD4ECC"/>
    <w:rsid w:val="00FD4F69"/>
    <w:rsid w:val="00FD4F9F"/>
    <w:rsid w:val="00FD5098"/>
    <w:rsid w:val="00FD518F"/>
    <w:rsid w:val="00FD520D"/>
    <w:rsid w:val="00FD5284"/>
    <w:rsid w:val="00FD52D5"/>
    <w:rsid w:val="00FD52FA"/>
    <w:rsid w:val="00FD5304"/>
    <w:rsid w:val="00FD5341"/>
    <w:rsid w:val="00FD534D"/>
    <w:rsid w:val="00FD5428"/>
    <w:rsid w:val="00FD5500"/>
    <w:rsid w:val="00FD554D"/>
    <w:rsid w:val="00FD5624"/>
    <w:rsid w:val="00FD5678"/>
    <w:rsid w:val="00FD56E3"/>
    <w:rsid w:val="00FD570F"/>
    <w:rsid w:val="00FD5752"/>
    <w:rsid w:val="00FD577D"/>
    <w:rsid w:val="00FD5799"/>
    <w:rsid w:val="00FD57D8"/>
    <w:rsid w:val="00FD57ED"/>
    <w:rsid w:val="00FD5863"/>
    <w:rsid w:val="00FD589F"/>
    <w:rsid w:val="00FD58B6"/>
    <w:rsid w:val="00FD58D3"/>
    <w:rsid w:val="00FD5A2B"/>
    <w:rsid w:val="00FD5B30"/>
    <w:rsid w:val="00FD5C7F"/>
    <w:rsid w:val="00FD5F93"/>
    <w:rsid w:val="00FD5FD8"/>
    <w:rsid w:val="00FD612F"/>
    <w:rsid w:val="00FD61C4"/>
    <w:rsid w:val="00FD62BB"/>
    <w:rsid w:val="00FD6387"/>
    <w:rsid w:val="00FD63C4"/>
    <w:rsid w:val="00FD63D4"/>
    <w:rsid w:val="00FD63F4"/>
    <w:rsid w:val="00FD6420"/>
    <w:rsid w:val="00FD64E4"/>
    <w:rsid w:val="00FD6521"/>
    <w:rsid w:val="00FD655A"/>
    <w:rsid w:val="00FD6630"/>
    <w:rsid w:val="00FD6650"/>
    <w:rsid w:val="00FD66D7"/>
    <w:rsid w:val="00FD6773"/>
    <w:rsid w:val="00FD6787"/>
    <w:rsid w:val="00FD684C"/>
    <w:rsid w:val="00FD6851"/>
    <w:rsid w:val="00FD689D"/>
    <w:rsid w:val="00FD6943"/>
    <w:rsid w:val="00FD695B"/>
    <w:rsid w:val="00FD6967"/>
    <w:rsid w:val="00FD69DA"/>
    <w:rsid w:val="00FD6A0F"/>
    <w:rsid w:val="00FD6B96"/>
    <w:rsid w:val="00FD6C4A"/>
    <w:rsid w:val="00FD6DEA"/>
    <w:rsid w:val="00FD6E50"/>
    <w:rsid w:val="00FD6EDD"/>
    <w:rsid w:val="00FD6F81"/>
    <w:rsid w:val="00FD6FBB"/>
    <w:rsid w:val="00FD70DB"/>
    <w:rsid w:val="00FD7104"/>
    <w:rsid w:val="00FD715B"/>
    <w:rsid w:val="00FD7164"/>
    <w:rsid w:val="00FD7218"/>
    <w:rsid w:val="00FD724B"/>
    <w:rsid w:val="00FD7263"/>
    <w:rsid w:val="00FD732C"/>
    <w:rsid w:val="00FD7340"/>
    <w:rsid w:val="00FD737B"/>
    <w:rsid w:val="00FD73AD"/>
    <w:rsid w:val="00FD73CC"/>
    <w:rsid w:val="00FD73DA"/>
    <w:rsid w:val="00FD73FC"/>
    <w:rsid w:val="00FD745A"/>
    <w:rsid w:val="00FD7463"/>
    <w:rsid w:val="00FD7493"/>
    <w:rsid w:val="00FD74AB"/>
    <w:rsid w:val="00FD74D8"/>
    <w:rsid w:val="00FD7525"/>
    <w:rsid w:val="00FD75ED"/>
    <w:rsid w:val="00FD78D6"/>
    <w:rsid w:val="00FD7956"/>
    <w:rsid w:val="00FD795D"/>
    <w:rsid w:val="00FD7986"/>
    <w:rsid w:val="00FD7AA6"/>
    <w:rsid w:val="00FD7ABC"/>
    <w:rsid w:val="00FD7AC3"/>
    <w:rsid w:val="00FD7B91"/>
    <w:rsid w:val="00FD7C0A"/>
    <w:rsid w:val="00FD7C31"/>
    <w:rsid w:val="00FD7C62"/>
    <w:rsid w:val="00FD7CE2"/>
    <w:rsid w:val="00FD7E5C"/>
    <w:rsid w:val="00FD7EB2"/>
    <w:rsid w:val="00FD7EBC"/>
    <w:rsid w:val="00FE0063"/>
    <w:rsid w:val="00FE00EA"/>
    <w:rsid w:val="00FE0168"/>
    <w:rsid w:val="00FE019B"/>
    <w:rsid w:val="00FE01A3"/>
    <w:rsid w:val="00FE01AD"/>
    <w:rsid w:val="00FE01EA"/>
    <w:rsid w:val="00FE0220"/>
    <w:rsid w:val="00FE0391"/>
    <w:rsid w:val="00FE0467"/>
    <w:rsid w:val="00FE0483"/>
    <w:rsid w:val="00FE0547"/>
    <w:rsid w:val="00FE05D1"/>
    <w:rsid w:val="00FE061A"/>
    <w:rsid w:val="00FE0641"/>
    <w:rsid w:val="00FE0712"/>
    <w:rsid w:val="00FE0772"/>
    <w:rsid w:val="00FE0774"/>
    <w:rsid w:val="00FE078D"/>
    <w:rsid w:val="00FE07B6"/>
    <w:rsid w:val="00FE07C4"/>
    <w:rsid w:val="00FE07DA"/>
    <w:rsid w:val="00FE08C0"/>
    <w:rsid w:val="00FE08C2"/>
    <w:rsid w:val="00FE09DE"/>
    <w:rsid w:val="00FE0A14"/>
    <w:rsid w:val="00FE0A33"/>
    <w:rsid w:val="00FE0AEC"/>
    <w:rsid w:val="00FE0B40"/>
    <w:rsid w:val="00FE0B82"/>
    <w:rsid w:val="00FE0BEE"/>
    <w:rsid w:val="00FE0CCA"/>
    <w:rsid w:val="00FE0D90"/>
    <w:rsid w:val="00FE0DE3"/>
    <w:rsid w:val="00FE0E15"/>
    <w:rsid w:val="00FE0E2C"/>
    <w:rsid w:val="00FE0E42"/>
    <w:rsid w:val="00FE0F23"/>
    <w:rsid w:val="00FE101C"/>
    <w:rsid w:val="00FE1099"/>
    <w:rsid w:val="00FE109E"/>
    <w:rsid w:val="00FE10C0"/>
    <w:rsid w:val="00FE1221"/>
    <w:rsid w:val="00FE1281"/>
    <w:rsid w:val="00FE134C"/>
    <w:rsid w:val="00FE136E"/>
    <w:rsid w:val="00FE1534"/>
    <w:rsid w:val="00FE1572"/>
    <w:rsid w:val="00FE160B"/>
    <w:rsid w:val="00FE1668"/>
    <w:rsid w:val="00FE176A"/>
    <w:rsid w:val="00FE17B0"/>
    <w:rsid w:val="00FE17DB"/>
    <w:rsid w:val="00FE17E7"/>
    <w:rsid w:val="00FE17F5"/>
    <w:rsid w:val="00FE1820"/>
    <w:rsid w:val="00FE1824"/>
    <w:rsid w:val="00FE182E"/>
    <w:rsid w:val="00FE18D5"/>
    <w:rsid w:val="00FE1A20"/>
    <w:rsid w:val="00FE1A92"/>
    <w:rsid w:val="00FE1AA2"/>
    <w:rsid w:val="00FE1B04"/>
    <w:rsid w:val="00FE1B7A"/>
    <w:rsid w:val="00FE1BA1"/>
    <w:rsid w:val="00FE1BDD"/>
    <w:rsid w:val="00FE1C3F"/>
    <w:rsid w:val="00FE1CE0"/>
    <w:rsid w:val="00FE1DD7"/>
    <w:rsid w:val="00FE1E06"/>
    <w:rsid w:val="00FE1E3E"/>
    <w:rsid w:val="00FE1E7A"/>
    <w:rsid w:val="00FE1F64"/>
    <w:rsid w:val="00FE2010"/>
    <w:rsid w:val="00FE201E"/>
    <w:rsid w:val="00FE2096"/>
    <w:rsid w:val="00FE20C2"/>
    <w:rsid w:val="00FE20C8"/>
    <w:rsid w:val="00FE212E"/>
    <w:rsid w:val="00FE21EA"/>
    <w:rsid w:val="00FE2265"/>
    <w:rsid w:val="00FE2284"/>
    <w:rsid w:val="00FE2342"/>
    <w:rsid w:val="00FE23F5"/>
    <w:rsid w:val="00FE2460"/>
    <w:rsid w:val="00FE251B"/>
    <w:rsid w:val="00FE25D2"/>
    <w:rsid w:val="00FE2620"/>
    <w:rsid w:val="00FE26F4"/>
    <w:rsid w:val="00FE2754"/>
    <w:rsid w:val="00FE2887"/>
    <w:rsid w:val="00FE28B2"/>
    <w:rsid w:val="00FE28DD"/>
    <w:rsid w:val="00FE292D"/>
    <w:rsid w:val="00FE295E"/>
    <w:rsid w:val="00FE2974"/>
    <w:rsid w:val="00FE2AB0"/>
    <w:rsid w:val="00FE2B13"/>
    <w:rsid w:val="00FE2BE5"/>
    <w:rsid w:val="00FE2DE9"/>
    <w:rsid w:val="00FE2E9C"/>
    <w:rsid w:val="00FE2EBE"/>
    <w:rsid w:val="00FE2ED5"/>
    <w:rsid w:val="00FE2EE9"/>
    <w:rsid w:val="00FE2EF6"/>
    <w:rsid w:val="00FE2F04"/>
    <w:rsid w:val="00FE310B"/>
    <w:rsid w:val="00FE3209"/>
    <w:rsid w:val="00FE3217"/>
    <w:rsid w:val="00FE3295"/>
    <w:rsid w:val="00FE33C9"/>
    <w:rsid w:val="00FE35E2"/>
    <w:rsid w:val="00FE3622"/>
    <w:rsid w:val="00FE362E"/>
    <w:rsid w:val="00FE3644"/>
    <w:rsid w:val="00FE36B1"/>
    <w:rsid w:val="00FE36B2"/>
    <w:rsid w:val="00FE36EC"/>
    <w:rsid w:val="00FE3738"/>
    <w:rsid w:val="00FE3831"/>
    <w:rsid w:val="00FE38C9"/>
    <w:rsid w:val="00FE38D1"/>
    <w:rsid w:val="00FE39A5"/>
    <w:rsid w:val="00FE39B5"/>
    <w:rsid w:val="00FE3A20"/>
    <w:rsid w:val="00FE3A3E"/>
    <w:rsid w:val="00FE3AE8"/>
    <w:rsid w:val="00FE3B99"/>
    <w:rsid w:val="00FE3BFF"/>
    <w:rsid w:val="00FE3C34"/>
    <w:rsid w:val="00FE3C80"/>
    <w:rsid w:val="00FE3DAE"/>
    <w:rsid w:val="00FE3DD7"/>
    <w:rsid w:val="00FE3F6A"/>
    <w:rsid w:val="00FE3FA0"/>
    <w:rsid w:val="00FE3FB5"/>
    <w:rsid w:val="00FE3FDB"/>
    <w:rsid w:val="00FE405A"/>
    <w:rsid w:val="00FE4143"/>
    <w:rsid w:val="00FE4159"/>
    <w:rsid w:val="00FE4193"/>
    <w:rsid w:val="00FE41B6"/>
    <w:rsid w:val="00FE41FA"/>
    <w:rsid w:val="00FE4278"/>
    <w:rsid w:val="00FE42AC"/>
    <w:rsid w:val="00FE4312"/>
    <w:rsid w:val="00FE43A7"/>
    <w:rsid w:val="00FE43B3"/>
    <w:rsid w:val="00FE43FB"/>
    <w:rsid w:val="00FE447A"/>
    <w:rsid w:val="00FE4559"/>
    <w:rsid w:val="00FE457C"/>
    <w:rsid w:val="00FE462A"/>
    <w:rsid w:val="00FE4660"/>
    <w:rsid w:val="00FE4666"/>
    <w:rsid w:val="00FE4783"/>
    <w:rsid w:val="00FE4862"/>
    <w:rsid w:val="00FE4ACF"/>
    <w:rsid w:val="00FE4AED"/>
    <w:rsid w:val="00FE4CB7"/>
    <w:rsid w:val="00FE4CE5"/>
    <w:rsid w:val="00FE4DEA"/>
    <w:rsid w:val="00FE4EA1"/>
    <w:rsid w:val="00FE4EC6"/>
    <w:rsid w:val="00FE4FFB"/>
    <w:rsid w:val="00FE501F"/>
    <w:rsid w:val="00FE5164"/>
    <w:rsid w:val="00FE51B7"/>
    <w:rsid w:val="00FE5210"/>
    <w:rsid w:val="00FE541D"/>
    <w:rsid w:val="00FE541F"/>
    <w:rsid w:val="00FE5613"/>
    <w:rsid w:val="00FE56F3"/>
    <w:rsid w:val="00FE5750"/>
    <w:rsid w:val="00FE57C4"/>
    <w:rsid w:val="00FE581A"/>
    <w:rsid w:val="00FE5854"/>
    <w:rsid w:val="00FE598A"/>
    <w:rsid w:val="00FE5994"/>
    <w:rsid w:val="00FE59CA"/>
    <w:rsid w:val="00FE5AAD"/>
    <w:rsid w:val="00FE5AD0"/>
    <w:rsid w:val="00FE5B10"/>
    <w:rsid w:val="00FE5C11"/>
    <w:rsid w:val="00FE5D8E"/>
    <w:rsid w:val="00FE5EE0"/>
    <w:rsid w:val="00FE5EEA"/>
    <w:rsid w:val="00FE5F6A"/>
    <w:rsid w:val="00FE5FAB"/>
    <w:rsid w:val="00FE5FBE"/>
    <w:rsid w:val="00FE5FD1"/>
    <w:rsid w:val="00FE5FF5"/>
    <w:rsid w:val="00FE607F"/>
    <w:rsid w:val="00FE6091"/>
    <w:rsid w:val="00FE6096"/>
    <w:rsid w:val="00FE609E"/>
    <w:rsid w:val="00FE61B4"/>
    <w:rsid w:val="00FE63CC"/>
    <w:rsid w:val="00FE641A"/>
    <w:rsid w:val="00FE64DA"/>
    <w:rsid w:val="00FE659C"/>
    <w:rsid w:val="00FE65C9"/>
    <w:rsid w:val="00FE661C"/>
    <w:rsid w:val="00FE67A6"/>
    <w:rsid w:val="00FE67C8"/>
    <w:rsid w:val="00FE686A"/>
    <w:rsid w:val="00FE68DA"/>
    <w:rsid w:val="00FE6941"/>
    <w:rsid w:val="00FE6955"/>
    <w:rsid w:val="00FE6AC1"/>
    <w:rsid w:val="00FE6AEE"/>
    <w:rsid w:val="00FE6B29"/>
    <w:rsid w:val="00FE6B5C"/>
    <w:rsid w:val="00FE6C55"/>
    <w:rsid w:val="00FE6CF9"/>
    <w:rsid w:val="00FE6E08"/>
    <w:rsid w:val="00FE6F0E"/>
    <w:rsid w:val="00FE6F15"/>
    <w:rsid w:val="00FE6FB1"/>
    <w:rsid w:val="00FE7035"/>
    <w:rsid w:val="00FE71BD"/>
    <w:rsid w:val="00FE7249"/>
    <w:rsid w:val="00FE7262"/>
    <w:rsid w:val="00FE72FF"/>
    <w:rsid w:val="00FE7378"/>
    <w:rsid w:val="00FE7446"/>
    <w:rsid w:val="00FE744A"/>
    <w:rsid w:val="00FE7536"/>
    <w:rsid w:val="00FE753C"/>
    <w:rsid w:val="00FE7607"/>
    <w:rsid w:val="00FE7660"/>
    <w:rsid w:val="00FE784C"/>
    <w:rsid w:val="00FE78AD"/>
    <w:rsid w:val="00FE78AF"/>
    <w:rsid w:val="00FE7952"/>
    <w:rsid w:val="00FE79F0"/>
    <w:rsid w:val="00FE7A08"/>
    <w:rsid w:val="00FE7A97"/>
    <w:rsid w:val="00FE7B1B"/>
    <w:rsid w:val="00FE7BBF"/>
    <w:rsid w:val="00FE7C7B"/>
    <w:rsid w:val="00FE7CA2"/>
    <w:rsid w:val="00FE7D0C"/>
    <w:rsid w:val="00FE7DBC"/>
    <w:rsid w:val="00FE7E19"/>
    <w:rsid w:val="00FE7F37"/>
    <w:rsid w:val="00FE7F3C"/>
    <w:rsid w:val="00FE7FC1"/>
    <w:rsid w:val="00FF0277"/>
    <w:rsid w:val="00FF0298"/>
    <w:rsid w:val="00FF0326"/>
    <w:rsid w:val="00FF0347"/>
    <w:rsid w:val="00FF0361"/>
    <w:rsid w:val="00FF0397"/>
    <w:rsid w:val="00FF0498"/>
    <w:rsid w:val="00FF049B"/>
    <w:rsid w:val="00FF06BD"/>
    <w:rsid w:val="00FF07F6"/>
    <w:rsid w:val="00FF0804"/>
    <w:rsid w:val="00FF081F"/>
    <w:rsid w:val="00FF097C"/>
    <w:rsid w:val="00FF0A77"/>
    <w:rsid w:val="00FF0A8E"/>
    <w:rsid w:val="00FF0AA1"/>
    <w:rsid w:val="00FF0BF5"/>
    <w:rsid w:val="00FF0BFA"/>
    <w:rsid w:val="00FF0D4A"/>
    <w:rsid w:val="00FF0DE5"/>
    <w:rsid w:val="00FF0DF0"/>
    <w:rsid w:val="00FF0DFF"/>
    <w:rsid w:val="00FF0E21"/>
    <w:rsid w:val="00FF0F37"/>
    <w:rsid w:val="00FF0F6F"/>
    <w:rsid w:val="00FF0F88"/>
    <w:rsid w:val="00FF111F"/>
    <w:rsid w:val="00FF1167"/>
    <w:rsid w:val="00FF11C4"/>
    <w:rsid w:val="00FF11CA"/>
    <w:rsid w:val="00FF11CD"/>
    <w:rsid w:val="00FF1227"/>
    <w:rsid w:val="00FF1286"/>
    <w:rsid w:val="00FF1357"/>
    <w:rsid w:val="00FF1363"/>
    <w:rsid w:val="00FF158C"/>
    <w:rsid w:val="00FF1657"/>
    <w:rsid w:val="00FF16EA"/>
    <w:rsid w:val="00FF1726"/>
    <w:rsid w:val="00FF17D1"/>
    <w:rsid w:val="00FF1872"/>
    <w:rsid w:val="00FF18E5"/>
    <w:rsid w:val="00FF1903"/>
    <w:rsid w:val="00FF198E"/>
    <w:rsid w:val="00FF1B9F"/>
    <w:rsid w:val="00FF1C89"/>
    <w:rsid w:val="00FF1C9A"/>
    <w:rsid w:val="00FF1CB0"/>
    <w:rsid w:val="00FF1D72"/>
    <w:rsid w:val="00FF1FAB"/>
    <w:rsid w:val="00FF2152"/>
    <w:rsid w:val="00FF21AE"/>
    <w:rsid w:val="00FF21EB"/>
    <w:rsid w:val="00FF2245"/>
    <w:rsid w:val="00FF225E"/>
    <w:rsid w:val="00FF227B"/>
    <w:rsid w:val="00FF22AA"/>
    <w:rsid w:val="00FF23BB"/>
    <w:rsid w:val="00FF23DA"/>
    <w:rsid w:val="00FF2469"/>
    <w:rsid w:val="00FF2479"/>
    <w:rsid w:val="00FF2552"/>
    <w:rsid w:val="00FF25BA"/>
    <w:rsid w:val="00FF27A9"/>
    <w:rsid w:val="00FF28A0"/>
    <w:rsid w:val="00FF2A26"/>
    <w:rsid w:val="00FF2A50"/>
    <w:rsid w:val="00FF2AD7"/>
    <w:rsid w:val="00FF2B04"/>
    <w:rsid w:val="00FF2BE3"/>
    <w:rsid w:val="00FF2C56"/>
    <w:rsid w:val="00FF2CA7"/>
    <w:rsid w:val="00FF2D27"/>
    <w:rsid w:val="00FF2D8C"/>
    <w:rsid w:val="00FF2DA7"/>
    <w:rsid w:val="00FF2DEE"/>
    <w:rsid w:val="00FF2E08"/>
    <w:rsid w:val="00FF2E33"/>
    <w:rsid w:val="00FF2FB3"/>
    <w:rsid w:val="00FF2FDD"/>
    <w:rsid w:val="00FF303F"/>
    <w:rsid w:val="00FF30F5"/>
    <w:rsid w:val="00FF31CE"/>
    <w:rsid w:val="00FF323B"/>
    <w:rsid w:val="00FF3394"/>
    <w:rsid w:val="00FF33C7"/>
    <w:rsid w:val="00FF33EC"/>
    <w:rsid w:val="00FF347E"/>
    <w:rsid w:val="00FF353F"/>
    <w:rsid w:val="00FF35C2"/>
    <w:rsid w:val="00FF3657"/>
    <w:rsid w:val="00FF36EC"/>
    <w:rsid w:val="00FF3858"/>
    <w:rsid w:val="00FF395B"/>
    <w:rsid w:val="00FF39BA"/>
    <w:rsid w:val="00FF3B60"/>
    <w:rsid w:val="00FF3BBD"/>
    <w:rsid w:val="00FF3BD6"/>
    <w:rsid w:val="00FF3C1A"/>
    <w:rsid w:val="00FF3D5D"/>
    <w:rsid w:val="00FF3DC9"/>
    <w:rsid w:val="00FF3E7D"/>
    <w:rsid w:val="00FF4104"/>
    <w:rsid w:val="00FF4131"/>
    <w:rsid w:val="00FF4154"/>
    <w:rsid w:val="00FF41DB"/>
    <w:rsid w:val="00FF41DD"/>
    <w:rsid w:val="00FF41E5"/>
    <w:rsid w:val="00FF42E4"/>
    <w:rsid w:val="00FF43DC"/>
    <w:rsid w:val="00FF43DD"/>
    <w:rsid w:val="00FF440C"/>
    <w:rsid w:val="00FF445F"/>
    <w:rsid w:val="00FF4480"/>
    <w:rsid w:val="00FF44BB"/>
    <w:rsid w:val="00FF44C9"/>
    <w:rsid w:val="00FF45DA"/>
    <w:rsid w:val="00FF4781"/>
    <w:rsid w:val="00FF4825"/>
    <w:rsid w:val="00FF48B0"/>
    <w:rsid w:val="00FF48DF"/>
    <w:rsid w:val="00FF4949"/>
    <w:rsid w:val="00FF49E7"/>
    <w:rsid w:val="00FF4AD4"/>
    <w:rsid w:val="00FF4ADA"/>
    <w:rsid w:val="00FF4B5B"/>
    <w:rsid w:val="00FF4B85"/>
    <w:rsid w:val="00FF4BA0"/>
    <w:rsid w:val="00FF4BAE"/>
    <w:rsid w:val="00FF4C11"/>
    <w:rsid w:val="00FF4C65"/>
    <w:rsid w:val="00FF4C67"/>
    <w:rsid w:val="00FF4DA1"/>
    <w:rsid w:val="00FF4DE7"/>
    <w:rsid w:val="00FF4FA6"/>
    <w:rsid w:val="00FF4FDA"/>
    <w:rsid w:val="00FF4FEE"/>
    <w:rsid w:val="00FF5045"/>
    <w:rsid w:val="00FF5072"/>
    <w:rsid w:val="00FF50D4"/>
    <w:rsid w:val="00FF52E6"/>
    <w:rsid w:val="00FF53B1"/>
    <w:rsid w:val="00FF53C9"/>
    <w:rsid w:val="00FF53FA"/>
    <w:rsid w:val="00FF53FC"/>
    <w:rsid w:val="00FF5412"/>
    <w:rsid w:val="00FF541E"/>
    <w:rsid w:val="00FF5486"/>
    <w:rsid w:val="00FF550D"/>
    <w:rsid w:val="00FF551C"/>
    <w:rsid w:val="00FF559D"/>
    <w:rsid w:val="00FF5640"/>
    <w:rsid w:val="00FF56CC"/>
    <w:rsid w:val="00FF5813"/>
    <w:rsid w:val="00FF582C"/>
    <w:rsid w:val="00FF58C8"/>
    <w:rsid w:val="00FF590B"/>
    <w:rsid w:val="00FF59D4"/>
    <w:rsid w:val="00FF5A26"/>
    <w:rsid w:val="00FF5A4E"/>
    <w:rsid w:val="00FF5A62"/>
    <w:rsid w:val="00FF5AA9"/>
    <w:rsid w:val="00FF5ADF"/>
    <w:rsid w:val="00FF5B51"/>
    <w:rsid w:val="00FF5B61"/>
    <w:rsid w:val="00FF5C7F"/>
    <w:rsid w:val="00FF5D67"/>
    <w:rsid w:val="00FF5D6E"/>
    <w:rsid w:val="00FF5DF5"/>
    <w:rsid w:val="00FF5E58"/>
    <w:rsid w:val="00FF5F29"/>
    <w:rsid w:val="00FF5F40"/>
    <w:rsid w:val="00FF5F98"/>
    <w:rsid w:val="00FF5FFD"/>
    <w:rsid w:val="00FF6025"/>
    <w:rsid w:val="00FF6044"/>
    <w:rsid w:val="00FF6188"/>
    <w:rsid w:val="00FF6284"/>
    <w:rsid w:val="00FF6317"/>
    <w:rsid w:val="00FF634E"/>
    <w:rsid w:val="00FF6379"/>
    <w:rsid w:val="00FF63E5"/>
    <w:rsid w:val="00FF64A6"/>
    <w:rsid w:val="00FF6514"/>
    <w:rsid w:val="00FF68CA"/>
    <w:rsid w:val="00FF6AED"/>
    <w:rsid w:val="00FF6B41"/>
    <w:rsid w:val="00FF6BCE"/>
    <w:rsid w:val="00FF6C24"/>
    <w:rsid w:val="00FF6C2D"/>
    <w:rsid w:val="00FF6C6F"/>
    <w:rsid w:val="00FF6D48"/>
    <w:rsid w:val="00FF6DB3"/>
    <w:rsid w:val="00FF6E3D"/>
    <w:rsid w:val="00FF6F62"/>
    <w:rsid w:val="00FF6F99"/>
    <w:rsid w:val="00FF6F9A"/>
    <w:rsid w:val="00FF6FA7"/>
    <w:rsid w:val="00FF6FD4"/>
    <w:rsid w:val="00FF6FE2"/>
    <w:rsid w:val="00FF704A"/>
    <w:rsid w:val="00FF7076"/>
    <w:rsid w:val="00FF70A8"/>
    <w:rsid w:val="00FF72BD"/>
    <w:rsid w:val="00FF72CA"/>
    <w:rsid w:val="00FF736A"/>
    <w:rsid w:val="00FF73C5"/>
    <w:rsid w:val="00FF7407"/>
    <w:rsid w:val="00FF7421"/>
    <w:rsid w:val="00FF7484"/>
    <w:rsid w:val="00FF75F9"/>
    <w:rsid w:val="00FF76A2"/>
    <w:rsid w:val="00FF771E"/>
    <w:rsid w:val="00FF77DD"/>
    <w:rsid w:val="00FF7885"/>
    <w:rsid w:val="00FF7908"/>
    <w:rsid w:val="00FF7A59"/>
    <w:rsid w:val="00FF7B2E"/>
    <w:rsid w:val="00FF7B89"/>
    <w:rsid w:val="00FF7BE0"/>
    <w:rsid w:val="00FF7BFB"/>
    <w:rsid w:val="00FF7D6B"/>
    <w:rsid w:val="00FF7DEC"/>
    <w:rsid w:val="00FF7E3C"/>
    <w:rsid w:val="00FF7E6E"/>
    <w:rsid w:val="00FF7F08"/>
    <w:rsid w:val="00FF7F75"/>
    <w:rsid w:val="0199033D"/>
    <w:rsid w:val="01CD7278"/>
    <w:rsid w:val="01E211E6"/>
    <w:rsid w:val="01ED5FC5"/>
    <w:rsid w:val="0208380E"/>
    <w:rsid w:val="02234163"/>
    <w:rsid w:val="0236982E"/>
    <w:rsid w:val="02818192"/>
    <w:rsid w:val="02B637E0"/>
    <w:rsid w:val="02CAF8AD"/>
    <w:rsid w:val="02D476F2"/>
    <w:rsid w:val="02EFDDE1"/>
    <w:rsid w:val="03165A40"/>
    <w:rsid w:val="03417D76"/>
    <w:rsid w:val="0350C3FD"/>
    <w:rsid w:val="03658B60"/>
    <w:rsid w:val="03AAADF3"/>
    <w:rsid w:val="03B4D025"/>
    <w:rsid w:val="03CC3C18"/>
    <w:rsid w:val="04134AB2"/>
    <w:rsid w:val="0456DC53"/>
    <w:rsid w:val="0475951C"/>
    <w:rsid w:val="04A17F32"/>
    <w:rsid w:val="04E786A1"/>
    <w:rsid w:val="04F38B66"/>
    <w:rsid w:val="051A208A"/>
    <w:rsid w:val="053AC5FB"/>
    <w:rsid w:val="05501865"/>
    <w:rsid w:val="05C381DE"/>
    <w:rsid w:val="05E1ED75"/>
    <w:rsid w:val="05F44653"/>
    <w:rsid w:val="0653B40A"/>
    <w:rsid w:val="0697C0B6"/>
    <w:rsid w:val="06BAC61F"/>
    <w:rsid w:val="06BDCB67"/>
    <w:rsid w:val="06CDCB9F"/>
    <w:rsid w:val="06CF45D8"/>
    <w:rsid w:val="06E0CD23"/>
    <w:rsid w:val="077F8F20"/>
    <w:rsid w:val="079016B4"/>
    <w:rsid w:val="07B39067"/>
    <w:rsid w:val="07C3E776"/>
    <w:rsid w:val="08023CE0"/>
    <w:rsid w:val="082E3A17"/>
    <w:rsid w:val="083AA3D7"/>
    <w:rsid w:val="0859668E"/>
    <w:rsid w:val="0872E7E3"/>
    <w:rsid w:val="08B66DBA"/>
    <w:rsid w:val="08CA3847"/>
    <w:rsid w:val="08CC8043"/>
    <w:rsid w:val="08EC2C0E"/>
    <w:rsid w:val="08F4D39C"/>
    <w:rsid w:val="09265D2E"/>
    <w:rsid w:val="09A82D20"/>
    <w:rsid w:val="09AC0B11"/>
    <w:rsid w:val="09AF2746"/>
    <w:rsid w:val="09C0C859"/>
    <w:rsid w:val="09C5778E"/>
    <w:rsid w:val="09C8BB54"/>
    <w:rsid w:val="0A58BF48"/>
    <w:rsid w:val="0BAB4633"/>
    <w:rsid w:val="0BD73722"/>
    <w:rsid w:val="0C01F3F3"/>
    <w:rsid w:val="0C5D9A75"/>
    <w:rsid w:val="0C77D612"/>
    <w:rsid w:val="0CA06D7C"/>
    <w:rsid w:val="0CD6414F"/>
    <w:rsid w:val="0D26264E"/>
    <w:rsid w:val="0D291039"/>
    <w:rsid w:val="0D527891"/>
    <w:rsid w:val="0D6FFF5C"/>
    <w:rsid w:val="0D9F2F9B"/>
    <w:rsid w:val="0DB97FF4"/>
    <w:rsid w:val="0E899EFA"/>
    <w:rsid w:val="0EBC3ED0"/>
    <w:rsid w:val="0EEF65E7"/>
    <w:rsid w:val="0F1A485C"/>
    <w:rsid w:val="0F93ADF4"/>
    <w:rsid w:val="0F98BC63"/>
    <w:rsid w:val="0FAF7FAD"/>
    <w:rsid w:val="0FB01725"/>
    <w:rsid w:val="0FC3F6A5"/>
    <w:rsid w:val="0FE01130"/>
    <w:rsid w:val="0FF97050"/>
    <w:rsid w:val="0FFABDFD"/>
    <w:rsid w:val="0FFCB801"/>
    <w:rsid w:val="101F8AC9"/>
    <w:rsid w:val="106F906B"/>
    <w:rsid w:val="1071E66D"/>
    <w:rsid w:val="10F4404E"/>
    <w:rsid w:val="11110B31"/>
    <w:rsid w:val="117AC108"/>
    <w:rsid w:val="117B167C"/>
    <w:rsid w:val="11A3B7A4"/>
    <w:rsid w:val="11B388B9"/>
    <w:rsid w:val="11C07945"/>
    <w:rsid w:val="11D6AA6B"/>
    <w:rsid w:val="12301790"/>
    <w:rsid w:val="12636C86"/>
    <w:rsid w:val="129E51C7"/>
    <w:rsid w:val="12B352A2"/>
    <w:rsid w:val="12E8C19E"/>
    <w:rsid w:val="12F511BD"/>
    <w:rsid w:val="132526F2"/>
    <w:rsid w:val="13369527"/>
    <w:rsid w:val="134EC61B"/>
    <w:rsid w:val="139779B3"/>
    <w:rsid w:val="13C08705"/>
    <w:rsid w:val="13F3759E"/>
    <w:rsid w:val="1403137E"/>
    <w:rsid w:val="1419DE61"/>
    <w:rsid w:val="1435F0E7"/>
    <w:rsid w:val="144F2303"/>
    <w:rsid w:val="145D1B30"/>
    <w:rsid w:val="145DA339"/>
    <w:rsid w:val="14A6EEB1"/>
    <w:rsid w:val="14B6C7F3"/>
    <w:rsid w:val="14C71866"/>
    <w:rsid w:val="14CE6461"/>
    <w:rsid w:val="14DBE9AA"/>
    <w:rsid w:val="14DDFA8C"/>
    <w:rsid w:val="14F58DFB"/>
    <w:rsid w:val="150EF0A1"/>
    <w:rsid w:val="154865C2"/>
    <w:rsid w:val="15540361"/>
    <w:rsid w:val="155F3C12"/>
    <w:rsid w:val="15625736"/>
    <w:rsid w:val="157F9E09"/>
    <w:rsid w:val="15DF0171"/>
    <w:rsid w:val="15F6E6AB"/>
    <w:rsid w:val="161DB312"/>
    <w:rsid w:val="1621D666"/>
    <w:rsid w:val="16321C86"/>
    <w:rsid w:val="1643FEEE"/>
    <w:rsid w:val="165278C7"/>
    <w:rsid w:val="166DBD3F"/>
    <w:rsid w:val="16713735"/>
    <w:rsid w:val="167D8ABD"/>
    <w:rsid w:val="1692A531"/>
    <w:rsid w:val="16B9EFC4"/>
    <w:rsid w:val="16D6B9F2"/>
    <w:rsid w:val="16FE98A2"/>
    <w:rsid w:val="171F3828"/>
    <w:rsid w:val="175387C7"/>
    <w:rsid w:val="1785C35F"/>
    <w:rsid w:val="178726B9"/>
    <w:rsid w:val="17D72753"/>
    <w:rsid w:val="17DD8956"/>
    <w:rsid w:val="17E75733"/>
    <w:rsid w:val="17FFD7C6"/>
    <w:rsid w:val="18325A56"/>
    <w:rsid w:val="1878EF32"/>
    <w:rsid w:val="1899FD71"/>
    <w:rsid w:val="18A9B3AF"/>
    <w:rsid w:val="18B1C40D"/>
    <w:rsid w:val="18CD13B7"/>
    <w:rsid w:val="18E95B3A"/>
    <w:rsid w:val="18FA7EF8"/>
    <w:rsid w:val="19097D76"/>
    <w:rsid w:val="1948E737"/>
    <w:rsid w:val="19593BB4"/>
    <w:rsid w:val="195DA8CF"/>
    <w:rsid w:val="1963FB93"/>
    <w:rsid w:val="1985A178"/>
    <w:rsid w:val="19A81C0C"/>
    <w:rsid w:val="1A3E6CBF"/>
    <w:rsid w:val="1A6DE6F3"/>
    <w:rsid w:val="1A8D431C"/>
    <w:rsid w:val="1AA48491"/>
    <w:rsid w:val="1AAC6BB7"/>
    <w:rsid w:val="1AB07E6D"/>
    <w:rsid w:val="1AC72F15"/>
    <w:rsid w:val="1ACA8ABF"/>
    <w:rsid w:val="1AF36342"/>
    <w:rsid w:val="1B09D0DB"/>
    <w:rsid w:val="1B3971C1"/>
    <w:rsid w:val="1B4AC9D8"/>
    <w:rsid w:val="1C226302"/>
    <w:rsid w:val="1C23F7D0"/>
    <w:rsid w:val="1C32A2BC"/>
    <w:rsid w:val="1C57C2F8"/>
    <w:rsid w:val="1C59089F"/>
    <w:rsid w:val="1C9330B9"/>
    <w:rsid w:val="1CC9F0FE"/>
    <w:rsid w:val="1CCF76C2"/>
    <w:rsid w:val="1D165E04"/>
    <w:rsid w:val="1D22A8A9"/>
    <w:rsid w:val="1D2ABE35"/>
    <w:rsid w:val="1D4347EF"/>
    <w:rsid w:val="1D44E672"/>
    <w:rsid w:val="1D600BA5"/>
    <w:rsid w:val="1D7B538D"/>
    <w:rsid w:val="1D7BD410"/>
    <w:rsid w:val="1DB85D86"/>
    <w:rsid w:val="1E0E9C7F"/>
    <w:rsid w:val="1E221B61"/>
    <w:rsid w:val="1E35B6A0"/>
    <w:rsid w:val="1E37D1F8"/>
    <w:rsid w:val="1E5EA61E"/>
    <w:rsid w:val="1E949584"/>
    <w:rsid w:val="1EA45611"/>
    <w:rsid w:val="1F1B600D"/>
    <w:rsid w:val="1F6373B5"/>
    <w:rsid w:val="1FBBAEA5"/>
    <w:rsid w:val="1FD02540"/>
    <w:rsid w:val="1FE0C89F"/>
    <w:rsid w:val="1FFD9913"/>
    <w:rsid w:val="20106D24"/>
    <w:rsid w:val="203058EE"/>
    <w:rsid w:val="2040EAC1"/>
    <w:rsid w:val="205E0BAA"/>
    <w:rsid w:val="209819A1"/>
    <w:rsid w:val="20D0CB85"/>
    <w:rsid w:val="20D19F45"/>
    <w:rsid w:val="2109F847"/>
    <w:rsid w:val="2181AB9C"/>
    <w:rsid w:val="218E23A7"/>
    <w:rsid w:val="21BF1820"/>
    <w:rsid w:val="220CE69E"/>
    <w:rsid w:val="223F7DF6"/>
    <w:rsid w:val="229AFA99"/>
    <w:rsid w:val="22BA5ED7"/>
    <w:rsid w:val="22BCABA2"/>
    <w:rsid w:val="22BDD468"/>
    <w:rsid w:val="22C2FF5C"/>
    <w:rsid w:val="232D1834"/>
    <w:rsid w:val="232EE71E"/>
    <w:rsid w:val="2330200C"/>
    <w:rsid w:val="2331D2ED"/>
    <w:rsid w:val="23393D1C"/>
    <w:rsid w:val="233E9D6E"/>
    <w:rsid w:val="238A76B4"/>
    <w:rsid w:val="239B6C65"/>
    <w:rsid w:val="239F6D7A"/>
    <w:rsid w:val="23A0DF0B"/>
    <w:rsid w:val="23E68021"/>
    <w:rsid w:val="23E7AF11"/>
    <w:rsid w:val="23E7E8C6"/>
    <w:rsid w:val="241B54FE"/>
    <w:rsid w:val="2457E1D9"/>
    <w:rsid w:val="245B206B"/>
    <w:rsid w:val="247277EC"/>
    <w:rsid w:val="2488F861"/>
    <w:rsid w:val="24D95074"/>
    <w:rsid w:val="24E49771"/>
    <w:rsid w:val="24EDD038"/>
    <w:rsid w:val="24FFA287"/>
    <w:rsid w:val="250692F3"/>
    <w:rsid w:val="25184BBD"/>
    <w:rsid w:val="251EF107"/>
    <w:rsid w:val="251FD53F"/>
    <w:rsid w:val="256434B6"/>
    <w:rsid w:val="2577F399"/>
    <w:rsid w:val="2583CD6B"/>
    <w:rsid w:val="259710FC"/>
    <w:rsid w:val="25A1FB38"/>
    <w:rsid w:val="25B856BF"/>
    <w:rsid w:val="260A06FC"/>
    <w:rsid w:val="26432B75"/>
    <w:rsid w:val="26531B0F"/>
    <w:rsid w:val="26AE5F2C"/>
    <w:rsid w:val="26B4563D"/>
    <w:rsid w:val="26BBDD81"/>
    <w:rsid w:val="273EF270"/>
    <w:rsid w:val="27482012"/>
    <w:rsid w:val="275AECE3"/>
    <w:rsid w:val="27601818"/>
    <w:rsid w:val="276B8415"/>
    <w:rsid w:val="2772C8E1"/>
    <w:rsid w:val="2783E4D1"/>
    <w:rsid w:val="2784AF2D"/>
    <w:rsid w:val="27C2F0F8"/>
    <w:rsid w:val="27EEEB70"/>
    <w:rsid w:val="27F9BC57"/>
    <w:rsid w:val="283FAD8D"/>
    <w:rsid w:val="28507F29"/>
    <w:rsid w:val="2853CF42"/>
    <w:rsid w:val="28935E16"/>
    <w:rsid w:val="28A968F6"/>
    <w:rsid w:val="28DA8776"/>
    <w:rsid w:val="28E93A83"/>
    <w:rsid w:val="28EAC1C2"/>
    <w:rsid w:val="28F5CEA4"/>
    <w:rsid w:val="290741E0"/>
    <w:rsid w:val="290932B2"/>
    <w:rsid w:val="29BEA344"/>
    <w:rsid w:val="29CE25A5"/>
    <w:rsid w:val="2A070198"/>
    <w:rsid w:val="2A6852AA"/>
    <w:rsid w:val="2A93EF66"/>
    <w:rsid w:val="2B422DC9"/>
    <w:rsid w:val="2B4612D9"/>
    <w:rsid w:val="2BA0BE51"/>
    <w:rsid w:val="2BF6A58B"/>
    <w:rsid w:val="2BFB8D62"/>
    <w:rsid w:val="2C04831C"/>
    <w:rsid w:val="2C358143"/>
    <w:rsid w:val="2C6BA8BA"/>
    <w:rsid w:val="2C935F5D"/>
    <w:rsid w:val="2CA7A483"/>
    <w:rsid w:val="2CF65F69"/>
    <w:rsid w:val="2D0814DF"/>
    <w:rsid w:val="2D21CFE4"/>
    <w:rsid w:val="2D52DEA2"/>
    <w:rsid w:val="2D6D4E5D"/>
    <w:rsid w:val="2D7FA357"/>
    <w:rsid w:val="2D95A17B"/>
    <w:rsid w:val="2DA9C073"/>
    <w:rsid w:val="2DB9415B"/>
    <w:rsid w:val="2DC3E193"/>
    <w:rsid w:val="2DC57368"/>
    <w:rsid w:val="2DD4F76D"/>
    <w:rsid w:val="2DE06B6A"/>
    <w:rsid w:val="2DF75325"/>
    <w:rsid w:val="2E1F16CE"/>
    <w:rsid w:val="2E3208AC"/>
    <w:rsid w:val="2E53382C"/>
    <w:rsid w:val="2E557F82"/>
    <w:rsid w:val="2E57586E"/>
    <w:rsid w:val="2EBD821B"/>
    <w:rsid w:val="2ECB6F65"/>
    <w:rsid w:val="2F4299CA"/>
    <w:rsid w:val="2F53E633"/>
    <w:rsid w:val="2F867C38"/>
    <w:rsid w:val="2F86B2A0"/>
    <w:rsid w:val="2FB6182A"/>
    <w:rsid w:val="2FCB001F"/>
    <w:rsid w:val="3004B2B8"/>
    <w:rsid w:val="30558F79"/>
    <w:rsid w:val="30B72271"/>
    <w:rsid w:val="30CF0AA7"/>
    <w:rsid w:val="30DDFA73"/>
    <w:rsid w:val="31436B7F"/>
    <w:rsid w:val="31772F84"/>
    <w:rsid w:val="31918ED5"/>
    <w:rsid w:val="31A4B293"/>
    <w:rsid w:val="31C1CAE9"/>
    <w:rsid w:val="31C6CE32"/>
    <w:rsid w:val="32769A4E"/>
    <w:rsid w:val="32876F2D"/>
    <w:rsid w:val="3290CAB3"/>
    <w:rsid w:val="32958A2C"/>
    <w:rsid w:val="329D6739"/>
    <w:rsid w:val="32BC54E3"/>
    <w:rsid w:val="331A5187"/>
    <w:rsid w:val="33279401"/>
    <w:rsid w:val="33377406"/>
    <w:rsid w:val="333792D4"/>
    <w:rsid w:val="33697520"/>
    <w:rsid w:val="3373A3BD"/>
    <w:rsid w:val="3382629D"/>
    <w:rsid w:val="33B72513"/>
    <w:rsid w:val="33DB4AAF"/>
    <w:rsid w:val="34101928"/>
    <w:rsid w:val="34732FA7"/>
    <w:rsid w:val="34A9D126"/>
    <w:rsid w:val="34AEFA2F"/>
    <w:rsid w:val="34BC4168"/>
    <w:rsid w:val="34C05D27"/>
    <w:rsid w:val="34E609F5"/>
    <w:rsid w:val="35074EA3"/>
    <w:rsid w:val="353DFE6F"/>
    <w:rsid w:val="35CA3BEA"/>
    <w:rsid w:val="35D1E135"/>
    <w:rsid w:val="35DB186A"/>
    <w:rsid w:val="35FD6C44"/>
    <w:rsid w:val="361B2072"/>
    <w:rsid w:val="3650167C"/>
    <w:rsid w:val="368C6E2D"/>
    <w:rsid w:val="368C75E4"/>
    <w:rsid w:val="36D54FE6"/>
    <w:rsid w:val="36E72F20"/>
    <w:rsid w:val="3715FE20"/>
    <w:rsid w:val="37E952E0"/>
    <w:rsid w:val="386645F6"/>
    <w:rsid w:val="38AEBBD2"/>
    <w:rsid w:val="38B11375"/>
    <w:rsid w:val="38C8A72C"/>
    <w:rsid w:val="38C97EB1"/>
    <w:rsid w:val="38CD6F9F"/>
    <w:rsid w:val="38EAA2AB"/>
    <w:rsid w:val="38EC554C"/>
    <w:rsid w:val="38EE2A06"/>
    <w:rsid w:val="3935C9BD"/>
    <w:rsid w:val="39688174"/>
    <w:rsid w:val="39775F3F"/>
    <w:rsid w:val="398FDDEF"/>
    <w:rsid w:val="39911B2F"/>
    <w:rsid w:val="39A9E51F"/>
    <w:rsid w:val="39E4E4DC"/>
    <w:rsid w:val="39F3E0E2"/>
    <w:rsid w:val="3A055EC6"/>
    <w:rsid w:val="3A0E34AC"/>
    <w:rsid w:val="3A27CB2E"/>
    <w:rsid w:val="3A340A42"/>
    <w:rsid w:val="3A6E37BC"/>
    <w:rsid w:val="3A7D5092"/>
    <w:rsid w:val="3AAFCA14"/>
    <w:rsid w:val="3AC126EA"/>
    <w:rsid w:val="3B01C811"/>
    <w:rsid w:val="3B201794"/>
    <w:rsid w:val="3B2740DC"/>
    <w:rsid w:val="3B29A97B"/>
    <w:rsid w:val="3B752DC4"/>
    <w:rsid w:val="3B770C83"/>
    <w:rsid w:val="3B853276"/>
    <w:rsid w:val="3BDBDBAB"/>
    <w:rsid w:val="3BDDEED3"/>
    <w:rsid w:val="3BE65C94"/>
    <w:rsid w:val="3BF377F8"/>
    <w:rsid w:val="3BF80E90"/>
    <w:rsid w:val="3C0E82AB"/>
    <w:rsid w:val="3C2A780C"/>
    <w:rsid w:val="3C30E87F"/>
    <w:rsid w:val="3C4314DD"/>
    <w:rsid w:val="3C48D7EE"/>
    <w:rsid w:val="3C4BD7DE"/>
    <w:rsid w:val="3C64E2CC"/>
    <w:rsid w:val="3C6DA8AE"/>
    <w:rsid w:val="3C91FDC1"/>
    <w:rsid w:val="3CC7E3E9"/>
    <w:rsid w:val="3CEA3AD9"/>
    <w:rsid w:val="3D3A766E"/>
    <w:rsid w:val="3D3B14C9"/>
    <w:rsid w:val="3D7184EE"/>
    <w:rsid w:val="3D822CF5"/>
    <w:rsid w:val="3DA35878"/>
    <w:rsid w:val="3DDB72A0"/>
    <w:rsid w:val="3E012076"/>
    <w:rsid w:val="3E07DFF6"/>
    <w:rsid w:val="3E098031"/>
    <w:rsid w:val="3E2344B5"/>
    <w:rsid w:val="3E6B56AE"/>
    <w:rsid w:val="3E6C0ED2"/>
    <w:rsid w:val="3EBF9378"/>
    <w:rsid w:val="3EC8054C"/>
    <w:rsid w:val="3EEA8A51"/>
    <w:rsid w:val="3EFCE489"/>
    <w:rsid w:val="3F04F7F0"/>
    <w:rsid w:val="3F22E9F1"/>
    <w:rsid w:val="3F25C44F"/>
    <w:rsid w:val="3F2F001A"/>
    <w:rsid w:val="3F3624EC"/>
    <w:rsid w:val="3F75D75D"/>
    <w:rsid w:val="3F8ED69C"/>
    <w:rsid w:val="3F9FB6A3"/>
    <w:rsid w:val="3FAFA141"/>
    <w:rsid w:val="3FBBAE4B"/>
    <w:rsid w:val="3FCA25BB"/>
    <w:rsid w:val="3FDB0567"/>
    <w:rsid w:val="3FDD0465"/>
    <w:rsid w:val="3FF4318C"/>
    <w:rsid w:val="40020945"/>
    <w:rsid w:val="40055679"/>
    <w:rsid w:val="4008D7AD"/>
    <w:rsid w:val="4014D2F8"/>
    <w:rsid w:val="401BD313"/>
    <w:rsid w:val="40309140"/>
    <w:rsid w:val="405EA016"/>
    <w:rsid w:val="406A88B0"/>
    <w:rsid w:val="4098B522"/>
    <w:rsid w:val="4099C323"/>
    <w:rsid w:val="40A0E1C3"/>
    <w:rsid w:val="40F169DB"/>
    <w:rsid w:val="41005F28"/>
    <w:rsid w:val="4173C62A"/>
    <w:rsid w:val="41B25B5D"/>
    <w:rsid w:val="41DE58BB"/>
    <w:rsid w:val="421E2035"/>
    <w:rsid w:val="423CE56F"/>
    <w:rsid w:val="42934FE2"/>
    <w:rsid w:val="42C36B8F"/>
    <w:rsid w:val="43217021"/>
    <w:rsid w:val="43532A40"/>
    <w:rsid w:val="4355EC9D"/>
    <w:rsid w:val="435A0B55"/>
    <w:rsid w:val="436B5BF0"/>
    <w:rsid w:val="43864472"/>
    <w:rsid w:val="43B19901"/>
    <w:rsid w:val="43BE11C6"/>
    <w:rsid w:val="43ED8E14"/>
    <w:rsid w:val="43F750BB"/>
    <w:rsid w:val="44238CCC"/>
    <w:rsid w:val="44488851"/>
    <w:rsid w:val="4458D2A9"/>
    <w:rsid w:val="44679A72"/>
    <w:rsid w:val="446D26C6"/>
    <w:rsid w:val="447CF6D9"/>
    <w:rsid w:val="4498F616"/>
    <w:rsid w:val="44A37D6F"/>
    <w:rsid w:val="44E1BA01"/>
    <w:rsid w:val="44E23867"/>
    <w:rsid w:val="44EB220C"/>
    <w:rsid w:val="4506D430"/>
    <w:rsid w:val="45088B8B"/>
    <w:rsid w:val="4522E1A2"/>
    <w:rsid w:val="4531E4B1"/>
    <w:rsid w:val="453C3ADD"/>
    <w:rsid w:val="455E3256"/>
    <w:rsid w:val="45A99550"/>
    <w:rsid w:val="45BB4EBD"/>
    <w:rsid w:val="45BEBD9A"/>
    <w:rsid w:val="45CB9AB4"/>
    <w:rsid w:val="45E4E79B"/>
    <w:rsid w:val="460BE999"/>
    <w:rsid w:val="460EFA5A"/>
    <w:rsid w:val="462D016C"/>
    <w:rsid w:val="4653612E"/>
    <w:rsid w:val="46838DD6"/>
    <w:rsid w:val="4697ADE3"/>
    <w:rsid w:val="46AB3AB2"/>
    <w:rsid w:val="46E9BE34"/>
    <w:rsid w:val="47DDF6CA"/>
    <w:rsid w:val="47E88589"/>
    <w:rsid w:val="47F91D7C"/>
    <w:rsid w:val="4810BC14"/>
    <w:rsid w:val="4851DCFE"/>
    <w:rsid w:val="4868830B"/>
    <w:rsid w:val="4872536C"/>
    <w:rsid w:val="488CAFFA"/>
    <w:rsid w:val="48E596C8"/>
    <w:rsid w:val="490DDCAC"/>
    <w:rsid w:val="492CD0DD"/>
    <w:rsid w:val="4969AEAC"/>
    <w:rsid w:val="496C1F14"/>
    <w:rsid w:val="496CB199"/>
    <w:rsid w:val="49747141"/>
    <w:rsid w:val="49885064"/>
    <w:rsid w:val="4A25FE37"/>
    <w:rsid w:val="4A2B29D0"/>
    <w:rsid w:val="4A43FDB7"/>
    <w:rsid w:val="4A69AD36"/>
    <w:rsid w:val="4AAF3BF6"/>
    <w:rsid w:val="4AD3A778"/>
    <w:rsid w:val="4ADA1FDA"/>
    <w:rsid w:val="4AF76528"/>
    <w:rsid w:val="4B0CEAD5"/>
    <w:rsid w:val="4B13BDA0"/>
    <w:rsid w:val="4B28D82E"/>
    <w:rsid w:val="4B3EEBCD"/>
    <w:rsid w:val="4B564E72"/>
    <w:rsid w:val="4B698D47"/>
    <w:rsid w:val="4BA93DB3"/>
    <w:rsid w:val="4BF03B9D"/>
    <w:rsid w:val="4C230304"/>
    <w:rsid w:val="4C24C6B5"/>
    <w:rsid w:val="4C45CDDB"/>
    <w:rsid w:val="4CEE2E84"/>
    <w:rsid w:val="4CFC80B8"/>
    <w:rsid w:val="4D3FA71A"/>
    <w:rsid w:val="4D756F80"/>
    <w:rsid w:val="4D79B373"/>
    <w:rsid w:val="4D7C1ED3"/>
    <w:rsid w:val="4DB65FF1"/>
    <w:rsid w:val="4DD310FD"/>
    <w:rsid w:val="4DE97AE8"/>
    <w:rsid w:val="4DFAE049"/>
    <w:rsid w:val="4E08484A"/>
    <w:rsid w:val="4E3003E1"/>
    <w:rsid w:val="4E5287DF"/>
    <w:rsid w:val="4E6602EF"/>
    <w:rsid w:val="4E728301"/>
    <w:rsid w:val="4E8B9CFD"/>
    <w:rsid w:val="4E8FA672"/>
    <w:rsid w:val="4EADB969"/>
    <w:rsid w:val="4ED0172B"/>
    <w:rsid w:val="4EF0F49C"/>
    <w:rsid w:val="4F298F47"/>
    <w:rsid w:val="4F326109"/>
    <w:rsid w:val="4F582FBB"/>
    <w:rsid w:val="4F59D20A"/>
    <w:rsid w:val="4F8AAB90"/>
    <w:rsid w:val="4F934E0E"/>
    <w:rsid w:val="4F943F95"/>
    <w:rsid w:val="4FA4C3B6"/>
    <w:rsid w:val="50013DBB"/>
    <w:rsid w:val="503841CD"/>
    <w:rsid w:val="503A935C"/>
    <w:rsid w:val="50614956"/>
    <w:rsid w:val="508983E5"/>
    <w:rsid w:val="50AE1A36"/>
    <w:rsid w:val="50AE6627"/>
    <w:rsid w:val="50FE34E5"/>
    <w:rsid w:val="50FF038E"/>
    <w:rsid w:val="51197AFC"/>
    <w:rsid w:val="5122D033"/>
    <w:rsid w:val="5124168A"/>
    <w:rsid w:val="514206DE"/>
    <w:rsid w:val="51D49D7F"/>
    <w:rsid w:val="51E9F674"/>
    <w:rsid w:val="51EE5EB9"/>
    <w:rsid w:val="520E7A8C"/>
    <w:rsid w:val="52306252"/>
    <w:rsid w:val="5246ABA9"/>
    <w:rsid w:val="52A81667"/>
    <w:rsid w:val="52E7FB7C"/>
    <w:rsid w:val="52F47D23"/>
    <w:rsid w:val="52FBD236"/>
    <w:rsid w:val="539B1439"/>
    <w:rsid w:val="53B17CB4"/>
    <w:rsid w:val="53CCB9D9"/>
    <w:rsid w:val="5429534D"/>
    <w:rsid w:val="5442E86C"/>
    <w:rsid w:val="544ACBBD"/>
    <w:rsid w:val="544C9F74"/>
    <w:rsid w:val="547B5723"/>
    <w:rsid w:val="547E627F"/>
    <w:rsid w:val="5496A678"/>
    <w:rsid w:val="54987E11"/>
    <w:rsid w:val="54CC0CE4"/>
    <w:rsid w:val="54CF52D8"/>
    <w:rsid w:val="54D32BE9"/>
    <w:rsid w:val="54DA8897"/>
    <w:rsid w:val="54E1B624"/>
    <w:rsid w:val="54F685F2"/>
    <w:rsid w:val="54F79720"/>
    <w:rsid w:val="5540D18F"/>
    <w:rsid w:val="55A3BE28"/>
    <w:rsid w:val="55B5ED45"/>
    <w:rsid w:val="55C1BBF0"/>
    <w:rsid w:val="55D6D741"/>
    <w:rsid w:val="5626531E"/>
    <w:rsid w:val="562A876D"/>
    <w:rsid w:val="564E7A14"/>
    <w:rsid w:val="569CE713"/>
    <w:rsid w:val="56C84124"/>
    <w:rsid w:val="56C84D51"/>
    <w:rsid w:val="56E11E79"/>
    <w:rsid w:val="5704C045"/>
    <w:rsid w:val="5752EB04"/>
    <w:rsid w:val="5768B86C"/>
    <w:rsid w:val="577C414D"/>
    <w:rsid w:val="578915FD"/>
    <w:rsid w:val="57EC5F2B"/>
    <w:rsid w:val="5804C444"/>
    <w:rsid w:val="582A2B30"/>
    <w:rsid w:val="584FABC3"/>
    <w:rsid w:val="5895EF0B"/>
    <w:rsid w:val="58ABD728"/>
    <w:rsid w:val="58D0827D"/>
    <w:rsid w:val="58DE21A8"/>
    <w:rsid w:val="58F9A5E7"/>
    <w:rsid w:val="5931AA62"/>
    <w:rsid w:val="5940FBB9"/>
    <w:rsid w:val="59649615"/>
    <w:rsid w:val="596988A6"/>
    <w:rsid w:val="596FDA12"/>
    <w:rsid w:val="597E4051"/>
    <w:rsid w:val="5986C984"/>
    <w:rsid w:val="59C23450"/>
    <w:rsid w:val="59D4CC29"/>
    <w:rsid w:val="5A024A5E"/>
    <w:rsid w:val="5A22EB62"/>
    <w:rsid w:val="5A5EA259"/>
    <w:rsid w:val="5A6FFD4A"/>
    <w:rsid w:val="5A700C45"/>
    <w:rsid w:val="5AA25CC3"/>
    <w:rsid w:val="5AD31627"/>
    <w:rsid w:val="5B096340"/>
    <w:rsid w:val="5B617502"/>
    <w:rsid w:val="5B7AF3C4"/>
    <w:rsid w:val="5BABFB97"/>
    <w:rsid w:val="5BAFCCBE"/>
    <w:rsid w:val="5BB1A4E9"/>
    <w:rsid w:val="5BB72BCF"/>
    <w:rsid w:val="5BBF248C"/>
    <w:rsid w:val="5BC98F42"/>
    <w:rsid w:val="5BECB603"/>
    <w:rsid w:val="5BF7626F"/>
    <w:rsid w:val="5C35CFA0"/>
    <w:rsid w:val="5C4BB968"/>
    <w:rsid w:val="5C8A1E87"/>
    <w:rsid w:val="5C9F1A46"/>
    <w:rsid w:val="5CCE5E0B"/>
    <w:rsid w:val="5CCF6746"/>
    <w:rsid w:val="5CF25990"/>
    <w:rsid w:val="5CF4C2F5"/>
    <w:rsid w:val="5CFFC6A6"/>
    <w:rsid w:val="5D3DA9C6"/>
    <w:rsid w:val="5D61760C"/>
    <w:rsid w:val="5D6462DD"/>
    <w:rsid w:val="5D68A100"/>
    <w:rsid w:val="5D775AC5"/>
    <w:rsid w:val="5D88C6D8"/>
    <w:rsid w:val="5D895F62"/>
    <w:rsid w:val="5D968207"/>
    <w:rsid w:val="5DCE27B0"/>
    <w:rsid w:val="5DEA04B4"/>
    <w:rsid w:val="5E100343"/>
    <w:rsid w:val="5E56FDDB"/>
    <w:rsid w:val="5E6DB901"/>
    <w:rsid w:val="5ED27B2E"/>
    <w:rsid w:val="5EDC19B7"/>
    <w:rsid w:val="5F077194"/>
    <w:rsid w:val="5F0D417C"/>
    <w:rsid w:val="5F14BD28"/>
    <w:rsid w:val="5F3456CC"/>
    <w:rsid w:val="5F3AF3FE"/>
    <w:rsid w:val="5F3C497C"/>
    <w:rsid w:val="5F6674FF"/>
    <w:rsid w:val="5F7F2D21"/>
    <w:rsid w:val="5FA5B41E"/>
    <w:rsid w:val="60009FBD"/>
    <w:rsid w:val="6000A9BB"/>
    <w:rsid w:val="601AADE6"/>
    <w:rsid w:val="60467761"/>
    <w:rsid w:val="6056F251"/>
    <w:rsid w:val="605F5142"/>
    <w:rsid w:val="60698CAC"/>
    <w:rsid w:val="60AA40C2"/>
    <w:rsid w:val="60BE590A"/>
    <w:rsid w:val="60C6C015"/>
    <w:rsid w:val="6153C9E0"/>
    <w:rsid w:val="616778E9"/>
    <w:rsid w:val="61C27D34"/>
    <w:rsid w:val="620A6140"/>
    <w:rsid w:val="620B780F"/>
    <w:rsid w:val="6222AEAD"/>
    <w:rsid w:val="6229C5BA"/>
    <w:rsid w:val="622B9E89"/>
    <w:rsid w:val="628484BE"/>
    <w:rsid w:val="629968FF"/>
    <w:rsid w:val="62E1F717"/>
    <w:rsid w:val="6387BF42"/>
    <w:rsid w:val="63B81E75"/>
    <w:rsid w:val="6416AF1D"/>
    <w:rsid w:val="64197656"/>
    <w:rsid w:val="64371AD8"/>
    <w:rsid w:val="64420F3C"/>
    <w:rsid w:val="6452D7E6"/>
    <w:rsid w:val="645F4F50"/>
    <w:rsid w:val="6466EE9B"/>
    <w:rsid w:val="64736364"/>
    <w:rsid w:val="647C955F"/>
    <w:rsid w:val="652B7196"/>
    <w:rsid w:val="65AB5E46"/>
    <w:rsid w:val="65B99AD8"/>
    <w:rsid w:val="65F92571"/>
    <w:rsid w:val="6620627E"/>
    <w:rsid w:val="66321CE6"/>
    <w:rsid w:val="666C4178"/>
    <w:rsid w:val="666D65D5"/>
    <w:rsid w:val="6678D1B6"/>
    <w:rsid w:val="667B5FCA"/>
    <w:rsid w:val="66996E19"/>
    <w:rsid w:val="66AB5C65"/>
    <w:rsid w:val="66CCF6D9"/>
    <w:rsid w:val="66D5A1C1"/>
    <w:rsid w:val="66D912BE"/>
    <w:rsid w:val="66DD74FC"/>
    <w:rsid w:val="66F733D6"/>
    <w:rsid w:val="676DE952"/>
    <w:rsid w:val="676E60C5"/>
    <w:rsid w:val="6777726E"/>
    <w:rsid w:val="67B81981"/>
    <w:rsid w:val="67C2A6A6"/>
    <w:rsid w:val="681C5501"/>
    <w:rsid w:val="682E194E"/>
    <w:rsid w:val="68374231"/>
    <w:rsid w:val="6839B6D6"/>
    <w:rsid w:val="687E32F3"/>
    <w:rsid w:val="68CD9E81"/>
    <w:rsid w:val="68CDEED4"/>
    <w:rsid w:val="68D39B4C"/>
    <w:rsid w:val="68EC68BE"/>
    <w:rsid w:val="68F89380"/>
    <w:rsid w:val="694A5E3C"/>
    <w:rsid w:val="695A4DE0"/>
    <w:rsid w:val="69811046"/>
    <w:rsid w:val="69937A0D"/>
    <w:rsid w:val="6A067009"/>
    <w:rsid w:val="6A47558D"/>
    <w:rsid w:val="6A4A6D8F"/>
    <w:rsid w:val="6A6D9492"/>
    <w:rsid w:val="6A9DFE44"/>
    <w:rsid w:val="6AB945B4"/>
    <w:rsid w:val="6B37804B"/>
    <w:rsid w:val="6B3B4118"/>
    <w:rsid w:val="6B6538B6"/>
    <w:rsid w:val="6B77EF31"/>
    <w:rsid w:val="6BA30558"/>
    <w:rsid w:val="6BA758D5"/>
    <w:rsid w:val="6BB11BA2"/>
    <w:rsid w:val="6BB67079"/>
    <w:rsid w:val="6BB8F654"/>
    <w:rsid w:val="6C0B82F7"/>
    <w:rsid w:val="6C2A4AE9"/>
    <w:rsid w:val="6C3B8FE5"/>
    <w:rsid w:val="6C412CF1"/>
    <w:rsid w:val="6C63B9D4"/>
    <w:rsid w:val="6C6A52D4"/>
    <w:rsid w:val="6CA93357"/>
    <w:rsid w:val="6CAB3073"/>
    <w:rsid w:val="6CCCACD1"/>
    <w:rsid w:val="6D0D614D"/>
    <w:rsid w:val="6D29EB54"/>
    <w:rsid w:val="6D789E24"/>
    <w:rsid w:val="6D9F7964"/>
    <w:rsid w:val="6DA8FCB1"/>
    <w:rsid w:val="6DEA1F51"/>
    <w:rsid w:val="6E04A785"/>
    <w:rsid w:val="6E552F6A"/>
    <w:rsid w:val="6E823D4D"/>
    <w:rsid w:val="6EAECEDB"/>
    <w:rsid w:val="6EBB2F09"/>
    <w:rsid w:val="6EC046A9"/>
    <w:rsid w:val="6ECE9A0F"/>
    <w:rsid w:val="6F141C52"/>
    <w:rsid w:val="6F23994B"/>
    <w:rsid w:val="6F26BDA5"/>
    <w:rsid w:val="6F5EA89D"/>
    <w:rsid w:val="6FAF9FC1"/>
    <w:rsid w:val="6FE47233"/>
    <w:rsid w:val="702256D1"/>
    <w:rsid w:val="702B82E3"/>
    <w:rsid w:val="703016CF"/>
    <w:rsid w:val="70343BC8"/>
    <w:rsid w:val="707C6803"/>
    <w:rsid w:val="709049DA"/>
    <w:rsid w:val="70BCDF8D"/>
    <w:rsid w:val="70D0E369"/>
    <w:rsid w:val="710D1630"/>
    <w:rsid w:val="7115272B"/>
    <w:rsid w:val="7120C83B"/>
    <w:rsid w:val="713F76DB"/>
    <w:rsid w:val="7159D0D7"/>
    <w:rsid w:val="71F5225F"/>
    <w:rsid w:val="7218E04F"/>
    <w:rsid w:val="72312FA9"/>
    <w:rsid w:val="72478E90"/>
    <w:rsid w:val="72511507"/>
    <w:rsid w:val="728600A9"/>
    <w:rsid w:val="72B3F0B5"/>
    <w:rsid w:val="72F71720"/>
    <w:rsid w:val="731ADB02"/>
    <w:rsid w:val="73466FD8"/>
    <w:rsid w:val="734DEBBF"/>
    <w:rsid w:val="735F437C"/>
    <w:rsid w:val="73AF828A"/>
    <w:rsid w:val="73DD2242"/>
    <w:rsid w:val="743B58CF"/>
    <w:rsid w:val="7456EDE8"/>
    <w:rsid w:val="74602B6D"/>
    <w:rsid w:val="746C287B"/>
    <w:rsid w:val="74AC62C4"/>
    <w:rsid w:val="74BA2CA3"/>
    <w:rsid w:val="74E2C8A6"/>
    <w:rsid w:val="751C75EA"/>
    <w:rsid w:val="75506763"/>
    <w:rsid w:val="7567EF36"/>
    <w:rsid w:val="7575FD0A"/>
    <w:rsid w:val="7584A54D"/>
    <w:rsid w:val="758804DB"/>
    <w:rsid w:val="758FB262"/>
    <w:rsid w:val="75A32366"/>
    <w:rsid w:val="75A723AE"/>
    <w:rsid w:val="75E00742"/>
    <w:rsid w:val="75E9BA35"/>
    <w:rsid w:val="75EB3665"/>
    <w:rsid w:val="75F43595"/>
    <w:rsid w:val="7618B4B5"/>
    <w:rsid w:val="762FDBF1"/>
    <w:rsid w:val="76301966"/>
    <w:rsid w:val="764F5496"/>
    <w:rsid w:val="765A73E2"/>
    <w:rsid w:val="768AE1CF"/>
    <w:rsid w:val="768D34BE"/>
    <w:rsid w:val="77166F62"/>
    <w:rsid w:val="771B4CC6"/>
    <w:rsid w:val="77708909"/>
    <w:rsid w:val="7771A8A2"/>
    <w:rsid w:val="77779257"/>
    <w:rsid w:val="77938543"/>
    <w:rsid w:val="77A4D645"/>
    <w:rsid w:val="77A98D30"/>
    <w:rsid w:val="77B9AC34"/>
    <w:rsid w:val="77EB6621"/>
    <w:rsid w:val="77F2BC5E"/>
    <w:rsid w:val="77F69E52"/>
    <w:rsid w:val="78399C08"/>
    <w:rsid w:val="78631615"/>
    <w:rsid w:val="786FC098"/>
    <w:rsid w:val="787E09E8"/>
    <w:rsid w:val="78A03F57"/>
    <w:rsid w:val="78A3FA34"/>
    <w:rsid w:val="78CE2934"/>
    <w:rsid w:val="78D8A0BC"/>
    <w:rsid w:val="78E60FD2"/>
    <w:rsid w:val="78EC719A"/>
    <w:rsid w:val="78F3C885"/>
    <w:rsid w:val="78F6A025"/>
    <w:rsid w:val="7933DE93"/>
    <w:rsid w:val="793CF664"/>
    <w:rsid w:val="7943C4A8"/>
    <w:rsid w:val="79745382"/>
    <w:rsid w:val="798FC5B2"/>
    <w:rsid w:val="79AD026E"/>
    <w:rsid w:val="79C2E195"/>
    <w:rsid w:val="79D55981"/>
    <w:rsid w:val="79DB21B8"/>
    <w:rsid w:val="79E0798B"/>
    <w:rsid w:val="7A44955C"/>
    <w:rsid w:val="7A9CC5D7"/>
    <w:rsid w:val="7ABE5CD0"/>
    <w:rsid w:val="7AC597F4"/>
    <w:rsid w:val="7AD48C90"/>
    <w:rsid w:val="7AE54C16"/>
    <w:rsid w:val="7B241367"/>
    <w:rsid w:val="7B2AD8E8"/>
    <w:rsid w:val="7B691D6E"/>
    <w:rsid w:val="7B6A4019"/>
    <w:rsid w:val="7B6A7118"/>
    <w:rsid w:val="7BCFE6B9"/>
    <w:rsid w:val="7BF6A78E"/>
    <w:rsid w:val="7C2A2DB0"/>
    <w:rsid w:val="7C632B9B"/>
    <w:rsid w:val="7C7911B1"/>
    <w:rsid w:val="7C799493"/>
    <w:rsid w:val="7C87F932"/>
    <w:rsid w:val="7C96C29C"/>
    <w:rsid w:val="7C9AA9F7"/>
    <w:rsid w:val="7CB4F1DA"/>
    <w:rsid w:val="7CB730DB"/>
    <w:rsid w:val="7CF4AE32"/>
    <w:rsid w:val="7D034CE5"/>
    <w:rsid w:val="7D134BB0"/>
    <w:rsid w:val="7D2E207E"/>
    <w:rsid w:val="7D68371F"/>
    <w:rsid w:val="7D78BAD3"/>
    <w:rsid w:val="7D80CB40"/>
    <w:rsid w:val="7DC36113"/>
    <w:rsid w:val="7DE36857"/>
    <w:rsid w:val="7E25B016"/>
    <w:rsid w:val="7E36D465"/>
    <w:rsid w:val="7E723064"/>
    <w:rsid w:val="7E75A105"/>
    <w:rsid w:val="7E7BF9F9"/>
    <w:rsid w:val="7E8574C2"/>
    <w:rsid w:val="7E95F3B4"/>
    <w:rsid w:val="7EA5ABC6"/>
    <w:rsid w:val="7EAACA52"/>
    <w:rsid w:val="7F51912C"/>
    <w:rsid w:val="7F67D061"/>
    <w:rsid w:val="7F72975A"/>
    <w:rsid w:val="7F749AFF"/>
    <w:rsid w:val="7FA27DA9"/>
    <w:rsid w:val="7FBA6927"/>
    <w:rsid w:val="7FC184B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9BE80"/>
  <w15:chartTrackingRefBased/>
  <w15:docId w15:val="{B8E7B6DF-FFDF-401F-BE8A-DE43B22D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b-NO"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561292"/>
  </w:style>
  <w:style w:type="paragraph" w:styleId="Overskrift1">
    <w:name w:val="heading 1"/>
    <w:basedOn w:val="Normal"/>
    <w:next w:val="Normal"/>
    <w:link w:val="Overskrift1Tegn"/>
    <w:uiPriority w:val="9"/>
    <w:qFormat/>
    <w:rsid w:val="00FA48A7"/>
    <w:pPr>
      <w:keepNext/>
      <w:keepLines/>
      <w:pageBreakBefore/>
      <w:numPr>
        <w:numId w:val="15"/>
      </w:numPr>
      <w:spacing w:after="840" w:line="420" w:lineRule="atLeast"/>
      <w:outlineLvl w:val="0"/>
    </w:pPr>
    <w:rPr>
      <w:rFonts w:asciiTheme="majorHAnsi" w:eastAsiaTheme="majorEastAsia" w:hAnsiTheme="majorHAnsi" w:cstheme="majorBidi"/>
      <w:b/>
      <w:color w:val="23099F" w:themeColor="text2"/>
      <w:sz w:val="34"/>
      <w:szCs w:val="32"/>
    </w:rPr>
  </w:style>
  <w:style w:type="paragraph" w:styleId="Overskrift2">
    <w:name w:val="heading 2"/>
    <w:basedOn w:val="Normal"/>
    <w:next w:val="Normal"/>
    <w:link w:val="Overskrift2Tegn"/>
    <w:uiPriority w:val="9"/>
    <w:qFormat/>
    <w:rsid w:val="00EF755A"/>
    <w:pPr>
      <w:keepNext/>
      <w:keepLines/>
      <w:numPr>
        <w:ilvl w:val="1"/>
        <w:numId w:val="15"/>
      </w:numPr>
      <w:spacing w:before="720" w:after="160" w:line="300" w:lineRule="atLeast"/>
      <w:outlineLvl w:val="1"/>
    </w:pPr>
    <w:rPr>
      <w:rFonts w:asciiTheme="majorHAnsi" w:eastAsiaTheme="majorEastAsia" w:hAnsiTheme="majorHAnsi" w:cstheme="majorBidi"/>
      <w:b/>
      <w:color w:val="362683"/>
      <w:sz w:val="24"/>
      <w:szCs w:val="26"/>
    </w:rPr>
  </w:style>
  <w:style w:type="paragraph" w:styleId="Overskrift3">
    <w:name w:val="heading 3"/>
    <w:basedOn w:val="Normal"/>
    <w:next w:val="Normal"/>
    <w:link w:val="Overskrift3Tegn"/>
    <w:uiPriority w:val="9"/>
    <w:qFormat/>
    <w:rsid w:val="00F2353D"/>
    <w:pPr>
      <w:keepNext/>
      <w:keepLines/>
      <w:numPr>
        <w:ilvl w:val="2"/>
        <w:numId w:val="15"/>
      </w:numPr>
      <w:spacing w:before="320" w:after="0"/>
      <w:outlineLvl w:val="2"/>
    </w:pPr>
    <w:rPr>
      <w:rFonts w:asciiTheme="majorHAnsi" w:eastAsiaTheme="majorEastAsia" w:hAnsiTheme="majorHAnsi" w:cstheme="majorBidi"/>
      <w:b/>
      <w:color w:val="804F9A"/>
      <w:szCs w:val="24"/>
    </w:rPr>
  </w:style>
  <w:style w:type="paragraph" w:styleId="Overskrift4">
    <w:name w:val="heading 4"/>
    <w:basedOn w:val="Normal"/>
    <w:next w:val="Normal"/>
    <w:link w:val="Overskrift4Tegn"/>
    <w:uiPriority w:val="9"/>
    <w:qFormat/>
    <w:rsid w:val="00F86154"/>
    <w:pPr>
      <w:keepNext/>
      <w:keepLines/>
      <w:numPr>
        <w:ilvl w:val="3"/>
        <w:numId w:val="15"/>
      </w:numPr>
      <w:spacing w:before="720" w:after="0"/>
      <w:outlineLvl w:val="3"/>
    </w:pPr>
    <w:rPr>
      <w:rFonts w:asciiTheme="majorHAnsi" w:eastAsiaTheme="majorEastAsia" w:hAnsiTheme="majorHAnsi" w:cstheme="majorBidi"/>
      <w:b/>
      <w:iCs/>
      <w:color w:val="4472C4" w:themeColor="accent1"/>
    </w:rPr>
  </w:style>
  <w:style w:type="paragraph" w:styleId="Overskrift5">
    <w:name w:val="heading 5"/>
    <w:basedOn w:val="Normal"/>
    <w:next w:val="Normal"/>
    <w:link w:val="Overskrift5Tegn"/>
    <w:uiPriority w:val="9"/>
    <w:semiHidden/>
    <w:qFormat/>
    <w:rsid w:val="00B73C9B"/>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qFormat/>
    <w:rsid w:val="00B73C9B"/>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qFormat/>
    <w:rsid w:val="00B73C9B"/>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qFormat/>
    <w:rsid w:val="00B73C9B"/>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B73C9B"/>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5F5A4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B090F"/>
    <w:rPr>
      <w:sz w:val="20"/>
    </w:rPr>
  </w:style>
  <w:style w:type="paragraph" w:styleId="Bunntekst">
    <w:name w:val="footer"/>
    <w:basedOn w:val="Normal"/>
    <w:link w:val="BunntekstTegn"/>
    <w:uiPriority w:val="99"/>
    <w:rsid w:val="00741F14"/>
    <w:pPr>
      <w:tabs>
        <w:tab w:val="center" w:pos="4536"/>
        <w:tab w:val="right" w:pos="9072"/>
      </w:tabs>
      <w:spacing w:after="0" w:line="240" w:lineRule="auto"/>
      <w:jc w:val="right"/>
    </w:pPr>
    <w:rPr>
      <w:b/>
      <w:color w:val="4472C4" w:themeColor="accent1"/>
    </w:rPr>
  </w:style>
  <w:style w:type="character" w:customStyle="1" w:styleId="BunntekstTegn">
    <w:name w:val="Bunntekst Tegn"/>
    <w:basedOn w:val="Standardskriftforavsnitt"/>
    <w:link w:val="Bunntekst"/>
    <w:uiPriority w:val="99"/>
    <w:rsid w:val="00741F14"/>
    <w:rPr>
      <w:b/>
      <w:color w:val="4472C4" w:themeColor="accent1"/>
      <w:sz w:val="20"/>
    </w:rPr>
  </w:style>
  <w:style w:type="table" w:styleId="Tabellrutenett">
    <w:name w:val="Table Grid"/>
    <w:basedOn w:val="Vanligtabell"/>
    <w:uiPriority w:val="39"/>
    <w:rsid w:val="005F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4841E6"/>
    <w:pPr>
      <w:spacing w:after="0" w:line="560" w:lineRule="atLeast"/>
      <w:contextualSpacing/>
    </w:pPr>
    <w:rPr>
      <w:rFonts w:asciiTheme="majorHAnsi" w:eastAsiaTheme="majorEastAsia" w:hAnsiTheme="majorHAnsi" w:cstheme="majorBidi"/>
      <w:b/>
      <w:color w:val="70C9BF"/>
      <w:spacing w:val="-10"/>
      <w:kern w:val="28"/>
      <w:sz w:val="50"/>
      <w:szCs w:val="56"/>
    </w:rPr>
  </w:style>
  <w:style w:type="character" w:customStyle="1" w:styleId="TittelTegn">
    <w:name w:val="Tittel Tegn"/>
    <w:basedOn w:val="Standardskriftforavsnitt"/>
    <w:link w:val="Tittel"/>
    <w:uiPriority w:val="10"/>
    <w:rsid w:val="00DB090F"/>
    <w:rPr>
      <w:rFonts w:asciiTheme="majorHAnsi" w:eastAsiaTheme="majorEastAsia" w:hAnsiTheme="majorHAnsi" w:cstheme="majorBidi"/>
      <w:b/>
      <w:color w:val="70C9BF"/>
      <w:spacing w:val="-10"/>
      <w:kern w:val="28"/>
      <w:sz w:val="50"/>
      <w:szCs w:val="56"/>
    </w:rPr>
  </w:style>
  <w:style w:type="character" w:styleId="Svakutheving">
    <w:name w:val="Subtle Emphasis"/>
    <w:basedOn w:val="Standardskriftforavsnitt"/>
    <w:uiPriority w:val="19"/>
    <w:semiHidden/>
    <w:qFormat/>
    <w:rsid w:val="00E7695D"/>
    <w:rPr>
      <w:i/>
      <w:iCs/>
      <w:color w:val="404040" w:themeColor="text1" w:themeTint="BF"/>
    </w:rPr>
  </w:style>
  <w:style w:type="paragraph" w:styleId="Undertittel">
    <w:name w:val="Subtitle"/>
    <w:basedOn w:val="Normal"/>
    <w:next w:val="Normal"/>
    <w:link w:val="UndertittelTegn"/>
    <w:uiPriority w:val="11"/>
    <w:qFormat/>
    <w:rsid w:val="00F678C8"/>
    <w:pPr>
      <w:framePr w:hSpace="142" w:wrap="around" w:vAnchor="page" w:hAnchor="page" w:x="1895" w:y="9924"/>
      <w:numPr>
        <w:ilvl w:val="1"/>
      </w:numPr>
      <w:spacing w:after="0"/>
      <w:suppressOverlap/>
    </w:pPr>
    <w:rPr>
      <w:rFonts w:eastAsiaTheme="minorEastAsia"/>
      <w:b/>
      <w:color w:val="FAB293"/>
      <w:sz w:val="36"/>
    </w:rPr>
  </w:style>
  <w:style w:type="character" w:customStyle="1" w:styleId="UndertittelTegn">
    <w:name w:val="Undertittel Tegn"/>
    <w:basedOn w:val="Standardskriftforavsnitt"/>
    <w:link w:val="Undertittel"/>
    <w:uiPriority w:val="11"/>
    <w:rsid w:val="00F678C8"/>
    <w:rPr>
      <w:rFonts w:eastAsiaTheme="minorEastAsia"/>
      <w:b/>
      <w:color w:val="FAB293"/>
      <w:sz w:val="36"/>
    </w:rPr>
  </w:style>
  <w:style w:type="character" w:styleId="Utheving">
    <w:name w:val="Emphasis"/>
    <w:basedOn w:val="Standardskriftforavsnitt"/>
    <w:uiPriority w:val="20"/>
    <w:qFormat/>
    <w:rsid w:val="00E7695D"/>
    <w:rPr>
      <w:i/>
      <w:iCs/>
    </w:rPr>
  </w:style>
  <w:style w:type="character" w:styleId="Sterkutheving">
    <w:name w:val="Intense Emphasis"/>
    <w:basedOn w:val="Standardskriftforavsnitt"/>
    <w:uiPriority w:val="21"/>
    <w:semiHidden/>
    <w:qFormat/>
    <w:rsid w:val="00E7695D"/>
    <w:rPr>
      <w:i/>
      <w:iCs/>
      <w:color w:val="4472C4" w:themeColor="accent1"/>
    </w:rPr>
  </w:style>
  <w:style w:type="character" w:styleId="Sterk">
    <w:name w:val="Strong"/>
    <w:basedOn w:val="Standardskriftforavsnitt"/>
    <w:uiPriority w:val="22"/>
    <w:qFormat/>
    <w:rsid w:val="00E7695D"/>
    <w:rPr>
      <w:b/>
      <w:bCs/>
    </w:rPr>
  </w:style>
  <w:style w:type="character" w:customStyle="1" w:styleId="Overskrift1Tegn">
    <w:name w:val="Overskrift 1 Tegn"/>
    <w:basedOn w:val="Standardskriftforavsnitt"/>
    <w:link w:val="Overskrift1"/>
    <w:uiPriority w:val="9"/>
    <w:rsid w:val="00FA48A7"/>
    <w:rPr>
      <w:rFonts w:asciiTheme="majorHAnsi" w:eastAsiaTheme="majorEastAsia" w:hAnsiTheme="majorHAnsi" w:cstheme="majorBidi"/>
      <w:b/>
      <w:color w:val="23099F" w:themeColor="text2"/>
      <w:sz w:val="34"/>
      <w:szCs w:val="32"/>
    </w:rPr>
  </w:style>
  <w:style w:type="character" w:customStyle="1" w:styleId="Overskrift2Tegn">
    <w:name w:val="Overskrift 2 Tegn"/>
    <w:basedOn w:val="Standardskriftforavsnitt"/>
    <w:link w:val="Overskrift2"/>
    <w:uiPriority w:val="9"/>
    <w:rsid w:val="00EF755A"/>
    <w:rPr>
      <w:rFonts w:asciiTheme="majorHAnsi" w:eastAsiaTheme="majorEastAsia" w:hAnsiTheme="majorHAnsi" w:cstheme="majorBidi"/>
      <w:b/>
      <w:color w:val="362683"/>
      <w:sz w:val="24"/>
      <w:szCs w:val="26"/>
    </w:rPr>
  </w:style>
  <w:style w:type="character" w:customStyle="1" w:styleId="Overskrift3Tegn">
    <w:name w:val="Overskrift 3 Tegn"/>
    <w:basedOn w:val="Standardskriftforavsnitt"/>
    <w:link w:val="Overskrift3"/>
    <w:uiPriority w:val="9"/>
    <w:rsid w:val="00F2353D"/>
    <w:rPr>
      <w:rFonts w:asciiTheme="majorHAnsi" w:eastAsiaTheme="majorEastAsia" w:hAnsiTheme="majorHAnsi" w:cstheme="majorBidi"/>
      <w:b/>
      <w:color w:val="804F9A"/>
      <w:szCs w:val="24"/>
    </w:rPr>
  </w:style>
  <w:style w:type="paragraph" w:customStyle="1" w:styleId="Infotekst">
    <w:name w:val="Infotekst"/>
    <w:basedOn w:val="Normal"/>
    <w:qFormat/>
    <w:rsid w:val="00F86154"/>
    <w:pPr>
      <w:spacing w:after="160" w:line="259" w:lineRule="auto"/>
    </w:pPr>
    <w:rPr>
      <w:color w:val="4472C4" w:themeColor="accent1"/>
      <w:sz w:val="16"/>
    </w:rPr>
  </w:style>
  <w:style w:type="paragraph" w:styleId="Punktliste">
    <w:name w:val="List Bullet"/>
    <w:basedOn w:val="Normal"/>
    <w:uiPriority w:val="9"/>
    <w:qFormat/>
    <w:rsid w:val="008E3483"/>
    <w:pPr>
      <w:numPr>
        <w:numId w:val="11"/>
      </w:numPr>
      <w:tabs>
        <w:tab w:val="num" w:pos="709"/>
      </w:tabs>
      <w:spacing w:after="0" w:line="300" w:lineRule="atLeast"/>
      <w:contextualSpacing/>
    </w:pPr>
    <w:rPr>
      <w:color w:val="007BB6"/>
    </w:rPr>
  </w:style>
  <w:style w:type="character" w:customStyle="1" w:styleId="Lysbltekst">
    <w:name w:val="Lys blå tekst"/>
    <w:basedOn w:val="Standardskriftforavsnitt"/>
    <w:uiPriority w:val="1"/>
    <w:qFormat/>
    <w:rsid w:val="00F5207D"/>
    <w:rPr>
      <w:color w:val="23099F" w:themeColor="text2"/>
    </w:rPr>
  </w:style>
  <w:style w:type="table" w:customStyle="1" w:styleId="Diku">
    <w:name w:val="Diku"/>
    <w:basedOn w:val="Vanligtabell"/>
    <w:uiPriority w:val="99"/>
    <w:rsid w:val="00C45606"/>
    <w:pPr>
      <w:spacing w:after="0" w:line="240" w:lineRule="auto"/>
    </w:pPr>
    <w:rPr>
      <w:color w:val="343092"/>
      <w:sz w:val="15"/>
    </w:rPr>
    <w:tblPr>
      <w:tblStyleRowBandSize w:val="1"/>
      <w:tblBorders>
        <w:bottom w:val="single" w:sz="4" w:space="0" w:color="0081B8"/>
      </w:tblBorders>
      <w:tblCellMar>
        <w:top w:w="125" w:type="dxa"/>
        <w:left w:w="57" w:type="dxa"/>
        <w:bottom w:w="125" w:type="dxa"/>
        <w:right w:w="57" w:type="dxa"/>
      </w:tblCellMar>
    </w:tblPr>
    <w:tblStylePr w:type="firstRow">
      <w:rPr>
        <w:b/>
        <w:caps/>
        <w:smallCaps w:val="0"/>
        <w:color w:val="FFFFFF" w:themeColor="background1"/>
        <w:sz w:val="20"/>
      </w:rPr>
      <w:tblPr/>
      <w:tcPr>
        <w:shd w:val="clear" w:color="auto" w:fill="343092"/>
      </w:tcPr>
    </w:tblStylePr>
    <w:tblStylePr w:type="firstCol">
      <w:rPr>
        <w:color w:val="4472C4" w:themeColor="accent1"/>
      </w:rPr>
    </w:tblStylePr>
    <w:tblStylePr w:type="band2Horz">
      <w:tblPr/>
      <w:tcPr>
        <w:shd w:val="clear" w:color="auto" w:fill="F3F9FE"/>
      </w:tcPr>
    </w:tblStylePr>
    <w:tblStylePr w:type="nwCell">
      <w:rPr>
        <w:color w:val="F3F9FE"/>
      </w:rPr>
    </w:tblStylePr>
  </w:style>
  <w:style w:type="character" w:styleId="Plassholdertekst">
    <w:name w:val="Placeholder Text"/>
    <w:basedOn w:val="Standardskriftforavsnitt"/>
    <w:uiPriority w:val="99"/>
    <w:semiHidden/>
    <w:rsid w:val="00ED5943"/>
    <w:rPr>
      <w:color w:val="808080"/>
    </w:rPr>
  </w:style>
  <w:style w:type="numbering" w:styleId="111111">
    <w:name w:val="Outline List 2"/>
    <w:basedOn w:val="Ingenliste"/>
    <w:uiPriority w:val="99"/>
    <w:semiHidden/>
    <w:unhideWhenUsed/>
    <w:rsid w:val="00B73C9B"/>
    <w:pPr>
      <w:numPr>
        <w:numId w:val="1"/>
      </w:numPr>
    </w:pPr>
  </w:style>
  <w:style w:type="numbering" w:styleId="1ai">
    <w:name w:val="Outline List 1"/>
    <w:basedOn w:val="Ingenliste"/>
    <w:uiPriority w:val="99"/>
    <w:semiHidden/>
    <w:unhideWhenUsed/>
    <w:rsid w:val="00B73C9B"/>
    <w:pPr>
      <w:numPr>
        <w:numId w:val="2"/>
      </w:numPr>
    </w:pPr>
  </w:style>
  <w:style w:type="character" w:customStyle="1" w:styleId="Overskrift4Tegn">
    <w:name w:val="Overskrift 4 Tegn"/>
    <w:basedOn w:val="Standardskriftforavsnitt"/>
    <w:link w:val="Overskrift4"/>
    <w:uiPriority w:val="9"/>
    <w:rsid w:val="00F86154"/>
    <w:rPr>
      <w:rFonts w:asciiTheme="majorHAnsi" w:eastAsiaTheme="majorEastAsia" w:hAnsiTheme="majorHAnsi" w:cstheme="majorBidi"/>
      <w:b/>
      <w:iCs/>
      <w:color w:val="4472C4" w:themeColor="accent1"/>
    </w:rPr>
  </w:style>
  <w:style w:type="character" w:customStyle="1" w:styleId="Overskrift5Tegn">
    <w:name w:val="Overskrift 5 Tegn"/>
    <w:basedOn w:val="Standardskriftforavsnitt"/>
    <w:link w:val="Overskrift5"/>
    <w:uiPriority w:val="9"/>
    <w:semiHidden/>
    <w:rsid w:val="00B73C9B"/>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B73C9B"/>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B73C9B"/>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B73C9B"/>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B73C9B"/>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B73C9B"/>
    <w:pPr>
      <w:numPr>
        <w:numId w:val="3"/>
      </w:numPr>
    </w:pPr>
  </w:style>
  <w:style w:type="paragraph" w:styleId="Avsenderadresse">
    <w:name w:val="envelope return"/>
    <w:basedOn w:val="Normal"/>
    <w:uiPriority w:val="99"/>
    <w:semiHidden/>
    <w:rsid w:val="00B73C9B"/>
    <w:pPr>
      <w:spacing w:after="0" w:line="240" w:lineRule="auto"/>
    </w:pPr>
    <w:rPr>
      <w:rFonts w:asciiTheme="majorHAnsi" w:eastAsiaTheme="majorEastAsia" w:hAnsiTheme="majorHAnsi" w:cstheme="majorBidi"/>
    </w:rPr>
  </w:style>
  <w:style w:type="paragraph" w:styleId="Bibliografi">
    <w:name w:val="Bibliography"/>
    <w:basedOn w:val="Normal"/>
    <w:next w:val="Normal"/>
    <w:uiPriority w:val="37"/>
    <w:semiHidden/>
    <w:rsid w:val="00B73C9B"/>
  </w:style>
  <w:style w:type="paragraph" w:styleId="Bildetekst">
    <w:name w:val="caption"/>
    <w:basedOn w:val="Normal"/>
    <w:next w:val="Normal"/>
    <w:uiPriority w:val="35"/>
    <w:qFormat/>
    <w:rsid w:val="00F678C8"/>
    <w:pPr>
      <w:spacing w:after="200"/>
    </w:pPr>
    <w:rPr>
      <w:iCs/>
      <w:color w:val="7B56A4"/>
      <w:szCs w:val="18"/>
    </w:rPr>
  </w:style>
  <w:style w:type="paragraph" w:styleId="Blokktekst">
    <w:name w:val="Block Text"/>
    <w:basedOn w:val="Normal"/>
    <w:uiPriority w:val="99"/>
    <w:semiHidden/>
    <w:rsid w:val="00B73C9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bletekst">
    <w:name w:val="Balloon Text"/>
    <w:basedOn w:val="Normal"/>
    <w:link w:val="BobletekstTegn"/>
    <w:uiPriority w:val="99"/>
    <w:semiHidden/>
    <w:rsid w:val="00B73C9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73C9B"/>
    <w:rPr>
      <w:rFonts w:ascii="Segoe UI" w:hAnsi="Segoe UI" w:cs="Segoe UI"/>
      <w:sz w:val="18"/>
      <w:szCs w:val="18"/>
    </w:rPr>
  </w:style>
  <w:style w:type="character" w:styleId="Boktittel">
    <w:name w:val="Book Title"/>
    <w:basedOn w:val="Standardskriftforavsnitt"/>
    <w:uiPriority w:val="33"/>
    <w:semiHidden/>
    <w:qFormat/>
    <w:rsid w:val="00B73C9B"/>
    <w:rPr>
      <w:b/>
      <w:bCs/>
      <w:i/>
      <w:iCs/>
      <w:spacing w:val="5"/>
    </w:rPr>
  </w:style>
  <w:style w:type="paragraph" w:styleId="Brdtekst">
    <w:name w:val="Body Text"/>
    <w:basedOn w:val="Normal"/>
    <w:link w:val="BrdtekstTegn"/>
    <w:uiPriority w:val="99"/>
    <w:semiHidden/>
    <w:rsid w:val="00B73C9B"/>
    <w:pPr>
      <w:spacing w:after="120"/>
    </w:pPr>
  </w:style>
  <w:style w:type="character" w:customStyle="1" w:styleId="BrdtekstTegn">
    <w:name w:val="Brødtekst Tegn"/>
    <w:basedOn w:val="Standardskriftforavsnitt"/>
    <w:link w:val="Brdtekst"/>
    <w:uiPriority w:val="99"/>
    <w:semiHidden/>
    <w:rsid w:val="00B73C9B"/>
    <w:rPr>
      <w:sz w:val="20"/>
    </w:rPr>
  </w:style>
  <w:style w:type="paragraph" w:styleId="Brdtekst-frsteinnrykk">
    <w:name w:val="Body Text First Indent"/>
    <w:basedOn w:val="Brdtekst"/>
    <w:link w:val="Brdtekst-frsteinnrykkTegn"/>
    <w:uiPriority w:val="99"/>
    <w:semiHidden/>
    <w:rsid w:val="00B73C9B"/>
    <w:pPr>
      <w:spacing w:after="260"/>
      <w:ind w:firstLine="360"/>
    </w:pPr>
  </w:style>
  <w:style w:type="character" w:customStyle="1" w:styleId="Brdtekst-frsteinnrykkTegn">
    <w:name w:val="Brødtekst - første innrykk Tegn"/>
    <w:basedOn w:val="BrdtekstTegn"/>
    <w:link w:val="Brdtekst-frsteinnrykk"/>
    <w:uiPriority w:val="99"/>
    <w:semiHidden/>
    <w:rsid w:val="00B73C9B"/>
    <w:rPr>
      <w:sz w:val="20"/>
    </w:rPr>
  </w:style>
  <w:style w:type="paragraph" w:styleId="Brdtekstinnrykk">
    <w:name w:val="Body Text Indent"/>
    <w:basedOn w:val="Normal"/>
    <w:link w:val="BrdtekstinnrykkTegn"/>
    <w:uiPriority w:val="99"/>
    <w:semiHidden/>
    <w:rsid w:val="00B73C9B"/>
    <w:pPr>
      <w:spacing w:after="120"/>
      <w:ind w:left="283"/>
    </w:pPr>
  </w:style>
  <w:style w:type="character" w:customStyle="1" w:styleId="BrdtekstinnrykkTegn">
    <w:name w:val="Brødtekstinnrykk Tegn"/>
    <w:basedOn w:val="Standardskriftforavsnitt"/>
    <w:link w:val="Brdtekstinnrykk"/>
    <w:uiPriority w:val="99"/>
    <w:semiHidden/>
    <w:rsid w:val="00B73C9B"/>
    <w:rPr>
      <w:sz w:val="20"/>
    </w:rPr>
  </w:style>
  <w:style w:type="paragraph" w:styleId="Brdtekst-frsteinnrykk2">
    <w:name w:val="Body Text First Indent 2"/>
    <w:basedOn w:val="Brdtekstinnrykk"/>
    <w:link w:val="Brdtekst-frsteinnrykk2Tegn"/>
    <w:uiPriority w:val="99"/>
    <w:semiHidden/>
    <w:rsid w:val="00B73C9B"/>
    <w:pPr>
      <w:spacing w:after="260"/>
      <w:ind w:left="360" w:firstLine="360"/>
    </w:pPr>
  </w:style>
  <w:style w:type="character" w:customStyle="1" w:styleId="Brdtekst-frsteinnrykk2Tegn">
    <w:name w:val="Brødtekst - første innrykk 2 Tegn"/>
    <w:basedOn w:val="BrdtekstinnrykkTegn"/>
    <w:link w:val="Brdtekst-frsteinnrykk2"/>
    <w:uiPriority w:val="99"/>
    <w:semiHidden/>
    <w:rsid w:val="00B73C9B"/>
    <w:rPr>
      <w:sz w:val="20"/>
    </w:rPr>
  </w:style>
  <w:style w:type="paragraph" w:styleId="Brdtekst2">
    <w:name w:val="Body Text 2"/>
    <w:basedOn w:val="Normal"/>
    <w:link w:val="Brdtekst2Tegn"/>
    <w:uiPriority w:val="99"/>
    <w:semiHidden/>
    <w:rsid w:val="00B73C9B"/>
    <w:pPr>
      <w:spacing w:after="120" w:line="480" w:lineRule="auto"/>
    </w:pPr>
  </w:style>
  <w:style w:type="character" w:customStyle="1" w:styleId="Brdtekst2Tegn">
    <w:name w:val="Brødtekst 2 Tegn"/>
    <w:basedOn w:val="Standardskriftforavsnitt"/>
    <w:link w:val="Brdtekst2"/>
    <w:uiPriority w:val="99"/>
    <w:semiHidden/>
    <w:rsid w:val="00B73C9B"/>
    <w:rPr>
      <w:sz w:val="20"/>
    </w:rPr>
  </w:style>
  <w:style w:type="paragraph" w:styleId="Brdtekst3">
    <w:name w:val="Body Text 3"/>
    <w:basedOn w:val="Normal"/>
    <w:link w:val="Brdtekst3Tegn"/>
    <w:uiPriority w:val="99"/>
    <w:semiHidden/>
    <w:rsid w:val="00B73C9B"/>
    <w:pPr>
      <w:spacing w:after="120"/>
    </w:pPr>
    <w:rPr>
      <w:sz w:val="16"/>
      <w:szCs w:val="16"/>
    </w:rPr>
  </w:style>
  <w:style w:type="character" w:customStyle="1" w:styleId="Brdtekst3Tegn">
    <w:name w:val="Brødtekst 3 Tegn"/>
    <w:basedOn w:val="Standardskriftforavsnitt"/>
    <w:link w:val="Brdtekst3"/>
    <w:uiPriority w:val="99"/>
    <w:semiHidden/>
    <w:rsid w:val="00B73C9B"/>
    <w:rPr>
      <w:sz w:val="16"/>
      <w:szCs w:val="16"/>
    </w:rPr>
  </w:style>
  <w:style w:type="paragraph" w:styleId="Brdtekstinnrykk2">
    <w:name w:val="Body Text Indent 2"/>
    <w:basedOn w:val="Normal"/>
    <w:link w:val="Brdtekstinnrykk2Tegn"/>
    <w:uiPriority w:val="99"/>
    <w:semiHidden/>
    <w:rsid w:val="00B73C9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B73C9B"/>
    <w:rPr>
      <w:sz w:val="20"/>
    </w:rPr>
  </w:style>
  <w:style w:type="paragraph" w:styleId="Brdtekstinnrykk3">
    <w:name w:val="Body Text Indent 3"/>
    <w:basedOn w:val="Normal"/>
    <w:link w:val="Brdtekstinnrykk3Tegn"/>
    <w:uiPriority w:val="99"/>
    <w:semiHidden/>
    <w:rsid w:val="00B73C9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B73C9B"/>
    <w:rPr>
      <w:sz w:val="16"/>
      <w:szCs w:val="16"/>
    </w:rPr>
  </w:style>
  <w:style w:type="paragraph" w:styleId="Dato">
    <w:name w:val="Date"/>
    <w:basedOn w:val="Normal"/>
    <w:next w:val="Normal"/>
    <w:link w:val="DatoTegn"/>
    <w:uiPriority w:val="99"/>
    <w:semiHidden/>
    <w:rsid w:val="00B73C9B"/>
  </w:style>
  <w:style w:type="character" w:customStyle="1" w:styleId="DatoTegn">
    <w:name w:val="Dato Tegn"/>
    <w:basedOn w:val="Standardskriftforavsnitt"/>
    <w:link w:val="Dato"/>
    <w:uiPriority w:val="99"/>
    <w:semiHidden/>
    <w:rsid w:val="00B73C9B"/>
    <w:rPr>
      <w:sz w:val="20"/>
    </w:rPr>
  </w:style>
  <w:style w:type="paragraph" w:styleId="Dokumentkart">
    <w:name w:val="Document Map"/>
    <w:basedOn w:val="Normal"/>
    <w:link w:val="DokumentkartTegn"/>
    <w:uiPriority w:val="99"/>
    <w:semiHidden/>
    <w:rsid w:val="00B73C9B"/>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B73C9B"/>
    <w:rPr>
      <w:rFonts w:ascii="Segoe UI" w:hAnsi="Segoe UI" w:cs="Segoe UI"/>
      <w:sz w:val="16"/>
      <w:szCs w:val="16"/>
    </w:rPr>
  </w:style>
  <w:style w:type="character" w:styleId="Emneknagg">
    <w:name w:val="Hashtag"/>
    <w:basedOn w:val="Standardskriftforavsnitt"/>
    <w:uiPriority w:val="99"/>
    <w:semiHidden/>
    <w:rsid w:val="00B73C9B"/>
    <w:rPr>
      <w:color w:val="2B579A"/>
      <w:shd w:val="clear" w:color="auto" w:fill="E1DFDD"/>
    </w:rPr>
  </w:style>
  <w:style w:type="table" w:styleId="Enkelttabell1">
    <w:name w:val="Table Simple 1"/>
    <w:basedOn w:val="Vanligtabell"/>
    <w:uiPriority w:val="99"/>
    <w:semiHidden/>
    <w:unhideWhenUsed/>
    <w:rsid w:val="00B73C9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B73C9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B73C9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rsid w:val="00B73C9B"/>
    <w:pPr>
      <w:spacing w:after="0" w:line="240" w:lineRule="auto"/>
    </w:pPr>
  </w:style>
  <w:style w:type="character" w:customStyle="1" w:styleId="E-postsignaturTegn">
    <w:name w:val="E-postsignatur Tegn"/>
    <w:basedOn w:val="Standardskriftforavsnitt"/>
    <w:link w:val="E-postsignatur"/>
    <w:uiPriority w:val="99"/>
    <w:semiHidden/>
    <w:rsid w:val="00B73C9B"/>
    <w:rPr>
      <w:sz w:val="20"/>
    </w:rPr>
  </w:style>
  <w:style w:type="table" w:styleId="Fargerikliste">
    <w:name w:val="Colorful List"/>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A0038" w:themeFill="accent2" w:themeFillShade="CC"/>
      </w:tcPr>
    </w:tblStylePr>
    <w:tblStylePr w:type="lastRow">
      <w:rPr>
        <w:b/>
        <w:bCs/>
        <w:color w:val="EA00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EA0038" w:themeFill="accent2" w:themeFillShade="CC"/>
      </w:tcPr>
    </w:tblStylePr>
    <w:tblStylePr w:type="lastRow">
      <w:rPr>
        <w:b/>
        <w:bCs/>
        <w:color w:val="EA00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argeriklisteuthevingsfarge2">
    <w:name w:val="Colorful List Accent 2"/>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FFE9EE" w:themeFill="accent2" w:themeFillTint="19"/>
    </w:tcPr>
    <w:tblStylePr w:type="firstRow">
      <w:rPr>
        <w:b/>
        <w:bCs/>
        <w:color w:val="FFFFFF" w:themeColor="background1"/>
      </w:rPr>
      <w:tblPr/>
      <w:tcPr>
        <w:tcBorders>
          <w:bottom w:val="single" w:sz="12" w:space="0" w:color="FFFFFF" w:themeColor="background1"/>
        </w:tcBorders>
        <w:shd w:val="clear" w:color="auto" w:fill="EA0038" w:themeFill="accent2" w:themeFillShade="CC"/>
      </w:tcPr>
    </w:tblStylePr>
    <w:tblStylePr w:type="lastRow">
      <w:rPr>
        <w:b/>
        <w:bCs/>
        <w:color w:val="EA00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9D6" w:themeFill="accent2" w:themeFillTint="3F"/>
      </w:tcPr>
    </w:tblStylePr>
    <w:tblStylePr w:type="band1Horz">
      <w:tblPr/>
      <w:tcPr>
        <w:shd w:val="clear" w:color="auto" w:fill="FFD3DD" w:themeFill="accent2" w:themeFillTint="33"/>
      </w:tcPr>
    </w:tblStylePr>
  </w:style>
  <w:style w:type="table" w:styleId="Fargeriklisteuthevingsfarge3">
    <w:name w:val="Colorful List Accent 3"/>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EBF9FF" w:themeFill="accent5" w:themeFillTint="19"/>
    </w:tcPr>
    <w:tblStylePr w:type="firstRow">
      <w:rPr>
        <w:b/>
        <w:bCs/>
        <w:color w:val="FFFFFF" w:themeColor="background1"/>
      </w:rPr>
      <w:tblPr/>
      <w:tcPr>
        <w:tcBorders>
          <w:bottom w:val="single" w:sz="12" w:space="0" w:color="FFFFFF" w:themeColor="background1"/>
        </w:tcBorders>
        <w:shd w:val="clear" w:color="auto" w:fill="2BC1B1" w:themeFill="accent6" w:themeFillShade="CC"/>
      </w:tcPr>
    </w:tblStylePr>
    <w:tblStylePr w:type="lastRow">
      <w:rPr>
        <w:b/>
        <w:bCs/>
        <w:color w:val="2BC1B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F" w:themeFill="accent5" w:themeFillTint="3F"/>
      </w:tcPr>
    </w:tblStylePr>
    <w:tblStylePr w:type="band1Horz">
      <w:tblPr/>
      <w:tcPr>
        <w:shd w:val="clear" w:color="auto" w:fill="D7F3FF" w:themeFill="accent5" w:themeFillTint="33"/>
      </w:tcPr>
    </w:tblStylePr>
  </w:style>
  <w:style w:type="table" w:styleId="Fargeriklisteuthevingsfarge6">
    <w:name w:val="Colorful List Accent 6"/>
    <w:basedOn w:val="Vanligtabell"/>
    <w:uiPriority w:val="72"/>
    <w:semiHidden/>
    <w:unhideWhenUsed/>
    <w:rsid w:val="00B73C9B"/>
    <w:pPr>
      <w:spacing w:after="0" w:line="240" w:lineRule="auto"/>
    </w:pPr>
    <w:rPr>
      <w:color w:val="000000" w:themeColor="text1"/>
    </w:rPr>
    <w:tblPr>
      <w:tblStyleRowBandSize w:val="1"/>
      <w:tblStyleColBandSize w:val="1"/>
    </w:tblPr>
    <w:tcPr>
      <w:shd w:val="clear" w:color="auto" w:fill="EDFBF9" w:themeFill="accent6" w:themeFillTint="19"/>
    </w:tcPr>
    <w:tblStylePr w:type="firstRow">
      <w:rPr>
        <w:b/>
        <w:bCs/>
        <w:color w:val="FFFFFF" w:themeColor="background1"/>
      </w:rPr>
      <w:tblPr/>
      <w:tcPr>
        <w:tcBorders>
          <w:bottom w:val="single" w:sz="12" w:space="0" w:color="FFFFFF" w:themeColor="background1"/>
        </w:tcBorders>
        <w:shd w:val="clear" w:color="auto" w:fill="00B3FB" w:themeFill="accent5" w:themeFillShade="CC"/>
      </w:tcPr>
    </w:tblStylePr>
    <w:tblStylePr w:type="lastRow">
      <w:rPr>
        <w:b/>
        <w:bCs/>
        <w:color w:val="00B3F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5F1" w:themeFill="accent6" w:themeFillTint="3F"/>
      </w:tcPr>
    </w:tblStylePr>
    <w:tblStylePr w:type="band1Horz">
      <w:tblPr/>
      <w:tcPr>
        <w:shd w:val="clear" w:color="auto" w:fill="DCF7F4" w:themeFill="accent6" w:themeFillTint="33"/>
      </w:tcPr>
    </w:tblStylePr>
  </w:style>
  <w:style w:type="table" w:styleId="Fargerikskyggelegging">
    <w:name w:val="Colorful Shading"/>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FF265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265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FF265B"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FF265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FF265B" w:themeColor="accent2"/>
        <w:left w:val="single" w:sz="4" w:space="0" w:color="FF265B" w:themeColor="accent2"/>
        <w:bottom w:val="single" w:sz="4" w:space="0" w:color="FF265B" w:themeColor="accent2"/>
        <w:right w:val="single" w:sz="4" w:space="0" w:color="FF265B" w:themeColor="accent2"/>
        <w:insideH w:val="single" w:sz="4" w:space="0" w:color="FFFFFF" w:themeColor="background1"/>
        <w:insideV w:val="single" w:sz="4" w:space="0" w:color="FFFFFF" w:themeColor="background1"/>
      </w:tblBorders>
    </w:tblPr>
    <w:tcPr>
      <w:shd w:val="clear" w:color="auto" w:fill="FFE9EE" w:themeFill="accent2" w:themeFillTint="19"/>
    </w:tcPr>
    <w:tblStylePr w:type="firstRow">
      <w:rPr>
        <w:b/>
        <w:bCs/>
      </w:rPr>
      <w:tblPr/>
      <w:tcPr>
        <w:tcBorders>
          <w:top w:val="nil"/>
          <w:left w:val="nil"/>
          <w:bottom w:val="single" w:sz="24" w:space="0" w:color="FF265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002A" w:themeFill="accent2" w:themeFillShade="99"/>
      </w:tcPr>
    </w:tblStylePr>
    <w:tblStylePr w:type="firstCol">
      <w:rPr>
        <w:color w:val="FFFFFF" w:themeColor="background1"/>
      </w:rPr>
      <w:tblPr/>
      <w:tcPr>
        <w:tcBorders>
          <w:top w:val="nil"/>
          <w:left w:val="nil"/>
          <w:bottom w:val="nil"/>
          <w:right w:val="nil"/>
          <w:insideH w:val="single" w:sz="4" w:space="0" w:color="AF002A" w:themeColor="accent2" w:themeShade="99"/>
          <w:insideV w:val="nil"/>
        </w:tcBorders>
        <w:shd w:val="clear" w:color="auto" w:fill="AF00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F002A" w:themeFill="accent2" w:themeFillShade="99"/>
      </w:tcPr>
    </w:tblStylePr>
    <w:tblStylePr w:type="band1Vert">
      <w:tblPr/>
      <w:tcPr>
        <w:shd w:val="clear" w:color="auto" w:fill="FFA8BD" w:themeFill="accent2" w:themeFillTint="66"/>
      </w:tcPr>
    </w:tblStylePr>
    <w:tblStylePr w:type="band1Horz">
      <w:tblPr/>
      <w:tcPr>
        <w:shd w:val="clear" w:color="auto" w:fill="FF92AD"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51D8CA" w:themeColor="accent6"/>
        <w:left w:val="single" w:sz="4" w:space="0" w:color="3BC7FF" w:themeColor="accent5"/>
        <w:bottom w:val="single" w:sz="4" w:space="0" w:color="3BC7FF" w:themeColor="accent5"/>
        <w:right w:val="single" w:sz="4" w:space="0" w:color="3BC7FF" w:themeColor="accent5"/>
        <w:insideH w:val="single" w:sz="4" w:space="0" w:color="FFFFFF" w:themeColor="background1"/>
        <w:insideV w:val="single" w:sz="4" w:space="0" w:color="FFFFFF" w:themeColor="background1"/>
      </w:tblBorders>
    </w:tblPr>
    <w:tcPr>
      <w:shd w:val="clear" w:color="auto" w:fill="EBF9FF" w:themeFill="accent5" w:themeFillTint="19"/>
    </w:tcPr>
    <w:tblStylePr w:type="firstRow">
      <w:rPr>
        <w:b/>
        <w:bCs/>
      </w:rPr>
      <w:tblPr/>
      <w:tcPr>
        <w:tcBorders>
          <w:top w:val="nil"/>
          <w:left w:val="nil"/>
          <w:bottom w:val="single" w:sz="24" w:space="0" w:color="51D8C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6BC" w:themeFill="accent5" w:themeFillShade="99"/>
      </w:tcPr>
    </w:tblStylePr>
    <w:tblStylePr w:type="firstCol">
      <w:rPr>
        <w:color w:val="FFFFFF" w:themeColor="background1"/>
      </w:rPr>
      <w:tblPr/>
      <w:tcPr>
        <w:tcBorders>
          <w:top w:val="nil"/>
          <w:left w:val="nil"/>
          <w:bottom w:val="nil"/>
          <w:right w:val="nil"/>
          <w:insideH w:val="single" w:sz="4" w:space="0" w:color="0086BC" w:themeColor="accent5" w:themeShade="99"/>
          <w:insideV w:val="nil"/>
        </w:tcBorders>
        <w:shd w:val="clear" w:color="auto" w:fill="0086B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86BC" w:themeFill="accent5" w:themeFillShade="99"/>
      </w:tcPr>
    </w:tblStylePr>
    <w:tblStylePr w:type="band1Vert">
      <w:tblPr/>
      <w:tcPr>
        <w:shd w:val="clear" w:color="auto" w:fill="B0E8FF" w:themeFill="accent5" w:themeFillTint="66"/>
      </w:tcPr>
    </w:tblStylePr>
    <w:tblStylePr w:type="band1Horz">
      <w:tblPr/>
      <w:tcPr>
        <w:shd w:val="clear" w:color="auto" w:fill="9DE3FF"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B73C9B"/>
    <w:pPr>
      <w:spacing w:after="0" w:line="240" w:lineRule="auto"/>
    </w:pPr>
    <w:rPr>
      <w:color w:val="000000" w:themeColor="text1"/>
    </w:rPr>
    <w:tblPr>
      <w:tblStyleRowBandSize w:val="1"/>
      <w:tblStyleColBandSize w:val="1"/>
      <w:tblBorders>
        <w:top w:val="single" w:sz="24" w:space="0" w:color="3BC7FF" w:themeColor="accent5"/>
        <w:left w:val="single" w:sz="4" w:space="0" w:color="51D8CA" w:themeColor="accent6"/>
        <w:bottom w:val="single" w:sz="4" w:space="0" w:color="51D8CA" w:themeColor="accent6"/>
        <w:right w:val="single" w:sz="4" w:space="0" w:color="51D8CA" w:themeColor="accent6"/>
        <w:insideH w:val="single" w:sz="4" w:space="0" w:color="FFFFFF" w:themeColor="background1"/>
        <w:insideV w:val="single" w:sz="4" w:space="0" w:color="FFFFFF" w:themeColor="background1"/>
      </w:tblBorders>
    </w:tblPr>
    <w:tcPr>
      <w:shd w:val="clear" w:color="auto" w:fill="EDFBF9" w:themeFill="accent6" w:themeFillTint="19"/>
    </w:tcPr>
    <w:tblStylePr w:type="firstRow">
      <w:rPr>
        <w:b/>
        <w:bCs/>
      </w:rPr>
      <w:tblPr/>
      <w:tcPr>
        <w:tcBorders>
          <w:top w:val="nil"/>
          <w:left w:val="nil"/>
          <w:bottom w:val="single" w:sz="24" w:space="0" w:color="3BC7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9185" w:themeFill="accent6" w:themeFillShade="99"/>
      </w:tcPr>
    </w:tblStylePr>
    <w:tblStylePr w:type="firstCol">
      <w:rPr>
        <w:color w:val="FFFFFF" w:themeColor="background1"/>
      </w:rPr>
      <w:tblPr/>
      <w:tcPr>
        <w:tcBorders>
          <w:top w:val="nil"/>
          <w:left w:val="nil"/>
          <w:bottom w:val="nil"/>
          <w:right w:val="nil"/>
          <w:insideH w:val="single" w:sz="4" w:space="0" w:color="209185" w:themeColor="accent6" w:themeShade="99"/>
          <w:insideV w:val="nil"/>
        </w:tcBorders>
        <w:shd w:val="clear" w:color="auto" w:fill="20918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09185" w:themeFill="accent6" w:themeFillShade="99"/>
      </w:tcPr>
    </w:tblStylePr>
    <w:tblStylePr w:type="band1Vert">
      <w:tblPr/>
      <w:tcPr>
        <w:shd w:val="clear" w:color="auto" w:fill="B9EFE9" w:themeFill="accent6" w:themeFillTint="66"/>
      </w:tcPr>
    </w:tblStylePr>
    <w:tblStylePr w:type="band1Horz">
      <w:tblPr/>
      <w:tcPr>
        <w:shd w:val="clear" w:color="auto" w:fill="A8EBE4"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geriktrutenettuthevingsfarge2">
    <w:name w:val="Colorful Grid Accent 2"/>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3DD" w:themeFill="accent2" w:themeFillTint="33"/>
    </w:tcPr>
    <w:tblStylePr w:type="firstRow">
      <w:rPr>
        <w:b/>
        <w:bCs/>
      </w:rPr>
      <w:tblPr/>
      <w:tcPr>
        <w:shd w:val="clear" w:color="auto" w:fill="FFA8BD" w:themeFill="accent2" w:themeFillTint="66"/>
      </w:tcPr>
    </w:tblStylePr>
    <w:tblStylePr w:type="lastRow">
      <w:rPr>
        <w:b/>
        <w:bCs/>
        <w:color w:val="000000" w:themeColor="text1"/>
      </w:rPr>
      <w:tblPr/>
      <w:tcPr>
        <w:shd w:val="clear" w:color="auto" w:fill="FFA8BD" w:themeFill="accent2" w:themeFillTint="66"/>
      </w:tcPr>
    </w:tblStylePr>
    <w:tblStylePr w:type="firstCol">
      <w:rPr>
        <w:color w:val="FFFFFF" w:themeColor="background1"/>
      </w:rPr>
      <w:tblPr/>
      <w:tcPr>
        <w:shd w:val="clear" w:color="auto" w:fill="DB0035" w:themeFill="accent2" w:themeFillShade="BF"/>
      </w:tcPr>
    </w:tblStylePr>
    <w:tblStylePr w:type="lastCol">
      <w:rPr>
        <w:color w:val="FFFFFF" w:themeColor="background1"/>
      </w:rPr>
      <w:tblPr/>
      <w:tcPr>
        <w:shd w:val="clear" w:color="auto" w:fill="DB0035" w:themeFill="accent2" w:themeFillShade="BF"/>
      </w:tcPr>
    </w:tblStylePr>
    <w:tblStylePr w:type="band1Vert">
      <w:tblPr/>
      <w:tcPr>
        <w:shd w:val="clear" w:color="auto" w:fill="FF92AD" w:themeFill="accent2" w:themeFillTint="7F"/>
      </w:tcPr>
    </w:tblStylePr>
    <w:tblStylePr w:type="band1Horz">
      <w:tblPr/>
      <w:tcPr>
        <w:shd w:val="clear" w:color="auto" w:fill="FF92AD" w:themeFill="accent2" w:themeFillTint="7F"/>
      </w:tcPr>
    </w:tblStylePr>
  </w:style>
  <w:style w:type="table" w:styleId="Fargeriktrutenettuthevingsfarge3">
    <w:name w:val="Colorful Grid Accent 3"/>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F3FF" w:themeFill="accent5" w:themeFillTint="33"/>
    </w:tcPr>
    <w:tblStylePr w:type="firstRow">
      <w:rPr>
        <w:b/>
        <w:bCs/>
      </w:rPr>
      <w:tblPr/>
      <w:tcPr>
        <w:shd w:val="clear" w:color="auto" w:fill="B0E8FF" w:themeFill="accent5" w:themeFillTint="66"/>
      </w:tcPr>
    </w:tblStylePr>
    <w:tblStylePr w:type="lastRow">
      <w:rPr>
        <w:b/>
        <w:bCs/>
        <w:color w:val="000000" w:themeColor="text1"/>
      </w:rPr>
      <w:tblPr/>
      <w:tcPr>
        <w:shd w:val="clear" w:color="auto" w:fill="B0E8FF" w:themeFill="accent5" w:themeFillTint="66"/>
      </w:tcPr>
    </w:tblStylePr>
    <w:tblStylePr w:type="firstCol">
      <w:rPr>
        <w:color w:val="FFFFFF" w:themeColor="background1"/>
      </w:rPr>
      <w:tblPr/>
      <w:tcPr>
        <w:shd w:val="clear" w:color="auto" w:fill="00A7EB" w:themeFill="accent5" w:themeFillShade="BF"/>
      </w:tcPr>
    </w:tblStylePr>
    <w:tblStylePr w:type="lastCol">
      <w:rPr>
        <w:color w:val="FFFFFF" w:themeColor="background1"/>
      </w:rPr>
      <w:tblPr/>
      <w:tcPr>
        <w:shd w:val="clear" w:color="auto" w:fill="00A7EB" w:themeFill="accent5" w:themeFillShade="BF"/>
      </w:tcPr>
    </w:tblStylePr>
    <w:tblStylePr w:type="band1Vert">
      <w:tblPr/>
      <w:tcPr>
        <w:shd w:val="clear" w:color="auto" w:fill="9DE3FF" w:themeFill="accent5" w:themeFillTint="7F"/>
      </w:tcPr>
    </w:tblStylePr>
    <w:tblStylePr w:type="band1Horz">
      <w:tblPr/>
      <w:tcPr>
        <w:shd w:val="clear" w:color="auto" w:fill="9DE3FF" w:themeFill="accent5" w:themeFillTint="7F"/>
      </w:tcPr>
    </w:tblStylePr>
  </w:style>
  <w:style w:type="table" w:styleId="Fargeriktrutenettuthevingsfarge6">
    <w:name w:val="Colorful Grid Accent 6"/>
    <w:basedOn w:val="Vanligtabell"/>
    <w:uiPriority w:val="73"/>
    <w:semiHidden/>
    <w:unhideWhenUsed/>
    <w:rsid w:val="00B73C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7F4" w:themeFill="accent6" w:themeFillTint="33"/>
    </w:tcPr>
    <w:tblStylePr w:type="firstRow">
      <w:rPr>
        <w:b/>
        <w:bCs/>
      </w:rPr>
      <w:tblPr/>
      <w:tcPr>
        <w:shd w:val="clear" w:color="auto" w:fill="B9EFE9" w:themeFill="accent6" w:themeFillTint="66"/>
      </w:tcPr>
    </w:tblStylePr>
    <w:tblStylePr w:type="lastRow">
      <w:rPr>
        <w:b/>
        <w:bCs/>
        <w:color w:val="000000" w:themeColor="text1"/>
      </w:rPr>
      <w:tblPr/>
      <w:tcPr>
        <w:shd w:val="clear" w:color="auto" w:fill="B9EFE9" w:themeFill="accent6" w:themeFillTint="66"/>
      </w:tcPr>
    </w:tblStylePr>
    <w:tblStylePr w:type="firstCol">
      <w:rPr>
        <w:color w:val="FFFFFF" w:themeColor="background1"/>
      </w:rPr>
      <w:tblPr/>
      <w:tcPr>
        <w:shd w:val="clear" w:color="auto" w:fill="28B5A6" w:themeFill="accent6" w:themeFillShade="BF"/>
      </w:tcPr>
    </w:tblStylePr>
    <w:tblStylePr w:type="lastCol">
      <w:rPr>
        <w:color w:val="FFFFFF" w:themeColor="background1"/>
      </w:rPr>
      <w:tblPr/>
      <w:tcPr>
        <w:shd w:val="clear" w:color="auto" w:fill="28B5A6" w:themeFill="accent6" w:themeFillShade="BF"/>
      </w:tcPr>
    </w:tblStylePr>
    <w:tblStylePr w:type="band1Vert">
      <w:tblPr/>
      <w:tcPr>
        <w:shd w:val="clear" w:color="auto" w:fill="A8EBE4" w:themeFill="accent6" w:themeFillTint="7F"/>
      </w:tcPr>
    </w:tblStylePr>
    <w:tblStylePr w:type="band1Horz">
      <w:tblPr/>
      <w:tcPr>
        <w:shd w:val="clear" w:color="auto" w:fill="A8EBE4" w:themeFill="accent6" w:themeFillTint="7F"/>
      </w:tcPr>
    </w:tblStylePr>
  </w:style>
  <w:style w:type="paragraph" w:styleId="Figurliste">
    <w:name w:val="table of figures"/>
    <w:basedOn w:val="Normal"/>
    <w:next w:val="Normal"/>
    <w:uiPriority w:val="99"/>
    <w:rsid w:val="00A10139"/>
    <w:pPr>
      <w:spacing w:after="0"/>
    </w:pPr>
    <w:rPr>
      <w:sz w:val="17"/>
    </w:rPr>
  </w:style>
  <w:style w:type="character" w:styleId="Fotnotereferanse">
    <w:name w:val="footnote reference"/>
    <w:basedOn w:val="Standardskriftforavsnitt"/>
    <w:uiPriority w:val="99"/>
    <w:rsid w:val="00B73C9B"/>
    <w:rPr>
      <w:vertAlign w:val="superscript"/>
    </w:rPr>
  </w:style>
  <w:style w:type="paragraph" w:styleId="Fotnotetekst">
    <w:name w:val="footnote text"/>
    <w:basedOn w:val="Normal"/>
    <w:link w:val="FotnotetekstTegn"/>
    <w:uiPriority w:val="99"/>
    <w:qFormat/>
    <w:rsid w:val="00F54305"/>
    <w:pPr>
      <w:spacing w:after="0" w:line="240" w:lineRule="auto"/>
      <w:ind w:left="91" w:hanging="91"/>
    </w:pPr>
    <w:rPr>
      <w:color w:val="6F6F6F"/>
      <w:sz w:val="14"/>
      <w:lang w:val="en-GB"/>
    </w:rPr>
  </w:style>
  <w:style w:type="character" w:customStyle="1" w:styleId="FotnotetekstTegn">
    <w:name w:val="Fotnotetekst Tegn"/>
    <w:basedOn w:val="Standardskriftforavsnitt"/>
    <w:link w:val="Fotnotetekst"/>
    <w:uiPriority w:val="99"/>
    <w:rsid w:val="00F54305"/>
    <w:rPr>
      <w:color w:val="6F6F6F"/>
      <w:sz w:val="14"/>
      <w:lang w:val="en-GB"/>
    </w:rPr>
  </w:style>
  <w:style w:type="character" w:styleId="Fulgthyperkobling">
    <w:name w:val="FollowedHyperlink"/>
    <w:basedOn w:val="Standardskriftforavsnitt"/>
    <w:uiPriority w:val="99"/>
    <w:semiHidden/>
    <w:rsid w:val="00B73C9B"/>
    <w:rPr>
      <w:color w:val="7124BC" w:themeColor="followedHyperlink"/>
      <w:u w:val="single"/>
    </w:rPr>
  </w:style>
  <w:style w:type="paragraph" w:styleId="Hilsen">
    <w:name w:val="Closing"/>
    <w:basedOn w:val="Normal"/>
    <w:link w:val="HilsenTegn"/>
    <w:uiPriority w:val="99"/>
    <w:semiHidden/>
    <w:rsid w:val="00B73C9B"/>
    <w:pPr>
      <w:spacing w:after="0" w:line="240" w:lineRule="auto"/>
      <w:ind w:left="4252"/>
    </w:pPr>
  </w:style>
  <w:style w:type="character" w:customStyle="1" w:styleId="HilsenTegn">
    <w:name w:val="Hilsen Tegn"/>
    <w:basedOn w:val="Standardskriftforavsnitt"/>
    <w:link w:val="Hilsen"/>
    <w:uiPriority w:val="99"/>
    <w:semiHidden/>
    <w:rsid w:val="00B73C9B"/>
    <w:rPr>
      <w:sz w:val="20"/>
    </w:rPr>
  </w:style>
  <w:style w:type="paragraph" w:styleId="HTML-adresse">
    <w:name w:val="HTML Address"/>
    <w:basedOn w:val="Normal"/>
    <w:link w:val="HTML-adresseTegn"/>
    <w:uiPriority w:val="99"/>
    <w:semiHidden/>
    <w:rsid w:val="00B73C9B"/>
    <w:pPr>
      <w:spacing w:after="0" w:line="240" w:lineRule="auto"/>
    </w:pPr>
    <w:rPr>
      <w:i/>
      <w:iCs/>
    </w:rPr>
  </w:style>
  <w:style w:type="character" w:customStyle="1" w:styleId="HTML-adresseTegn">
    <w:name w:val="HTML-adresse Tegn"/>
    <w:basedOn w:val="Standardskriftforavsnitt"/>
    <w:link w:val="HTML-adresse"/>
    <w:uiPriority w:val="99"/>
    <w:semiHidden/>
    <w:rsid w:val="00B73C9B"/>
    <w:rPr>
      <w:i/>
      <w:iCs/>
      <w:sz w:val="20"/>
    </w:rPr>
  </w:style>
  <w:style w:type="character" w:styleId="HTML-akronym">
    <w:name w:val="HTML Acronym"/>
    <w:basedOn w:val="Standardskriftforavsnitt"/>
    <w:uiPriority w:val="99"/>
    <w:semiHidden/>
    <w:rsid w:val="00B73C9B"/>
  </w:style>
  <w:style w:type="character" w:styleId="HTML-definisjon">
    <w:name w:val="HTML Definition"/>
    <w:basedOn w:val="Standardskriftforavsnitt"/>
    <w:uiPriority w:val="99"/>
    <w:semiHidden/>
    <w:rsid w:val="00B73C9B"/>
    <w:rPr>
      <w:i/>
      <w:iCs/>
    </w:rPr>
  </w:style>
  <w:style w:type="character" w:styleId="HTML-eksempel">
    <w:name w:val="HTML Sample"/>
    <w:basedOn w:val="Standardskriftforavsnitt"/>
    <w:uiPriority w:val="99"/>
    <w:semiHidden/>
    <w:rsid w:val="00B73C9B"/>
    <w:rPr>
      <w:rFonts w:ascii="Consolas" w:hAnsi="Consolas"/>
      <w:sz w:val="24"/>
      <w:szCs w:val="24"/>
    </w:rPr>
  </w:style>
  <w:style w:type="paragraph" w:styleId="HTML-forhndsformatert">
    <w:name w:val="HTML Preformatted"/>
    <w:basedOn w:val="Normal"/>
    <w:link w:val="HTML-forhndsformatertTegn"/>
    <w:uiPriority w:val="99"/>
    <w:semiHidden/>
    <w:rsid w:val="00B73C9B"/>
    <w:pPr>
      <w:spacing w:after="0" w:line="240"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B73C9B"/>
    <w:rPr>
      <w:rFonts w:ascii="Consolas" w:hAnsi="Consolas"/>
    </w:rPr>
  </w:style>
  <w:style w:type="character" w:styleId="HTML-kode">
    <w:name w:val="HTML Code"/>
    <w:basedOn w:val="Standardskriftforavsnitt"/>
    <w:uiPriority w:val="99"/>
    <w:semiHidden/>
    <w:rsid w:val="00B73C9B"/>
    <w:rPr>
      <w:rFonts w:ascii="Consolas" w:hAnsi="Consolas"/>
      <w:sz w:val="20"/>
      <w:szCs w:val="20"/>
    </w:rPr>
  </w:style>
  <w:style w:type="character" w:styleId="HTML-sitat">
    <w:name w:val="HTML Cite"/>
    <w:basedOn w:val="Standardskriftforavsnitt"/>
    <w:uiPriority w:val="99"/>
    <w:semiHidden/>
    <w:rsid w:val="00B73C9B"/>
    <w:rPr>
      <w:i/>
      <w:iCs/>
    </w:rPr>
  </w:style>
  <w:style w:type="character" w:styleId="HTML-skrivemaskin">
    <w:name w:val="HTML Typewriter"/>
    <w:basedOn w:val="Standardskriftforavsnitt"/>
    <w:uiPriority w:val="99"/>
    <w:semiHidden/>
    <w:rsid w:val="00B73C9B"/>
    <w:rPr>
      <w:rFonts w:ascii="Consolas" w:hAnsi="Consolas"/>
      <w:sz w:val="20"/>
      <w:szCs w:val="20"/>
    </w:rPr>
  </w:style>
  <w:style w:type="character" w:styleId="HTML-tastatur">
    <w:name w:val="HTML Keyboard"/>
    <w:basedOn w:val="Standardskriftforavsnitt"/>
    <w:uiPriority w:val="99"/>
    <w:semiHidden/>
    <w:rsid w:val="00B73C9B"/>
    <w:rPr>
      <w:rFonts w:ascii="Consolas" w:hAnsi="Consolas"/>
      <w:sz w:val="20"/>
      <w:szCs w:val="20"/>
    </w:rPr>
  </w:style>
  <w:style w:type="character" w:styleId="HTML-variabel">
    <w:name w:val="HTML Variable"/>
    <w:basedOn w:val="Standardskriftforavsnitt"/>
    <w:uiPriority w:val="99"/>
    <w:semiHidden/>
    <w:rsid w:val="00B73C9B"/>
    <w:rPr>
      <w:i/>
      <w:iCs/>
    </w:rPr>
  </w:style>
  <w:style w:type="character" w:styleId="Hyperkobling">
    <w:name w:val="Hyperlink"/>
    <w:basedOn w:val="Standardskriftforavsnitt"/>
    <w:uiPriority w:val="99"/>
    <w:rsid w:val="004D6191"/>
    <w:rPr>
      <w:i w:val="0"/>
      <w:iCs/>
      <w:color w:val="804F9A"/>
      <w:u w:val="none"/>
    </w:rPr>
  </w:style>
  <w:style w:type="paragraph" w:styleId="Indeks1">
    <w:name w:val="index 1"/>
    <w:basedOn w:val="Normal"/>
    <w:next w:val="Normal"/>
    <w:autoRedefine/>
    <w:uiPriority w:val="99"/>
    <w:semiHidden/>
    <w:rsid w:val="00B73C9B"/>
    <w:pPr>
      <w:spacing w:after="0" w:line="240" w:lineRule="auto"/>
      <w:ind w:left="200" w:hanging="200"/>
    </w:pPr>
  </w:style>
  <w:style w:type="paragraph" w:styleId="Indeks2">
    <w:name w:val="index 2"/>
    <w:basedOn w:val="Normal"/>
    <w:next w:val="Normal"/>
    <w:autoRedefine/>
    <w:uiPriority w:val="99"/>
    <w:semiHidden/>
    <w:rsid w:val="00B73C9B"/>
    <w:pPr>
      <w:spacing w:after="0" w:line="240" w:lineRule="auto"/>
      <w:ind w:left="400" w:hanging="200"/>
    </w:pPr>
  </w:style>
  <w:style w:type="paragraph" w:styleId="Indeks3">
    <w:name w:val="index 3"/>
    <w:basedOn w:val="Normal"/>
    <w:next w:val="Normal"/>
    <w:autoRedefine/>
    <w:uiPriority w:val="99"/>
    <w:semiHidden/>
    <w:rsid w:val="00B73C9B"/>
    <w:pPr>
      <w:spacing w:after="0" w:line="240" w:lineRule="auto"/>
      <w:ind w:left="600" w:hanging="200"/>
    </w:pPr>
  </w:style>
  <w:style w:type="paragraph" w:styleId="Indeks4">
    <w:name w:val="index 4"/>
    <w:basedOn w:val="Normal"/>
    <w:next w:val="Normal"/>
    <w:autoRedefine/>
    <w:uiPriority w:val="99"/>
    <w:semiHidden/>
    <w:rsid w:val="00B73C9B"/>
    <w:pPr>
      <w:spacing w:after="0" w:line="240" w:lineRule="auto"/>
      <w:ind w:left="800" w:hanging="200"/>
    </w:pPr>
  </w:style>
  <w:style w:type="paragraph" w:styleId="Indeks5">
    <w:name w:val="index 5"/>
    <w:basedOn w:val="Normal"/>
    <w:next w:val="Normal"/>
    <w:autoRedefine/>
    <w:uiPriority w:val="99"/>
    <w:semiHidden/>
    <w:rsid w:val="00B73C9B"/>
    <w:pPr>
      <w:spacing w:after="0" w:line="240" w:lineRule="auto"/>
      <w:ind w:left="1000" w:hanging="200"/>
    </w:pPr>
  </w:style>
  <w:style w:type="paragraph" w:styleId="Indeks6">
    <w:name w:val="index 6"/>
    <w:basedOn w:val="Normal"/>
    <w:next w:val="Normal"/>
    <w:autoRedefine/>
    <w:uiPriority w:val="99"/>
    <w:semiHidden/>
    <w:rsid w:val="00B73C9B"/>
    <w:pPr>
      <w:spacing w:after="0" w:line="240" w:lineRule="auto"/>
      <w:ind w:left="1200" w:hanging="200"/>
    </w:pPr>
  </w:style>
  <w:style w:type="paragraph" w:styleId="Indeks7">
    <w:name w:val="index 7"/>
    <w:basedOn w:val="Normal"/>
    <w:next w:val="Normal"/>
    <w:autoRedefine/>
    <w:uiPriority w:val="99"/>
    <w:semiHidden/>
    <w:rsid w:val="00B73C9B"/>
    <w:pPr>
      <w:spacing w:after="0" w:line="240" w:lineRule="auto"/>
      <w:ind w:left="1400" w:hanging="200"/>
    </w:pPr>
  </w:style>
  <w:style w:type="paragraph" w:styleId="Indeks8">
    <w:name w:val="index 8"/>
    <w:basedOn w:val="Normal"/>
    <w:next w:val="Normal"/>
    <w:autoRedefine/>
    <w:uiPriority w:val="99"/>
    <w:semiHidden/>
    <w:rsid w:val="00B73C9B"/>
    <w:pPr>
      <w:spacing w:after="0" w:line="240" w:lineRule="auto"/>
      <w:ind w:left="1600" w:hanging="200"/>
    </w:pPr>
  </w:style>
  <w:style w:type="paragraph" w:styleId="Indeks9">
    <w:name w:val="index 9"/>
    <w:basedOn w:val="Normal"/>
    <w:next w:val="Normal"/>
    <w:autoRedefine/>
    <w:uiPriority w:val="99"/>
    <w:semiHidden/>
    <w:rsid w:val="00B73C9B"/>
    <w:pPr>
      <w:spacing w:after="0" w:line="240" w:lineRule="auto"/>
      <w:ind w:left="1800" w:hanging="200"/>
    </w:pPr>
  </w:style>
  <w:style w:type="paragraph" w:styleId="Ingenmellomrom">
    <w:name w:val="No Spacing"/>
    <w:uiPriority w:val="1"/>
    <w:qFormat/>
    <w:rsid w:val="00B73C9B"/>
    <w:pPr>
      <w:spacing w:after="0" w:line="240" w:lineRule="auto"/>
    </w:pPr>
  </w:style>
  <w:style w:type="paragraph" w:styleId="INNH1">
    <w:name w:val="toc 1"/>
    <w:basedOn w:val="Normal"/>
    <w:next w:val="Normal"/>
    <w:autoRedefine/>
    <w:uiPriority w:val="39"/>
    <w:rsid w:val="00E45A79"/>
    <w:pPr>
      <w:tabs>
        <w:tab w:val="left" w:pos="284"/>
        <w:tab w:val="right" w:leader="dot" w:pos="8161"/>
      </w:tabs>
      <w:spacing w:before="240" w:line="300" w:lineRule="atLeast"/>
      <w:ind w:left="284" w:hanging="284"/>
    </w:pPr>
    <w:rPr>
      <w:b/>
      <w:noProof/>
      <w:color w:val="332683"/>
      <w:sz w:val="24"/>
    </w:rPr>
  </w:style>
  <w:style w:type="paragraph" w:styleId="INNH2">
    <w:name w:val="toc 2"/>
    <w:basedOn w:val="Normal"/>
    <w:next w:val="Normal"/>
    <w:autoRedefine/>
    <w:uiPriority w:val="39"/>
    <w:rsid w:val="00C00669"/>
    <w:pPr>
      <w:tabs>
        <w:tab w:val="right" w:leader="dot" w:pos="8147"/>
      </w:tabs>
      <w:spacing w:after="0" w:line="240" w:lineRule="auto"/>
      <w:ind w:left="851" w:right="567" w:hanging="567"/>
    </w:pPr>
    <w:rPr>
      <w:noProof/>
      <w:color w:val="000000" w:themeColor="text1"/>
      <w:sz w:val="17"/>
    </w:rPr>
  </w:style>
  <w:style w:type="paragraph" w:styleId="INNH3">
    <w:name w:val="toc 3"/>
    <w:basedOn w:val="Normal"/>
    <w:next w:val="Normal"/>
    <w:autoRedefine/>
    <w:uiPriority w:val="39"/>
    <w:rsid w:val="00776864"/>
    <w:pPr>
      <w:spacing w:after="0" w:line="200" w:lineRule="atLeast"/>
      <w:ind w:left="403"/>
    </w:pPr>
    <w:rPr>
      <w:sz w:val="16"/>
    </w:rPr>
  </w:style>
  <w:style w:type="paragraph" w:styleId="INNH4">
    <w:name w:val="toc 4"/>
    <w:basedOn w:val="Normal"/>
    <w:next w:val="Normal"/>
    <w:autoRedefine/>
    <w:uiPriority w:val="39"/>
    <w:semiHidden/>
    <w:rsid w:val="00B73C9B"/>
    <w:pPr>
      <w:spacing w:after="100"/>
      <w:ind w:left="600"/>
    </w:pPr>
  </w:style>
  <w:style w:type="paragraph" w:styleId="INNH5">
    <w:name w:val="toc 5"/>
    <w:basedOn w:val="Normal"/>
    <w:next w:val="Normal"/>
    <w:autoRedefine/>
    <w:uiPriority w:val="39"/>
    <w:semiHidden/>
    <w:rsid w:val="00B73C9B"/>
    <w:pPr>
      <w:spacing w:after="100"/>
      <w:ind w:left="800"/>
    </w:pPr>
  </w:style>
  <w:style w:type="paragraph" w:styleId="INNH6">
    <w:name w:val="toc 6"/>
    <w:basedOn w:val="Normal"/>
    <w:next w:val="Normal"/>
    <w:autoRedefine/>
    <w:uiPriority w:val="39"/>
    <w:semiHidden/>
    <w:rsid w:val="00B73C9B"/>
    <w:pPr>
      <w:spacing w:after="100"/>
      <w:ind w:left="1000"/>
    </w:pPr>
  </w:style>
  <w:style w:type="paragraph" w:styleId="INNH7">
    <w:name w:val="toc 7"/>
    <w:basedOn w:val="Normal"/>
    <w:next w:val="Normal"/>
    <w:autoRedefine/>
    <w:uiPriority w:val="39"/>
    <w:semiHidden/>
    <w:rsid w:val="00B73C9B"/>
    <w:pPr>
      <w:spacing w:after="100"/>
      <w:ind w:left="1200"/>
    </w:pPr>
  </w:style>
  <w:style w:type="paragraph" w:styleId="INNH8">
    <w:name w:val="toc 8"/>
    <w:basedOn w:val="Normal"/>
    <w:next w:val="Normal"/>
    <w:autoRedefine/>
    <w:uiPriority w:val="39"/>
    <w:semiHidden/>
    <w:rsid w:val="00B73C9B"/>
    <w:pPr>
      <w:spacing w:after="100"/>
      <w:ind w:left="1400"/>
    </w:pPr>
  </w:style>
  <w:style w:type="paragraph" w:styleId="INNH9">
    <w:name w:val="toc 9"/>
    <w:basedOn w:val="Normal"/>
    <w:next w:val="Normal"/>
    <w:autoRedefine/>
    <w:uiPriority w:val="39"/>
    <w:semiHidden/>
    <w:rsid w:val="00B73C9B"/>
    <w:pPr>
      <w:spacing w:after="100"/>
      <w:ind w:left="1600"/>
    </w:pPr>
  </w:style>
  <w:style w:type="paragraph" w:styleId="Innledendehilsen">
    <w:name w:val="Salutation"/>
    <w:basedOn w:val="Normal"/>
    <w:next w:val="Normal"/>
    <w:link w:val="InnledendehilsenTegn"/>
    <w:uiPriority w:val="99"/>
    <w:semiHidden/>
    <w:rsid w:val="00B73C9B"/>
  </w:style>
  <w:style w:type="character" w:customStyle="1" w:styleId="InnledendehilsenTegn">
    <w:name w:val="Innledende hilsen Tegn"/>
    <w:basedOn w:val="Standardskriftforavsnitt"/>
    <w:link w:val="Innledendehilsen"/>
    <w:uiPriority w:val="99"/>
    <w:semiHidden/>
    <w:rsid w:val="00B73C9B"/>
    <w:rPr>
      <w:sz w:val="20"/>
    </w:rPr>
  </w:style>
  <w:style w:type="paragraph" w:styleId="Kildeliste">
    <w:name w:val="table of authorities"/>
    <w:basedOn w:val="Normal"/>
    <w:next w:val="Normal"/>
    <w:uiPriority w:val="99"/>
    <w:semiHidden/>
    <w:rsid w:val="00B73C9B"/>
    <w:pPr>
      <w:spacing w:after="0"/>
      <w:ind w:left="200" w:hanging="200"/>
    </w:pPr>
  </w:style>
  <w:style w:type="paragraph" w:styleId="Kildelisteoverskrift">
    <w:name w:val="toa heading"/>
    <w:basedOn w:val="Normal"/>
    <w:next w:val="Normal"/>
    <w:uiPriority w:val="99"/>
    <w:semiHidden/>
    <w:rsid w:val="00B73C9B"/>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rsid w:val="00B73C9B"/>
    <w:pPr>
      <w:spacing w:line="240" w:lineRule="auto"/>
    </w:pPr>
  </w:style>
  <w:style w:type="character" w:customStyle="1" w:styleId="MerknadstekstTegn">
    <w:name w:val="Merknadstekst Tegn"/>
    <w:basedOn w:val="Standardskriftforavsnitt"/>
    <w:link w:val="Merknadstekst"/>
    <w:uiPriority w:val="99"/>
    <w:rsid w:val="00B73C9B"/>
  </w:style>
  <w:style w:type="paragraph" w:styleId="Kommentaremne">
    <w:name w:val="annotation subject"/>
    <w:basedOn w:val="Merknadstekst"/>
    <w:next w:val="Merknadstekst"/>
    <w:link w:val="KommentaremneTegn"/>
    <w:uiPriority w:val="99"/>
    <w:semiHidden/>
    <w:rsid w:val="00B73C9B"/>
    <w:rPr>
      <w:b/>
      <w:bCs/>
    </w:rPr>
  </w:style>
  <w:style w:type="character" w:customStyle="1" w:styleId="KommentaremneTegn">
    <w:name w:val="Kommentaremne Tegn"/>
    <w:basedOn w:val="MerknadstekstTegn"/>
    <w:link w:val="Kommentaremne"/>
    <w:uiPriority w:val="99"/>
    <w:semiHidden/>
    <w:rsid w:val="00B73C9B"/>
    <w:rPr>
      <w:b/>
      <w:bCs/>
      <w:sz w:val="20"/>
      <w:szCs w:val="20"/>
    </w:rPr>
  </w:style>
  <w:style w:type="paragraph" w:styleId="Konvoluttadresse">
    <w:name w:val="envelope address"/>
    <w:basedOn w:val="Normal"/>
    <w:uiPriority w:val="99"/>
    <w:semiHidden/>
    <w:rsid w:val="00B73C9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rsid w:val="00B73C9B"/>
  </w:style>
  <w:style w:type="paragraph" w:styleId="Liste">
    <w:name w:val="List"/>
    <w:basedOn w:val="Normal"/>
    <w:uiPriority w:val="99"/>
    <w:semiHidden/>
    <w:rsid w:val="00B73C9B"/>
    <w:pPr>
      <w:ind w:left="283" w:hanging="283"/>
      <w:contextualSpacing/>
    </w:pPr>
  </w:style>
  <w:style w:type="paragraph" w:styleId="Liste-forts">
    <w:name w:val="List Continue"/>
    <w:basedOn w:val="Normal"/>
    <w:uiPriority w:val="99"/>
    <w:semiHidden/>
    <w:rsid w:val="00B73C9B"/>
    <w:pPr>
      <w:spacing w:after="120"/>
      <w:ind w:left="283"/>
      <w:contextualSpacing/>
    </w:pPr>
  </w:style>
  <w:style w:type="paragraph" w:styleId="Liste-forts2">
    <w:name w:val="List Continue 2"/>
    <w:basedOn w:val="Normal"/>
    <w:uiPriority w:val="99"/>
    <w:semiHidden/>
    <w:rsid w:val="00B73C9B"/>
    <w:pPr>
      <w:spacing w:after="120"/>
      <w:ind w:left="566"/>
      <w:contextualSpacing/>
    </w:pPr>
  </w:style>
  <w:style w:type="paragraph" w:styleId="Liste-forts3">
    <w:name w:val="List Continue 3"/>
    <w:basedOn w:val="Normal"/>
    <w:uiPriority w:val="99"/>
    <w:semiHidden/>
    <w:rsid w:val="00B73C9B"/>
    <w:pPr>
      <w:spacing w:after="120"/>
      <w:ind w:left="849"/>
      <w:contextualSpacing/>
    </w:pPr>
  </w:style>
  <w:style w:type="paragraph" w:styleId="Liste-forts4">
    <w:name w:val="List Continue 4"/>
    <w:basedOn w:val="Normal"/>
    <w:uiPriority w:val="99"/>
    <w:semiHidden/>
    <w:rsid w:val="00B73C9B"/>
    <w:pPr>
      <w:spacing w:after="120"/>
      <w:ind w:left="1132"/>
      <w:contextualSpacing/>
    </w:pPr>
  </w:style>
  <w:style w:type="paragraph" w:styleId="Liste-forts5">
    <w:name w:val="List Continue 5"/>
    <w:basedOn w:val="Normal"/>
    <w:uiPriority w:val="99"/>
    <w:semiHidden/>
    <w:rsid w:val="00B73C9B"/>
    <w:pPr>
      <w:spacing w:after="120"/>
      <w:ind w:left="1415"/>
      <w:contextualSpacing/>
    </w:pPr>
  </w:style>
  <w:style w:type="paragraph" w:styleId="Liste2">
    <w:name w:val="List 2"/>
    <w:basedOn w:val="Normal"/>
    <w:uiPriority w:val="99"/>
    <w:semiHidden/>
    <w:rsid w:val="00B73C9B"/>
    <w:pPr>
      <w:ind w:left="566" w:hanging="283"/>
      <w:contextualSpacing/>
    </w:pPr>
  </w:style>
  <w:style w:type="paragraph" w:styleId="Liste3">
    <w:name w:val="List 3"/>
    <w:basedOn w:val="Normal"/>
    <w:uiPriority w:val="99"/>
    <w:semiHidden/>
    <w:rsid w:val="00B73C9B"/>
    <w:pPr>
      <w:ind w:left="849" w:hanging="283"/>
      <w:contextualSpacing/>
    </w:pPr>
  </w:style>
  <w:style w:type="paragraph" w:styleId="Liste4">
    <w:name w:val="List 4"/>
    <w:basedOn w:val="Normal"/>
    <w:uiPriority w:val="99"/>
    <w:semiHidden/>
    <w:rsid w:val="00B73C9B"/>
    <w:pPr>
      <w:ind w:left="1132" w:hanging="283"/>
      <w:contextualSpacing/>
    </w:pPr>
  </w:style>
  <w:style w:type="paragraph" w:styleId="Liste5">
    <w:name w:val="List 5"/>
    <w:basedOn w:val="Normal"/>
    <w:uiPriority w:val="99"/>
    <w:semiHidden/>
    <w:rsid w:val="00B73C9B"/>
    <w:pPr>
      <w:ind w:left="1415" w:hanging="283"/>
      <w:contextualSpacing/>
    </w:pPr>
  </w:style>
  <w:style w:type="paragraph" w:styleId="Listeavsnitt">
    <w:name w:val="List Paragraph"/>
    <w:basedOn w:val="Normal"/>
    <w:uiPriority w:val="34"/>
    <w:qFormat/>
    <w:rsid w:val="00B73C9B"/>
    <w:pPr>
      <w:ind w:left="720"/>
      <w:contextualSpacing/>
    </w:pPr>
  </w:style>
  <w:style w:type="table" w:styleId="Listetabell1lys">
    <w:name w:val="List Table 1 Light"/>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l1lysuthevingsfarge2">
    <w:name w:val="List Table 1 Light Accent 2"/>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FF7C9C" w:themeColor="accent2" w:themeTint="99"/>
        </w:tcBorders>
      </w:tcPr>
    </w:tblStylePr>
    <w:tblStylePr w:type="lastRow">
      <w:rPr>
        <w:b/>
        <w:bCs/>
      </w:rPr>
      <w:tblPr/>
      <w:tcPr>
        <w:tcBorders>
          <w:top w:val="single" w:sz="4" w:space="0" w:color="FF7C9C" w:themeColor="accent2" w:themeTint="99"/>
        </w:tcBorders>
      </w:tc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Listetabell1lysuthevingsfarge3">
    <w:name w:val="List Table 1 Light Accent 3"/>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89DDFF" w:themeColor="accent5" w:themeTint="99"/>
        </w:tcBorders>
      </w:tcPr>
    </w:tblStylePr>
    <w:tblStylePr w:type="lastRow">
      <w:rPr>
        <w:b/>
        <w:bCs/>
      </w:rPr>
      <w:tblPr/>
      <w:tcPr>
        <w:tcBorders>
          <w:top w:val="single" w:sz="4" w:space="0" w:color="89DDFF" w:themeColor="accent5" w:themeTint="99"/>
        </w:tcBorders>
      </w:tc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Listetabell1lysuthevingsfarge6">
    <w:name w:val="List Table 1 Light Accent 6"/>
    <w:basedOn w:val="Vanligtabell"/>
    <w:uiPriority w:val="46"/>
    <w:rsid w:val="00B73C9B"/>
    <w:pPr>
      <w:spacing w:after="0" w:line="240" w:lineRule="auto"/>
    </w:pPr>
    <w:tblPr>
      <w:tblStyleRowBandSize w:val="1"/>
      <w:tblStyleColBandSize w:val="1"/>
    </w:tblPr>
    <w:tblStylePr w:type="firstRow">
      <w:rPr>
        <w:b/>
        <w:bCs/>
      </w:rPr>
      <w:tblPr/>
      <w:tcPr>
        <w:tcBorders>
          <w:bottom w:val="single" w:sz="4" w:space="0" w:color="96E7DF" w:themeColor="accent6" w:themeTint="99"/>
        </w:tcBorders>
      </w:tcPr>
    </w:tblStylePr>
    <w:tblStylePr w:type="lastRow">
      <w:rPr>
        <w:b/>
        <w:bCs/>
      </w:rPr>
      <w:tblPr/>
      <w:tcPr>
        <w:tcBorders>
          <w:top w:val="single" w:sz="4" w:space="0" w:color="96E7DF" w:themeColor="accent6" w:themeTint="99"/>
        </w:tcBorders>
      </w:tc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Listetabell2">
    <w:name w:val="List Table 2"/>
    <w:basedOn w:val="Vanligtabell"/>
    <w:uiPriority w:val="47"/>
    <w:rsid w:val="00B73C9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B73C9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l2uthevingsfarge2">
    <w:name w:val="List Table 2 Accent 2"/>
    <w:basedOn w:val="Vanligtabell"/>
    <w:uiPriority w:val="47"/>
    <w:rsid w:val="00B73C9B"/>
    <w:pPr>
      <w:spacing w:after="0" w:line="240" w:lineRule="auto"/>
    </w:pPr>
    <w:tblPr>
      <w:tblStyleRowBandSize w:val="1"/>
      <w:tblStyleColBandSize w:val="1"/>
      <w:tblBorders>
        <w:top w:val="single" w:sz="4" w:space="0" w:color="FF7C9C" w:themeColor="accent2" w:themeTint="99"/>
        <w:bottom w:val="single" w:sz="4" w:space="0" w:color="FF7C9C" w:themeColor="accent2" w:themeTint="99"/>
        <w:insideH w:val="single" w:sz="4" w:space="0" w:color="FF7C9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Listetabell2uthevingsfarge3">
    <w:name w:val="List Table 2 Accent 3"/>
    <w:basedOn w:val="Vanligtabell"/>
    <w:uiPriority w:val="47"/>
    <w:rsid w:val="00B73C9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B73C9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B73C9B"/>
    <w:pPr>
      <w:spacing w:after="0" w:line="240" w:lineRule="auto"/>
    </w:pPr>
    <w:tblPr>
      <w:tblStyleRowBandSize w:val="1"/>
      <w:tblStyleColBandSize w:val="1"/>
      <w:tblBorders>
        <w:top w:val="single" w:sz="4" w:space="0" w:color="89DDFF" w:themeColor="accent5" w:themeTint="99"/>
        <w:bottom w:val="single" w:sz="4" w:space="0" w:color="89DDFF" w:themeColor="accent5" w:themeTint="99"/>
        <w:insideH w:val="single" w:sz="4" w:space="0" w:color="89DD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Listetabell2uthevingsfarge6">
    <w:name w:val="List Table 2 Accent 6"/>
    <w:basedOn w:val="Vanligtabell"/>
    <w:uiPriority w:val="47"/>
    <w:rsid w:val="00B73C9B"/>
    <w:pPr>
      <w:spacing w:after="0" w:line="240" w:lineRule="auto"/>
    </w:pPr>
    <w:tblPr>
      <w:tblStyleRowBandSize w:val="1"/>
      <w:tblStyleColBandSize w:val="1"/>
      <w:tblBorders>
        <w:top w:val="single" w:sz="4" w:space="0" w:color="96E7DF" w:themeColor="accent6" w:themeTint="99"/>
        <w:bottom w:val="single" w:sz="4" w:space="0" w:color="96E7DF" w:themeColor="accent6" w:themeTint="99"/>
        <w:insideH w:val="single" w:sz="4" w:space="0" w:color="96E7D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Listetabell3">
    <w:name w:val="List Table 3"/>
    <w:basedOn w:val="Vanligtabell"/>
    <w:uiPriority w:val="48"/>
    <w:rsid w:val="00B73C9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B73C9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ell3uthevingsfarge2">
    <w:name w:val="List Table 3 Accent 2"/>
    <w:basedOn w:val="Vanligtabell"/>
    <w:uiPriority w:val="48"/>
    <w:rsid w:val="00B73C9B"/>
    <w:pPr>
      <w:spacing w:after="0" w:line="240" w:lineRule="auto"/>
    </w:pPr>
    <w:tblPr>
      <w:tblStyleRowBandSize w:val="1"/>
      <w:tblStyleColBandSize w:val="1"/>
      <w:tblBorders>
        <w:top w:val="single" w:sz="4" w:space="0" w:color="FF265B" w:themeColor="accent2"/>
        <w:left w:val="single" w:sz="4" w:space="0" w:color="FF265B" w:themeColor="accent2"/>
        <w:bottom w:val="single" w:sz="4" w:space="0" w:color="FF265B" w:themeColor="accent2"/>
        <w:right w:val="single" w:sz="4" w:space="0" w:color="FF265B" w:themeColor="accent2"/>
      </w:tblBorders>
    </w:tblPr>
    <w:tblStylePr w:type="firstRow">
      <w:rPr>
        <w:b/>
        <w:bCs/>
        <w:color w:val="FFFFFF" w:themeColor="background1"/>
      </w:rPr>
      <w:tblPr/>
      <w:tcPr>
        <w:shd w:val="clear" w:color="auto" w:fill="FF265B" w:themeFill="accent2"/>
      </w:tcPr>
    </w:tblStylePr>
    <w:tblStylePr w:type="lastRow">
      <w:rPr>
        <w:b/>
        <w:bCs/>
      </w:rPr>
      <w:tblPr/>
      <w:tcPr>
        <w:tcBorders>
          <w:top w:val="double" w:sz="4" w:space="0" w:color="FF265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65B" w:themeColor="accent2"/>
          <w:right w:val="single" w:sz="4" w:space="0" w:color="FF265B" w:themeColor="accent2"/>
        </w:tcBorders>
      </w:tcPr>
    </w:tblStylePr>
    <w:tblStylePr w:type="band1Horz">
      <w:tblPr/>
      <w:tcPr>
        <w:tcBorders>
          <w:top w:val="single" w:sz="4" w:space="0" w:color="FF265B" w:themeColor="accent2"/>
          <w:bottom w:val="single" w:sz="4" w:space="0" w:color="FF265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65B" w:themeColor="accent2"/>
          <w:left w:val="nil"/>
        </w:tcBorders>
      </w:tcPr>
    </w:tblStylePr>
    <w:tblStylePr w:type="swCell">
      <w:tblPr/>
      <w:tcPr>
        <w:tcBorders>
          <w:top w:val="double" w:sz="4" w:space="0" w:color="FF265B" w:themeColor="accent2"/>
          <w:right w:val="nil"/>
        </w:tcBorders>
      </w:tcPr>
    </w:tblStylePr>
  </w:style>
  <w:style w:type="table" w:styleId="Listetabell3uthevingsfarge3">
    <w:name w:val="List Table 3 Accent 3"/>
    <w:basedOn w:val="Vanligtabell"/>
    <w:uiPriority w:val="48"/>
    <w:rsid w:val="00B73C9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B73C9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B73C9B"/>
    <w:pPr>
      <w:spacing w:after="0" w:line="240" w:lineRule="auto"/>
    </w:pPr>
    <w:tblPr>
      <w:tblStyleRowBandSize w:val="1"/>
      <w:tblStyleColBandSize w:val="1"/>
      <w:tblBorders>
        <w:top w:val="single" w:sz="4" w:space="0" w:color="3BC7FF" w:themeColor="accent5"/>
        <w:left w:val="single" w:sz="4" w:space="0" w:color="3BC7FF" w:themeColor="accent5"/>
        <w:bottom w:val="single" w:sz="4" w:space="0" w:color="3BC7FF" w:themeColor="accent5"/>
        <w:right w:val="single" w:sz="4" w:space="0" w:color="3BC7FF" w:themeColor="accent5"/>
      </w:tblBorders>
    </w:tblPr>
    <w:tblStylePr w:type="firstRow">
      <w:rPr>
        <w:b/>
        <w:bCs/>
        <w:color w:val="FFFFFF" w:themeColor="background1"/>
      </w:rPr>
      <w:tblPr/>
      <w:tcPr>
        <w:shd w:val="clear" w:color="auto" w:fill="3BC7FF" w:themeFill="accent5"/>
      </w:tcPr>
    </w:tblStylePr>
    <w:tblStylePr w:type="lastRow">
      <w:rPr>
        <w:b/>
        <w:bCs/>
      </w:rPr>
      <w:tblPr/>
      <w:tcPr>
        <w:tcBorders>
          <w:top w:val="double" w:sz="4" w:space="0" w:color="3BC7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C7FF" w:themeColor="accent5"/>
          <w:right w:val="single" w:sz="4" w:space="0" w:color="3BC7FF" w:themeColor="accent5"/>
        </w:tcBorders>
      </w:tcPr>
    </w:tblStylePr>
    <w:tblStylePr w:type="band1Horz">
      <w:tblPr/>
      <w:tcPr>
        <w:tcBorders>
          <w:top w:val="single" w:sz="4" w:space="0" w:color="3BC7FF" w:themeColor="accent5"/>
          <w:bottom w:val="single" w:sz="4" w:space="0" w:color="3BC7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C7FF" w:themeColor="accent5"/>
          <w:left w:val="nil"/>
        </w:tcBorders>
      </w:tcPr>
    </w:tblStylePr>
    <w:tblStylePr w:type="swCell">
      <w:tblPr/>
      <w:tcPr>
        <w:tcBorders>
          <w:top w:val="double" w:sz="4" w:space="0" w:color="3BC7FF" w:themeColor="accent5"/>
          <w:right w:val="nil"/>
        </w:tcBorders>
      </w:tcPr>
    </w:tblStylePr>
  </w:style>
  <w:style w:type="table" w:styleId="Listetabell3uthevingsfarge6">
    <w:name w:val="List Table 3 Accent 6"/>
    <w:basedOn w:val="Vanligtabell"/>
    <w:uiPriority w:val="48"/>
    <w:rsid w:val="00B73C9B"/>
    <w:pPr>
      <w:spacing w:after="0" w:line="240" w:lineRule="auto"/>
    </w:pPr>
    <w:tblPr>
      <w:tblStyleRowBandSize w:val="1"/>
      <w:tblStyleColBandSize w:val="1"/>
      <w:tblBorders>
        <w:top w:val="single" w:sz="4" w:space="0" w:color="51D8CA" w:themeColor="accent6"/>
        <w:left w:val="single" w:sz="4" w:space="0" w:color="51D8CA" w:themeColor="accent6"/>
        <w:bottom w:val="single" w:sz="4" w:space="0" w:color="51D8CA" w:themeColor="accent6"/>
        <w:right w:val="single" w:sz="4" w:space="0" w:color="51D8CA" w:themeColor="accent6"/>
      </w:tblBorders>
    </w:tblPr>
    <w:tblStylePr w:type="firstRow">
      <w:rPr>
        <w:b/>
        <w:bCs/>
        <w:color w:val="FFFFFF" w:themeColor="background1"/>
      </w:rPr>
      <w:tblPr/>
      <w:tcPr>
        <w:shd w:val="clear" w:color="auto" w:fill="51D8CA" w:themeFill="accent6"/>
      </w:tcPr>
    </w:tblStylePr>
    <w:tblStylePr w:type="lastRow">
      <w:rPr>
        <w:b/>
        <w:bCs/>
      </w:rPr>
      <w:tblPr/>
      <w:tcPr>
        <w:tcBorders>
          <w:top w:val="double" w:sz="4" w:space="0" w:color="51D8C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D8CA" w:themeColor="accent6"/>
          <w:right w:val="single" w:sz="4" w:space="0" w:color="51D8CA" w:themeColor="accent6"/>
        </w:tcBorders>
      </w:tcPr>
    </w:tblStylePr>
    <w:tblStylePr w:type="band1Horz">
      <w:tblPr/>
      <w:tcPr>
        <w:tcBorders>
          <w:top w:val="single" w:sz="4" w:space="0" w:color="51D8CA" w:themeColor="accent6"/>
          <w:bottom w:val="single" w:sz="4" w:space="0" w:color="51D8C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D8CA" w:themeColor="accent6"/>
          <w:left w:val="nil"/>
        </w:tcBorders>
      </w:tcPr>
    </w:tblStylePr>
    <w:tblStylePr w:type="swCell">
      <w:tblPr/>
      <w:tcPr>
        <w:tcBorders>
          <w:top w:val="double" w:sz="4" w:space="0" w:color="51D8CA" w:themeColor="accent6"/>
          <w:right w:val="nil"/>
        </w:tcBorders>
      </w:tcPr>
    </w:tblStylePr>
  </w:style>
  <w:style w:type="table" w:styleId="Listetabell4">
    <w:name w:val="List Table 4"/>
    <w:basedOn w:val="Vanligtabell"/>
    <w:uiPriority w:val="49"/>
    <w:rsid w:val="00B73C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B73C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l4uthevingsfarge2">
    <w:name w:val="List Table 4 Accent 2"/>
    <w:basedOn w:val="Vanligtabell"/>
    <w:uiPriority w:val="49"/>
    <w:rsid w:val="00B73C9B"/>
    <w:pPr>
      <w:spacing w:after="0" w:line="240" w:lineRule="auto"/>
    </w:pPr>
    <w:tblPr>
      <w:tblStyleRowBandSize w:val="1"/>
      <w:tblStyleColBandSize w:val="1"/>
      <w:tblBorders>
        <w:top w:val="single" w:sz="4" w:space="0" w:color="FF7C9C" w:themeColor="accent2" w:themeTint="99"/>
        <w:left w:val="single" w:sz="4" w:space="0" w:color="FF7C9C" w:themeColor="accent2" w:themeTint="99"/>
        <w:bottom w:val="single" w:sz="4" w:space="0" w:color="FF7C9C" w:themeColor="accent2" w:themeTint="99"/>
        <w:right w:val="single" w:sz="4" w:space="0" w:color="FF7C9C" w:themeColor="accent2" w:themeTint="99"/>
        <w:insideH w:val="single" w:sz="4" w:space="0" w:color="FF7C9C" w:themeColor="accent2" w:themeTint="99"/>
      </w:tblBorders>
    </w:tblPr>
    <w:tblStylePr w:type="firstRow">
      <w:rPr>
        <w:b/>
        <w:bCs/>
        <w:color w:val="FFFFFF" w:themeColor="background1"/>
      </w:rPr>
      <w:tblPr/>
      <w:tcPr>
        <w:tcBorders>
          <w:top w:val="single" w:sz="4" w:space="0" w:color="FF265B" w:themeColor="accent2"/>
          <w:left w:val="single" w:sz="4" w:space="0" w:color="FF265B" w:themeColor="accent2"/>
          <w:bottom w:val="single" w:sz="4" w:space="0" w:color="FF265B" w:themeColor="accent2"/>
          <w:right w:val="single" w:sz="4" w:space="0" w:color="FF265B" w:themeColor="accent2"/>
          <w:insideH w:val="nil"/>
        </w:tcBorders>
        <w:shd w:val="clear" w:color="auto" w:fill="FF265B" w:themeFill="accent2"/>
      </w:tcPr>
    </w:tblStylePr>
    <w:tblStylePr w:type="lastRow">
      <w:rPr>
        <w:b/>
        <w:bCs/>
      </w:rPr>
      <w:tblPr/>
      <w:tcPr>
        <w:tcBorders>
          <w:top w:val="double" w:sz="4" w:space="0" w:color="FF7C9C" w:themeColor="accent2" w:themeTint="99"/>
        </w:tcBorders>
      </w:tc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Listetabell4uthevingsfarge3">
    <w:name w:val="List Table 4 Accent 3"/>
    <w:basedOn w:val="Vanligtabell"/>
    <w:uiPriority w:val="49"/>
    <w:rsid w:val="00B73C9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B73C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B73C9B"/>
    <w:pPr>
      <w:spacing w:after="0" w:line="240" w:lineRule="auto"/>
    </w:pPr>
    <w:tblPr>
      <w:tblStyleRowBandSize w:val="1"/>
      <w:tblStyleColBandSize w:val="1"/>
      <w:tblBorders>
        <w:top w:val="single" w:sz="4" w:space="0" w:color="89DDFF" w:themeColor="accent5" w:themeTint="99"/>
        <w:left w:val="single" w:sz="4" w:space="0" w:color="89DDFF" w:themeColor="accent5" w:themeTint="99"/>
        <w:bottom w:val="single" w:sz="4" w:space="0" w:color="89DDFF" w:themeColor="accent5" w:themeTint="99"/>
        <w:right w:val="single" w:sz="4" w:space="0" w:color="89DDFF" w:themeColor="accent5" w:themeTint="99"/>
        <w:insideH w:val="single" w:sz="4" w:space="0" w:color="89DDFF" w:themeColor="accent5" w:themeTint="99"/>
      </w:tblBorders>
    </w:tblPr>
    <w:tblStylePr w:type="firstRow">
      <w:rPr>
        <w:b/>
        <w:bCs/>
        <w:color w:val="FFFFFF" w:themeColor="background1"/>
      </w:rPr>
      <w:tblPr/>
      <w:tcPr>
        <w:tcBorders>
          <w:top w:val="single" w:sz="4" w:space="0" w:color="3BC7FF" w:themeColor="accent5"/>
          <w:left w:val="single" w:sz="4" w:space="0" w:color="3BC7FF" w:themeColor="accent5"/>
          <w:bottom w:val="single" w:sz="4" w:space="0" w:color="3BC7FF" w:themeColor="accent5"/>
          <w:right w:val="single" w:sz="4" w:space="0" w:color="3BC7FF" w:themeColor="accent5"/>
          <w:insideH w:val="nil"/>
        </w:tcBorders>
        <w:shd w:val="clear" w:color="auto" w:fill="3BC7FF" w:themeFill="accent5"/>
      </w:tcPr>
    </w:tblStylePr>
    <w:tblStylePr w:type="lastRow">
      <w:rPr>
        <w:b/>
        <w:bCs/>
      </w:rPr>
      <w:tblPr/>
      <w:tcPr>
        <w:tcBorders>
          <w:top w:val="double" w:sz="4" w:space="0" w:color="89DDFF" w:themeColor="accent5" w:themeTint="99"/>
        </w:tcBorders>
      </w:tc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Listetabell4uthevingsfarge6">
    <w:name w:val="List Table 4 Accent 6"/>
    <w:basedOn w:val="Vanligtabell"/>
    <w:uiPriority w:val="49"/>
    <w:rsid w:val="00B73C9B"/>
    <w:pPr>
      <w:spacing w:after="0" w:line="240" w:lineRule="auto"/>
    </w:pPr>
    <w:tblPr>
      <w:tblStyleRowBandSize w:val="1"/>
      <w:tblStyleColBandSize w:val="1"/>
      <w:tblBorders>
        <w:top w:val="single" w:sz="4" w:space="0" w:color="96E7DF" w:themeColor="accent6" w:themeTint="99"/>
        <w:left w:val="single" w:sz="4" w:space="0" w:color="96E7DF" w:themeColor="accent6" w:themeTint="99"/>
        <w:bottom w:val="single" w:sz="4" w:space="0" w:color="96E7DF" w:themeColor="accent6" w:themeTint="99"/>
        <w:right w:val="single" w:sz="4" w:space="0" w:color="96E7DF" w:themeColor="accent6" w:themeTint="99"/>
        <w:insideH w:val="single" w:sz="4" w:space="0" w:color="96E7DF" w:themeColor="accent6" w:themeTint="99"/>
      </w:tblBorders>
    </w:tblPr>
    <w:tblStylePr w:type="firstRow">
      <w:rPr>
        <w:b/>
        <w:bCs/>
        <w:color w:val="FFFFFF" w:themeColor="background1"/>
      </w:rPr>
      <w:tblPr/>
      <w:tcPr>
        <w:tcBorders>
          <w:top w:val="single" w:sz="4" w:space="0" w:color="51D8CA" w:themeColor="accent6"/>
          <w:left w:val="single" w:sz="4" w:space="0" w:color="51D8CA" w:themeColor="accent6"/>
          <w:bottom w:val="single" w:sz="4" w:space="0" w:color="51D8CA" w:themeColor="accent6"/>
          <w:right w:val="single" w:sz="4" w:space="0" w:color="51D8CA" w:themeColor="accent6"/>
          <w:insideH w:val="nil"/>
        </w:tcBorders>
        <w:shd w:val="clear" w:color="auto" w:fill="51D8CA" w:themeFill="accent6"/>
      </w:tcPr>
    </w:tblStylePr>
    <w:tblStylePr w:type="lastRow">
      <w:rPr>
        <w:b/>
        <w:bCs/>
      </w:rPr>
      <w:tblPr/>
      <w:tcPr>
        <w:tcBorders>
          <w:top w:val="double" w:sz="4" w:space="0" w:color="96E7DF" w:themeColor="accent6" w:themeTint="99"/>
        </w:tcBorders>
      </w:tc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Listetabell5mrk">
    <w:name w:val="List Table 5 Dark"/>
    <w:basedOn w:val="Vanligtabell"/>
    <w:uiPriority w:val="50"/>
    <w:rsid w:val="00B73C9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B73C9B"/>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B73C9B"/>
    <w:pPr>
      <w:spacing w:after="0" w:line="240" w:lineRule="auto"/>
    </w:pPr>
    <w:rPr>
      <w:color w:val="FFFFFF" w:themeColor="background1"/>
    </w:rPr>
    <w:tblPr>
      <w:tblStyleRowBandSize w:val="1"/>
      <w:tblStyleColBandSize w:val="1"/>
      <w:tblBorders>
        <w:top w:val="single" w:sz="24" w:space="0" w:color="FF265B" w:themeColor="accent2"/>
        <w:left w:val="single" w:sz="24" w:space="0" w:color="FF265B" w:themeColor="accent2"/>
        <w:bottom w:val="single" w:sz="24" w:space="0" w:color="FF265B" w:themeColor="accent2"/>
        <w:right w:val="single" w:sz="24" w:space="0" w:color="FF265B" w:themeColor="accent2"/>
      </w:tblBorders>
    </w:tblPr>
    <w:tcPr>
      <w:shd w:val="clear" w:color="auto" w:fill="FF265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B73C9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B73C9B"/>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B73C9B"/>
    <w:pPr>
      <w:spacing w:after="0" w:line="240" w:lineRule="auto"/>
    </w:pPr>
    <w:rPr>
      <w:color w:val="FFFFFF" w:themeColor="background1"/>
    </w:rPr>
    <w:tblPr>
      <w:tblStyleRowBandSize w:val="1"/>
      <w:tblStyleColBandSize w:val="1"/>
      <w:tblBorders>
        <w:top w:val="single" w:sz="24" w:space="0" w:color="3BC7FF" w:themeColor="accent5"/>
        <w:left w:val="single" w:sz="24" w:space="0" w:color="3BC7FF" w:themeColor="accent5"/>
        <w:bottom w:val="single" w:sz="24" w:space="0" w:color="3BC7FF" w:themeColor="accent5"/>
        <w:right w:val="single" w:sz="24" w:space="0" w:color="3BC7FF" w:themeColor="accent5"/>
      </w:tblBorders>
    </w:tblPr>
    <w:tcPr>
      <w:shd w:val="clear" w:color="auto" w:fill="3BC7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B73C9B"/>
    <w:pPr>
      <w:spacing w:after="0" w:line="240" w:lineRule="auto"/>
    </w:pPr>
    <w:rPr>
      <w:color w:val="FFFFFF" w:themeColor="background1"/>
    </w:rPr>
    <w:tblPr>
      <w:tblStyleRowBandSize w:val="1"/>
      <w:tblStyleColBandSize w:val="1"/>
      <w:tblBorders>
        <w:top w:val="single" w:sz="24" w:space="0" w:color="51D8CA" w:themeColor="accent6"/>
        <w:left w:val="single" w:sz="24" w:space="0" w:color="51D8CA" w:themeColor="accent6"/>
        <w:bottom w:val="single" w:sz="24" w:space="0" w:color="51D8CA" w:themeColor="accent6"/>
        <w:right w:val="single" w:sz="24" w:space="0" w:color="51D8CA" w:themeColor="accent6"/>
      </w:tblBorders>
    </w:tblPr>
    <w:tcPr>
      <w:shd w:val="clear" w:color="auto" w:fill="51D8C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B73C9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B73C9B"/>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l6fargerikuthevingsfarge2">
    <w:name w:val="List Table 6 Colorful Accent 2"/>
    <w:basedOn w:val="Vanligtabell"/>
    <w:uiPriority w:val="51"/>
    <w:rsid w:val="00B73C9B"/>
    <w:pPr>
      <w:spacing w:after="0" w:line="240" w:lineRule="auto"/>
    </w:pPr>
    <w:rPr>
      <w:color w:val="DB0035" w:themeColor="accent2" w:themeShade="BF"/>
    </w:rPr>
    <w:tblPr>
      <w:tblStyleRowBandSize w:val="1"/>
      <w:tblStyleColBandSize w:val="1"/>
      <w:tblBorders>
        <w:top w:val="single" w:sz="4" w:space="0" w:color="FF265B" w:themeColor="accent2"/>
        <w:bottom w:val="single" w:sz="4" w:space="0" w:color="FF265B" w:themeColor="accent2"/>
      </w:tblBorders>
    </w:tblPr>
    <w:tblStylePr w:type="firstRow">
      <w:rPr>
        <w:b/>
        <w:bCs/>
      </w:rPr>
      <w:tblPr/>
      <w:tcPr>
        <w:tcBorders>
          <w:bottom w:val="single" w:sz="4" w:space="0" w:color="FF265B" w:themeColor="accent2"/>
        </w:tcBorders>
      </w:tcPr>
    </w:tblStylePr>
    <w:tblStylePr w:type="lastRow">
      <w:rPr>
        <w:b/>
        <w:bCs/>
      </w:rPr>
      <w:tblPr/>
      <w:tcPr>
        <w:tcBorders>
          <w:top w:val="double" w:sz="4" w:space="0" w:color="FF265B" w:themeColor="accent2"/>
        </w:tcBorders>
      </w:tc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Listetabell6fargerikuthevingsfarge3">
    <w:name w:val="List Table 6 Colorful Accent 3"/>
    <w:basedOn w:val="Vanligtabell"/>
    <w:uiPriority w:val="51"/>
    <w:rsid w:val="00B73C9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B73C9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B73C9B"/>
    <w:pPr>
      <w:spacing w:after="0" w:line="240" w:lineRule="auto"/>
    </w:pPr>
    <w:rPr>
      <w:color w:val="00A7EB" w:themeColor="accent5" w:themeShade="BF"/>
    </w:rPr>
    <w:tblPr>
      <w:tblStyleRowBandSize w:val="1"/>
      <w:tblStyleColBandSize w:val="1"/>
      <w:tblBorders>
        <w:top w:val="single" w:sz="4" w:space="0" w:color="3BC7FF" w:themeColor="accent5"/>
        <w:bottom w:val="single" w:sz="4" w:space="0" w:color="3BC7FF" w:themeColor="accent5"/>
      </w:tblBorders>
    </w:tblPr>
    <w:tblStylePr w:type="firstRow">
      <w:rPr>
        <w:b/>
        <w:bCs/>
      </w:rPr>
      <w:tblPr/>
      <w:tcPr>
        <w:tcBorders>
          <w:bottom w:val="single" w:sz="4" w:space="0" w:color="3BC7FF" w:themeColor="accent5"/>
        </w:tcBorders>
      </w:tcPr>
    </w:tblStylePr>
    <w:tblStylePr w:type="lastRow">
      <w:rPr>
        <w:b/>
        <w:bCs/>
      </w:rPr>
      <w:tblPr/>
      <w:tcPr>
        <w:tcBorders>
          <w:top w:val="double" w:sz="4" w:space="0" w:color="3BC7FF" w:themeColor="accent5"/>
        </w:tcBorders>
      </w:tc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Listetabell6fargerikuthevingsfarge6">
    <w:name w:val="List Table 6 Colorful Accent 6"/>
    <w:basedOn w:val="Vanligtabell"/>
    <w:uiPriority w:val="51"/>
    <w:rsid w:val="00B73C9B"/>
    <w:pPr>
      <w:spacing w:after="0" w:line="240" w:lineRule="auto"/>
    </w:pPr>
    <w:rPr>
      <w:color w:val="28B5A6" w:themeColor="accent6" w:themeShade="BF"/>
    </w:rPr>
    <w:tblPr>
      <w:tblStyleRowBandSize w:val="1"/>
      <w:tblStyleColBandSize w:val="1"/>
      <w:tblBorders>
        <w:top w:val="single" w:sz="4" w:space="0" w:color="51D8CA" w:themeColor="accent6"/>
        <w:bottom w:val="single" w:sz="4" w:space="0" w:color="51D8CA" w:themeColor="accent6"/>
      </w:tblBorders>
    </w:tblPr>
    <w:tblStylePr w:type="firstRow">
      <w:rPr>
        <w:b/>
        <w:bCs/>
      </w:rPr>
      <w:tblPr/>
      <w:tcPr>
        <w:tcBorders>
          <w:bottom w:val="single" w:sz="4" w:space="0" w:color="51D8CA" w:themeColor="accent6"/>
        </w:tcBorders>
      </w:tcPr>
    </w:tblStylePr>
    <w:tblStylePr w:type="lastRow">
      <w:rPr>
        <w:b/>
        <w:bCs/>
      </w:rPr>
      <w:tblPr/>
      <w:tcPr>
        <w:tcBorders>
          <w:top w:val="double" w:sz="4" w:space="0" w:color="51D8CA" w:themeColor="accent6"/>
        </w:tcBorders>
      </w:tc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Listetabell7fargerik">
    <w:name w:val="List Table 7 Colorful"/>
    <w:basedOn w:val="Vanligtabell"/>
    <w:uiPriority w:val="52"/>
    <w:rsid w:val="00B73C9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B73C9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B73C9B"/>
    <w:pPr>
      <w:spacing w:after="0" w:line="240" w:lineRule="auto"/>
    </w:pPr>
    <w:rPr>
      <w:color w:val="DB003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65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65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65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65B" w:themeColor="accent2"/>
        </w:tcBorders>
        <w:shd w:val="clear" w:color="auto" w:fill="FFFFFF" w:themeFill="background1"/>
      </w:tcPr>
    </w:tblStylePr>
    <w:tblStylePr w:type="band1Vert">
      <w:tblPr/>
      <w:tcPr>
        <w:shd w:val="clear" w:color="auto" w:fill="FFD3DD" w:themeFill="accent2" w:themeFillTint="33"/>
      </w:tcPr>
    </w:tblStylePr>
    <w:tblStylePr w:type="band1Horz">
      <w:tblPr/>
      <w:tcPr>
        <w:shd w:val="clear" w:color="auto" w:fill="FFD3D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B73C9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B73C9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B73C9B"/>
    <w:pPr>
      <w:spacing w:after="0" w:line="240" w:lineRule="auto"/>
    </w:pPr>
    <w:rPr>
      <w:color w:val="00A7E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C7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C7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C7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C7FF" w:themeColor="accent5"/>
        </w:tcBorders>
        <w:shd w:val="clear" w:color="auto" w:fill="FFFFFF" w:themeFill="background1"/>
      </w:tcPr>
    </w:tblStylePr>
    <w:tblStylePr w:type="band1Vert">
      <w:tblPr/>
      <w:tcPr>
        <w:shd w:val="clear" w:color="auto" w:fill="D7F3FF" w:themeFill="accent5" w:themeFillTint="33"/>
      </w:tcPr>
    </w:tblStylePr>
    <w:tblStylePr w:type="band1Horz">
      <w:tblPr/>
      <w:tcPr>
        <w:shd w:val="clear" w:color="auto" w:fill="D7F3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B73C9B"/>
    <w:pPr>
      <w:spacing w:after="0" w:line="240" w:lineRule="auto"/>
    </w:pPr>
    <w:rPr>
      <w:color w:val="28B5A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D8C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D8C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D8C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D8CA" w:themeColor="accent6"/>
        </w:tcBorders>
        <w:shd w:val="clear" w:color="auto" w:fill="FFFFFF" w:themeFill="background1"/>
      </w:tcPr>
    </w:tblStylePr>
    <w:tblStylePr w:type="band1Vert">
      <w:tblPr/>
      <w:tcPr>
        <w:shd w:val="clear" w:color="auto" w:fill="DCF7F4" w:themeFill="accent6" w:themeFillTint="33"/>
      </w:tcPr>
    </w:tblStylePr>
    <w:tblStylePr w:type="band1Horz">
      <w:tblPr/>
      <w:tcPr>
        <w:shd w:val="clear" w:color="auto" w:fill="DCF7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B73C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B73C9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yslisteuthevingsfarge2">
    <w:name w:val="Light List Accent 2"/>
    <w:basedOn w:val="Vanligtabell"/>
    <w:uiPriority w:val="61"/>
    <w:semiHidden/>
    <w:unhideWhenUsed/>
    <w:rsid w:val="00B73C9B"/>
    <w:pPr>
      <w:spacing w:after="0" w:line="240" w:lineRule="auto"/>
    </w:pPr>
    <w:tblPr>
      <w:tblStyleRowBandSize w:val="1"/>
      <w:tblStyleColBandSize w:val="1"/>
      <w:tblBorders>
        <w:top w:val="single" w:sz="8" w:space="0" w:color="FF265B" w:themeColor="accent2"/>
        <w:left w:val="single" w:sz="8" w:space="0" w:color="FF265B" w:themeColor="accent2"/>
        <w:bottom w:val="single" w:sz="8" w:space="0" w:color="FF265B" w:themeColor="accent2"/>
        <w:right w:val="single" w:sz="8" w:space="0" w:color="FF265B" w:themeColor="accent2"/>
      </w:tblBorders>
    </w:tblPr>
    <w:tblStylePr w:type="firstRow">
      <w:pPr>
        <w:spacing w:before="0" w:after="0" w:line="240" w:lineRule="auto"/>
      </w:pPr>
      <w:rPr>
        <w:b/>
        <w:bCs/>
        <w:color w:val="FFFFFF" w:themeColor="background1"/>
      </w:rPr>
      <w:tblPr/>
      <w:tcPr>
        <w:shd w:val="clear" w:color="auto" w:fill="FF265B" w:themeFill="accent2"/>
      </w:tcPr>
    </w:tblStylePr>
    <w:tblStylePr w:type="lastRow">
      <w:pPr>
        <w:spacing w:before="0" w:after="0" w:line="240" w:lineRule="auto"/>
      </w:pPr>
      <w:rPr>
        <w:b/>
        <w:bCs/>
      </w:rPr>
      <w:tblPr/>
      <w:tcPr>
        <w:tcBorders>
          <w:top w:val="double" w:sz="6" w:space="0" w:color="FF265B" w:themeColor="accent2"/>
          <w:left w:val="single" w:sz="8" w:space="0" w:color="FF265B" w:themeColor="accent2"/>
          <w:bottom w:val="single" w:sz="8" w:space="0" w:color="FF265B" w:themeColor="accent2"/>
          <w:right w:val="single" w:sz="8" w:space="0" w:color="FF265B" w:themeColor="accent2"/>
        </w:tcBorders>
      </w:tcPr>
    </w:tblStylePr>
    <w:tblStylePr w:type="firstCol">
      <w:rPr>
        <w:b/>
        <w:bCs/>
      </w:rPr>
    </w:tblStylePr>
    <w:tblStylePr w:type="lastCol">
      <w:rPr>
        <w:b/>
        <w:bCs/>
      </w:rPr>
    </w:tblStylePr>
    <w:tblStylePr w:type="band1Vert">
      <w:tblPr/>
      <w:tcPr>
        <w:tcBorders>
          <w:top w:val="single" w:sz="8" w:space="0" w:color="FF265B" w:themeColor="accent2"/>
          <w:left w:val="single" w:sz="8" w:space="0" w:color="FF265B" w:themeColor="accent2"/>
          <w:bottom w:val="single" w:sz="8" w:space="0" w:color="FF265B" w:themeColor="accent2"/>
          <w:right w:val="single" w:sz="8" w:space="0" w:color="FF265B" w:themeColor="accent2"/>
        </w:tcBorders>
      </w:tcPr>
    </w:tblStylePr>
    <w:tblStylePr w:type="band1Horz">
      <w:tblPr/>
      <w:tcPr>
        <w:tcBorders>
          <w:top w:val="single" w:sz="8" w:space="0" w:color="FF265B" w:themeColor="accent2"/>
          <w:left w:val="single" w:sz="8" w:space="0" w:color="FF265B" w:themeColor="accent2"/>
          <w:bottom w:val="single" w:sz="8" w:space="0" w:color="FF265B" w:themeColor="accent2"/>
          <w:right w:val="single" w:sz="8" w:space="0" w:color="FF265B" w:themeColor="accent2"/>
        </w:tcBorders>
      </w:tcPr>
    </w:tblStylePr>
  </w:style>
  <w:style w:type="table" w:styleId="Lyslisteuthevingsfarge3">
    <w:name w:val="Light List Accent 3"/>
    <w:basedOn w:val="Vanligtabell"/>
    <w:uiPriority w:val="61"/>
    <w:semiHidden/>
    <w:unhideWhenUsed/>
    <w:rsid w:val="00B73C9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B73C9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B73C9B"/>
    <w:pPr>
      <w:spacing w:after="0" w:line="240" w:lineRule="auto"/>
    </w:pPr>
    <w:tblPr>
      <w:tblStyleRowBandSize w:val="1"/>
      <w:tblStyleColBandSize w:val="1"/>
      <w:tblBorders>
        <w:top w:val="single" w:sz="8" w:space="0" w:color="3BC7FF" w:themeColor="accent5"/>
        <w:left w:val="single" w:sz="8" w:space="0" w:color="3BC7FF" w:themeColor="accent5"/>
        <w:bottom w:val="single" w:sz="8" w:space="0" w:color="3BC7FF" w:themeColor="accent5"/>
        <w:right w:val="single" w:sz="8" w:space="0" w:color="3BC7FF" w:themeColor="accent5"/>
      </w:tblBorders>
    </w:tblPr>
    <w:tblStylePr w:type="firstRow">
      <w:pPr>
        <w:spacing w:before="0" w:after="0" w:line="240" w:lineRule="auto"/>
      </w:pPr>
      <w:rPr>
        <w:b/>
        <w:bCs/>
        <w:color w:val="FFFFFF" w:themeColor="background1"/>
      </w:rPr>
      <w:tblPr/>
      <w:tcPr>
        <w:shd w:val="clear" w:color="auto" w:fill="3BC7FF" w:themeFill="accent5"/>
      </w:tcPr>
    </w:tblStylePr>
    <w:tblStylePr w:type="lastRow">
      <w:pPr>
        <w:spacing w:before="0" w:after="0" w:line="240" w:lineRule="auto"/>
      </w:pPr>
      <w:rPr>
        <w:b/>
        <w:bCs/>
      </w:rPr>
      <w:tblPr/>
      <w:tcPr>
        <w:tcBorders>
          <w:top w:val="double" w:sz="6" w:space="0" w:color="3BC7FF" w:themeColor="accent5"/>
          <w:left w:val="single" w:sz="8" w:space="0" w:color="3BC7FF" w:themeColor="accent5"/>
          <w:bottom w:val="single" w:sz="8" w:space="0" w:color="3BC7FF" w:themeColor="accent5"/>
          <w:right w:val="single" w:sz="8" w:space="0" w:color="3BC7FF" w:themeColor="accent5"/>
        </w:tcBorders>
      </w:tcPr>
    </w:tblStylePr>
    <w:tblStylePr w:type="firstCol">
      <w:rPr>
        <w:b/>
        <w:bCs/>
      </w:rPr>
    </w:tblStylePr>
    <w:tblStylePr w:type="lastCol">
      <w:rPr>
        <w:b/>
        <w:bCs/>
      </w:rPr>
    </w:tblStylePr>
    <w:tblStylePr w:type="band1Vert">
      <w:tblPr/>
      <w:tcPr>
        <w:tcBorders>
          <w:top w:val="single" w:sz="8" w:space="0" w:color="3BC7FF" w:themeColor="accent5"/>
          <w:left w:val="single" w:sz="8" w:space="0" w:color="3BC7FF" w:themeColor="accent5"/>
          <w:bottom w:val="single" w:sz="8" w:space="0" w:color="3BC7FF" w:themeColor="accent5"/>
          <w:right w:val="single" w:sz="8" w:space="0" w:color="3BC7FF" w:themeColor="accent5"/>
        </w:tcBorders>
      </w:tcPr>
    </w:tblStylePr>
    <w:tblStylePr w:type="band1Horz">
      <w:tblPr/>
      <w:tcPr>
        <w:tcBorders>
          <w:top w:val="single" w:sz="8" w:space="0" w:color="3BC7FF" w:themeColor="accent5"/>
          <w:left w:val="single" w:sz="8" w:space="0" w:color="3BC7FF" w:themeColor="accent5"/>
          <w:bottom w:val="single" w:sz="8" w:space="0" w:color="3BC7FF" w:themeColor="accent5"/>
          <w:right w:val="single" w:sz="8" w:space="0" w:color="3BC7FF" w:themeColor="accent5"/>
        </w:tcBorders>
      </w:tcPr>
    </w:tblStylePr>
  </w:style>
  <w:style w:type="table" w:styleId="Lyslisteuthevingsfarge6">
    <w:name w:val="Light List Accent 6"/>
    <w:basedOn w:val="Vanligtabell"/>
    <w:uiPriority w:val="61"/>
    <w:semiHidden/>
    <w:unhideWhenUsed/>
    <w:rsid w:val="00B73C9B"/>
    <w:pPr>
      <w:spacing w:after="0" w:line="240" w:lineRule="auto"/>
    </w:pPr>
    <w:tblPr>
      <w:tblStyleRowBandSize w:val="1"/>
      <w:tblStyleColBandSize w:val="1"/>
      <w:tblBorders>
        <w:top w:val="single" w:sz="8" w:space="0" w:color="51D8CA" w:themeColor="accent6"/>
        <w:left w:val="single" w:sz="8" w:space="0" w:color="51D8CA" w:themeColor="accent6"/>
        <w:bottom w:val="single" w:sz="8" w:space="0" w:color="51D8CA" w:themeColor="accent6"/>
        <w:right w:val="single" w:sz="8" w:space="0" w:color="51D8CA" w:themeColor="accent6"/>
      </w:tblBorders>
    </w:tblPr>
    <w:tblStylePr w:type="firstRow">
      <w:pPr>
        <w:spacing w:before="0" w:after="0" w:line="240" w:lineRule="auto"/>
      </w:pPr>
      <w:rPr>
        <w:b/>
        <w:bCs/>
        <w:color w:val="FFFFFF" w:themeColor="background1"/>
      </w:rPr>
      <w:tblPr/>
      <w:tcPr>
        <w:shd w:val="clear" w:color="auto" w:fill="51D8CA" w:themeFill="accent6"/>
      </w:tcPr>
    </w:tblStylePr>
    <w:tblStylePr w:type="lastRow">
      <w:pPr>
        <w:spacing w:before="0" w:after="0" w:line="240" w:lineRule="auto"/>
      </w:pPr>
      <w:rPr>
        <w:b/>
        <w:bCs/>
      </w:rPr>
      <w:tblPr/>
      <w:tcPr>
        <w:tcBorders>
          <w:top w:val="double" w:sz="6" w:space="0" w:color="51D8CA" w:themeColor="accent6"/>
          <w:left w:val="single" w:sz="8" w:space="0" w:color="51D8CA" w:themeColor="accent6"/>
          <w:bottom w:val="single" w:sz="8" w:space="0" w:color="51D8CA" w:themeColor="accent6"/>
          <w:right w:val="single" w:sz="8" w:space="0" w:color="51D8CA" w:themeColor="accent6"/>
        </w:tcBorders>
      </w:tcPr>
    </w:tblStylePr>
    <w:tblStylePr w:type="firstCol">
      <w:rPr>
        <w:b/>
        <w:bCs/>
      </w:rPr>
    </w:tblStylePr>
    <w:tblStylePr w:type="lastCol">
      <w:rPr>
        <w:b/>
        <w:bCs/>
      </w:rPr>
    </w:tblStylePr>
    <w:tblStylePr w:type="band1Vert">
      <w:tblPr/>
      <w:tcPr>
        <w:tcBorders>
          <w:top w:val="single" w:sz="8" w:space="0" w:color="51D8CA" w:themeColor="accent6"/>
          <w:left w:val="single" w:sz="8" w:space="0" w:color="51D8CA" w:themeColor="accent6"/>
          <w:bottom w:val="single" w:sz="8" w:space="0" w:color="51D8CA" w:themeColor="accent6"/>
          <w:right w:val="single" w:sz="8" w:space="0" w:color="51D8CA" w:themeColor="accent6"/>
        </w:tcBorders>
      </w:tcPr>
    </w:tblStylePr>
    <w:tblStylePr w:type="band1Horz">
      <w:tblPr/>
      <w:tcPr>
        <w:tcBorders>
          <w:top w:val="single" w:sz="8" w:space="0" w:color="51D8CA" w:themeColor="accent6"/>
          <w:left w:val="single" w:sz="8" w:space="0" w:color="51D8CA" w:themeColor="accent6"/>
          <w:bottom w:val="single" w:sz="8" w:space="0" w:color="51D8CA" w:themeColor="accent6"/>
          <w:right w:val="single" w:sz="8" w:space="0" w:color="51D8CA" w:themeColor="accent6"/>
        </w:tcBorders>
      </w:tcPr>
    </w:tblStylePr>
  </w:style>
  <w:style w:type="table" w:styleId="Lysskyggelegging">
    <w:name w:val="Light Shading"/>
    <w:basedOn w:val="Vanligtabell"/>
    <w:uiPriority w:val="60"/>
    <w:semiHidden/>
    <w:unhideWhenUsed/>
    <w:rsid w:val="00B73C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B73C9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ysskyggelegginguthevingsfarge2">
    <w:name w:val="Light Shading Accent 2"/>
    <w:basedOn w:val="Vanligtabell"/>
    <w:uiPriority w:val="60"/>
    <w:semiHidden/>
    <w:unhideWhenUsed/>
    <w:rsid w:val="00B73C9B"/>
    <w:pPr>
      <w:spacing w:after="0" w:line="240" w:lineRule="auto"/>
    </w:pPr>
    <w:rPr>
      <w:color w:val="DB0035" w:themeColor="accent2" w:themeShade="BF"/>
    </w:rPr>
    <w:tblPr>
      <w:tblStyleRowBandSize w:val="1"/>
      <w:tblStyleColBandSize w:val="1"/>
      <w:tblBorders>
        <w:top w:val="single" w:sz="8" w:space="0" w:color="FF265B" w:themeColor="accent2"/>
        <w:bottom w:val="single" w:sz="8" w:space="0" w:color="FF265B" w:themeColor="accent2"/>
      </w:tblBorders>
    </w:tblPr>
    <w:tblStylePr w:type="firstRow">
      <w:pPr>
        <w:spacing w:before="0" w:after="0" w:line="240" w:lineRule="auto"/>
      </w:pPr>
      <w:rPr>
        <w:b/>
        <w:bCs/>
      </w:rPr>
      <w:tblPr/>
      <w:tcPr>
        <w:tcBorders>
          <w:top w:val="single" w:sz="8" w:space="0" w:color="FF265B" w:themeColor="accent2"/>
          <w:left w:val="nil"/>
          <w:bottom w:val="single" w:sz="8" w:space="0" w:color="FF265B" w:themeColor="accent2"/>
          <w:right w:val="nil"/>
          <w:insideH w:val="nil"/>
          <w:insideV w:val="nil"/>
        </w:tcBorders>
      </w:tcPr>
    </w:tblStylePr>
    <w:tblStylePr w:type="lastRow">
      <w:pPr>
        <w:spacing w:before="0" w:after="0" w:line="240" w:lineRule="auto"/>
      </w:pPr>
      <w:rPr>
        <w:b/>
        <w:bCs/>
      </w:rPr>
      <w:tblPr/>
      <w:tcPr>
        <w:tcBorders>
          <w:top w:val="single" w:sz="8" w:space="0" w:color="FF265B" w:themeColor="accent2"/>
          <w:left w:val="nil"/>
          <w:bottom w:val="single" w:sz="8" w:space="0" w:color="FF265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9D6" w:themeFill="accent2" w:themeFillTint="3F"/>
      </w:tcPr>
    </w:tblStylePr>
    <w:tblStylePr w:type="band1Horz">
      <w:tblPr/>
      <w:tcPr>
        <w:tcBorders>
          <w:left w:val="nil"/>
          <w:right w:val="nil"/>
          <w:insideH w:val="nil"/>
          <w:insideV w:val="nil"/>
        </w:tcBorders>
        <w:shd w:val="clear" w:color="auto" w:fill="FFC9D6" w:themeFill="accent2" w:themeFillTint="3F"/>
      </w:tcPr>
    </w:tblStylePr>
  </w:style>
  <w:style w:type="table" w:styleId="Lysskyggelegginguthevingsfarge3">
    <w:name w:val="Light Shading Accent 3"/>
    <w:basedOn w:val="Vanligtabell"/>
    <w:uiPriority w:val="60"/>
    <w:semiHidden/>
    <w:unhideWhenUsed/>
    <w:rsid w:val="00B73C9B"/>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B73C9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B73C9B"/>
    <w:pPr>
      <w:spacing w:after="0" w:line="240" w:lineRule="auto"/>
    </w:pPr>
    <w:rPr>
      <w:color w:val="00A7EB" w:themeColor="accent5" w:themeShade="BF"/>
    </w:rPr>
    <w:tblPr>
      <w:tblStyleRowBandSize w:val="1"/>
      <w:tblStyleColBandSize w:val="1"/>
      <w:tblBorders>
        <w:top w:val="single" w:sz="8" w:space="0" w:color="3BC7FF" w:themeColor="accent5"/>
        <w:bottom w:val="single" w:sz="8" w:space="0" w:color="3BC7FF" w:themeColor="accent5"/>
      </w:tblBorders>
    </w:tblPr>
    <w:tblStylePr w:type="firstRow">
      <w:pPr>
        <w:spacing w:before="0" w:after="0" w:line="240" w:lineRule="auto"/>
      </w:pPr>
      <w:rPr>
        <w:b/>
        <w:bCs/>
      </w:rPr>
      <w:tblPr/>
      <w:tcPr>
        <w:tcBorders>
          <w:top w:val="single" w:sz="8" w:space="0" w:color="3BC7FF" w:themeColor="accent5"/>
          <w:left w:val="nil"/>
          <w:bottom w:val="single" w:sz="8" w:space="0" w:color="3BC7FF" w:themeColor="accent5"/>
          <w:right w:val="nil"/>
          <w:insideH w:val="nil"/>
          <w:insideV w:val="nil"/>
        </w:tcBorders>
      </w:tcPr>
    </w:tblStylePr>
    <w:tblStylePr w:type="lastRow">
      <w:pPr>
        <w:spacing w:before="0" w:after="0" w:line="240" w:lineRule="auto"/>
      </w:pPr>
      <w:rPr>
        <w:b/>
        <w:bCs/>
      </w:rPr>
      <w:tblPr/>
      <w:tcPr>
        <w:tcBorders>
          <w:top w:val="single" w:sz="8" w:space="0" w:color="3BC7FF" w:themeColor="accent5"/>
          <w:left w:val="nil"/>
          <w:bottom w:val="single" w:sz="8" w:space="0" w:color="3BC7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F" w:themeFill="accent5" w:themeFillTint="3F"/>
      </w:tcPr>
    </w:tblStylePr>
    <w:tblStylePr w:type="band1Horz">
      <w:tblPr/>
      <w:tcPr>
        <w:tcBorders>
          <w:left w:val="nil"/>
          <w:right w:val="nil"/>
          <w:insideH w:val="nil"/>
          <w:insideV w:val="nil"/>
        </w:tcBorders>
        <w:shd w:val="clear" w:color="auto" w:fill="CEF1FF" w:themeFill="accent5" w:themeFillTint="3F"/>
      </w:tcPr>
    </w:tblStylePr>
  </w:style>
  <w:style w:type="table" w:styleId="Lysskyggelegginguthevingsfarge6">
    <w:name w:val="Light Shading Accent 6"/>
    <w:basedOn w:val="Vanligtabell"/>
    <w:uiPriority w:val="60"/>
    <w:semiHidden/>
    <w:unhideWhenUsed/>
    <w:rsid w:val="00B73C9B"/>
    <w:pPr>
      <w:spacing w:after="0" w:line="240" w:lineRule="auto"/>
    </w:pPr>
    <w:rPr>
      <w:color w:val="28B5A6" w:themeColor="accent6" w:themeShade="BF"/>
    </w:rPr>
    <w:tblPr>
      <w:tblStyleRowBandSize w:val="1"/>
      <w:tblStyleColBandSize w:val="1"/>
      <w:tblBorders>
        <w:top w:val="single" w:sz="8" w:space="0" w:color="51D8CA" w:themeColor="accent6"/>
        <w:bottom w:val="single" w:sz="8" w:space="0" w:color="51D8CA" w:themeColor="accent6"/>
      </w:tblBorders>
    </w:tblPr>
    <w:tblStylePr w:type="firstRow">
      <w:pPr>
        <w:spacing w:before="0" w:after="0" w:line="240" w:lineRule="auto"/>
      </w:pPr>
      <w:rPr>
        <w:b/>
        <w:bCs/>
      </w:rPr>
      <w:tblPr/>
      <w:tcPr>
        <w:tcBorders>
          <w:top w:val="single" w:sz="8" w:space="0" w:color="51D8CA" w:themeColor="accent6"/>
          <w:left w:val="nil"/>
          <w:bottom w:val="single" w:sz="8" w:space="0" w:color="51D8CA" w:themeColor="accent6"/>
          <w:right w:val="nil"/>
          <w:insideH w:val="nil"/>
          <w:insideV w:val="nil"/>
        </w:tcBorders>
      </w:tcPr>
    </w:tblStylePr>
    <w:tblStylePr w:type="lastRow">
      <w:pPr>
        <w:spacing w:before="0" w:after="0" w:line="240" w:lineRule="auto"/>
      </w:pPr>
      <w:rPr>
        <w:b/>
        <w:bCs/>
      </w:rPr>
      <w:tblPr/>
      <w:tcPr>
        <w:tcBorders>
          <w:top w:val="single" w:sz="8" w:space="0" w:color="51D8CA" w:themeColor="accent6"/>
          <w:left w:val="nil"/>
          <w:bottom w:val="single" w:sz="8" w:space="0" w:color="51D8C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5F1" w:themeFill="accent6" w:themeFillTint="3F"/>
      </w:tcPr>
    </w:tblStylePr>
    <w:tblStylePr w:type="band1Horz">
      <w:tblPr/>
      <w:tcPr>
        <w:tcBorders>
          <w:left w:val="nil"/>
          <w:right w:val="nil"/>
          <w:insideH w:val="nil"/>
          <w:insideV w:val="nil"/>
        </w:tcBorders>
        <w:shd w:val="clear" w:color="auto" w:fill="D3F5F1" w:themeFill="accent6" w:themeFillTint="3F"/>
      </w:tcPr>
    </w:tblStylePr>
  </w:style>
  <w:style w:type="table" w:styleId="Lystrutenett">
    <w:name w:val="Light Grid"/>
    <w:basedOn w:val="Vanligtabell"/>
    <w:uiPriority w:val="62"/>
    <w:semiHidden/>
    <w:unhideWhenUsed/>
    <w:rsid w:val="00B73C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B73C9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ystrutenettuthevingsfarge2">
    <w:name w:val="Light Grid Accent 2"/>
    <w:basedOn w:val="Vanligtabell"/>
    <w:uiPriority w:val="62"/>
    <w:semiHidden/>
    <w:unhideWhenUsed/>
    <w:rsid w:val="00B73C9B"/>
    <w:pPr>
      <w:spacing w:after="0" w:line="240" w:lineRule="auto"/>
    </w:pPr>
    <w:tblPr>
      <w:tblStyleRowBandSize w:val="1"/>
      <w:tblStyleColBandSize w:val="1"/>
      <w:tblBorders>
        <w:top w:val="single" w:sz="8" w:space="0" w:color="FF265B" w:themeColor="accent2"/>
        <w:left w:val="single" w:sz="8" w:space="0" w:color="FF265B" w:themeColor="accent2"/>
        <w:bottom w:val="single" w:sz="8" w:space="0" w:color="FF265B" w:themeColor="accent2"/>
        <w:right w:val="single" w:sz="8" w:space="0" w:color="FF265B" w:themeColor="accent2"/>
        <w:insideH w:val="single" w:sz="8" w:space="0" w:color="FF265B" w:themeColor="accent2"/>
        <w:insideV w:val="single" w:sz="8" w:space="0" w:color="FF265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65B" w:themeColor="accent2"/>
          <w:left w:val="single" w:sz="8" w:space="0" w:color="FF265B" w:themeColor="accent2"/>
          <w:bottom w:val="single" w:sz="18" w:space="0" w:color="FF265B" w:themeColor="accent2"/>
          <w:right w:val="single" w:sz="8" w:space="0" w:color="FF265B" w:themeColor="accent2"/>
          <w:insideH w:val="nil"/>
          <w:insideV w:val="single" w:sz="8" w:space="0" w:color="FF265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65B" w:themeColor="accent2"/>
          <w:left w:val="single" w:sz="8" w:space="0" w:color="FF265B" w:themeColor="accent2"/>
          <w:bottom w:val="single" w:sz="8" w:space="0" w:color="FF265B" w:themeColor="accent2"/>
          <w:right w:val="single" w:sz="8" w:space="0" w:color="FF265B" w:themeColor="accent2"/>
          <w:insideH w:val="nil"/>
          <w:insideV w:val="single" w:sz="8" w:space="0" w:color="FF265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65B" w:themeColor="accent2"/>
          <w:left w:val="single" w:sz="8" w:space="0" w:color="FF265B" w:themeColor="accent2"/>
          <w:bottom w:val="single" w:sz="8" w:space="0" w:color="FF265B" w:themeColor="accent2"/>
          <w:right w:val="single" w:sz="8" w:space="0" w:color="FF265B" w:themeColor="accent2"/>
        </w:tcBorders>
      </w:tcPr>
    </w:tblStylePr>
    <w:tblStylePr w:type="band1Vert">
      <w:tblPr/>
      <w:tcPr>
        <w:tcBorders>
          <w:top w:val="single" w:sz="8" w:space="0" w:color="FF265B" w:themeColor="accent2"/>
          <w:left w:val="single" w:sz="8" w:space="0" w:color="FF265B" w:themeColor="accent2"/>
          <w:bottom w:val="single" w:sz="8" w:space="0" w:color="FF265B" w:themeColor="accent2"/>
          <w:right w:val="single" w:sz="8" w:space="0" w:color="FF265B" w:themeColor="accent2"/>
        </w:tcBorders>
        <w:shd w:val="clear" w:color="auto" w:fill="FFC9D6" w:themeFill="accent2" w:themeFillTint="3F"/>
      </w:tcPr>
    </w:tblStylePr>
    <w:tblStylePr w:type="band1Horz">
      <w:tblPr/>
      <w:tcPr>
        <w:tcBorders>
          <w:top w:val="single" w:sz="8" w:space="0" w:color="FF265B" w:themeColor="accent2"/>
          <w:left w:val="single" w:sz="8" w:space="0" w:color="FF265B" w:themeColor="accent2"/>
          <w:bottom w:val="single" w:sz="8" w:space="0" w:color="FF265B" w:themeColor="accent2"/>
          <w:right w:val="single" w:sz="8" w:space="0" w:color="FF265B" w:themeColor="accent2"/>
          <w:insideV w:val="single" w:sz="8" w:space="0" w:color="FF265B" w:themeColor="accent2"/>
        </w:tcBorders>
        <w:shd w:val="clear" w:color="auto" w:fill="FFC9D6" w:themeFill="accent2" w:themeFillTint="3F"/>
      </w:tcPr>
    </w:tblStylePr>
    <w:tblStylePr w:type="band2Horz">
      <w:tblPr/>
      <w:tcPr>
        <w:tcBorders>
          <w:top w:val="single" w:sz="8" w:space="0" w:color="FF265B" w:themeColor="accent2"/>
          <w:left w:val="single" w:sz="8" w:space="0" w:color="FF265B" w:themeColor="accent2"/>
          <w:bottom w:val="single" w:sz="8" w:space="0" w:color="FF265B" w:themeColor="accent2"/>
          <w:right w:val="single" w:sz="8" w:space="0" w:color="FF265B" w:themeColor="accent2"/>
          <w:insideV w:val="single" w:sz="8" w:space="0" w:color="FF265B" w:themeColor="accent2"/>
        </w:tcBorders>
      </w:tcPr>
    </w:tblStylePr>
  </w:style>
  <w:style w:type="table" w:styleId="Lystrutenettuthevingsfarge3">
    <w:name w:val="Light Grid Accent 3"/>
    <w:basedOn w:val="Vanligtabell"/>
    <w:uiPriority w:val="62"/>
    <w:semiHidden/>
    <w:unhideWhenUsed/>
    <w:rsid w:val="00B73C9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B73C9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B73C9B"/>
    <w:pPr>
      <w:spacing w:after="0" w:line="240" w:lineRule="auto"/>
    </w:pPr>
    <w:tblPr>
      <w:tblStyleRowBandSize w:val="1"/>
      <w:tblStyleColBandSize w:val="1"/>
      <w:tblBorders>
        <w:top w:val="single" w:sz="8" w:space="0" w:color="3BC7FF" w:themeColor="accent5"/>
        <w:left w:val="single" w:sz="8" w:space="0" w:color="3BC7FF" w:themeColor="accent5"/>
        <w:bottom w:val="single" w:sz="8" w:space="0" w:color="3BC7FF" w:themeColor="accent5"/>
        <w:right w:val="single" w:sz="8" w:space="0" w:color="3BC7FF" w:themeColor="accent5"/>
        <w:insideH w:val="single" w:sz="8" w:space="0" w:color="3BC7FF" w:themeColor="accent5"/>
        <w:insideV w:val="single" w:sz="8" w:space="0" w:color="3BC7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C7FF" w:themeColor="accent5"/>
          <w:left w:val="single" w:sz="8" w:space="0" w:color="3BC7FF" w:themeColor="accent5"/>
          <w:bottom w:val="single" w:sz="18" w:space="0" w:color="3BC7FF" w:themeColor="accent5"/>
          <w:right w:val="single" w:sz="8" w:space="0" w:color="3BC7FF" w:themeColor="accent5"/>
          <w:insideH w:val="nil"/>
          <w:insideV w:val="single" w:sz="8" w:space="0" w:color="3BC7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C7FF" w:themeColor="accent5"/>
          <w:left w:val="single" w:sz="8" w:space="0" w:color="3BC7FF" w:themeColor="accent5"/>
          <w:bottom w:val="single" w:sz="8" w:space="0" w:color="3BC7FF" w:themeColor="accent5"/>
          <w:right w:val="single" w:sz="8" w:space="0" w:color="3BC7FF" w:themeColor="accent5"/>
          <w:insideH w:val="nil"/>
          <w:insideV w:val="single" w:sz="8" w:space="0" w:color="3BC7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C7FF" w:themeColor="accent5"/>
          <w:left w:val="single" w:sz="8" w:space="0" w:color="3BC7FF" w:themeColor="accent5"/>
          <w:bottom w:val="single" w:sz="8" w:space="0" w:color="3BC7FF" w:themeColor="accent5"/>
          <w:right w:val="single" w:sz="8" w:space="0" w:color="3BC7FF" w:themeColor="accent5"/>
        </w:tcBorders>
      </w:tcPr>
    </w:tblStylePr>
    <w:tblStylePr w:type="band1Vert">
      <w:tblPr/>
      <w:tcPr>
        <w:tcBorders>
          <w:top w:val="single" w:sz="8" w:space="0" w:color="3BC7FF" w:themeColor="accent5"/>
          <w:left w:val="single" w:sz="8" w:space="0" w:color="3BC7FF" w:themeColor="accent5"/>
          <w:bottom w:val="single" w:sz="8" w:space="0" w:color="3BC7FF" w:themeColor="accent5"/>
          <w:right w:val="single" w:sz="8" w:space="0" w:color="3BC7FF" w:themeColor="accent5"/>
        </w:tcBorders>
        <w:shd w:val="clear" w:color="auto" w:fill="CEF1FF" w:themeFill="accent5" w:themeFillTint="3F"/>
      </w:tcPr>
    </w:tblStylePr>
    <w:tblStylePr w:type="band1Horz">
      <w:tblPr/>
      <w:tcPr>
        <w:tcBorders>
          <w:top w:val="single" w:sz="8" w:space="0" w:color="3BC7FF" w:themeColor="accent5"/>
          <w:left w:val="single" w:sz="8" w:space="0" w:color="3BC7FF" w:themeColor="accent5"/>
          <w:bottom w:val="single" w:sz="8" w:space="0" w:color="3BC7FF" w:themeColor="accent5"/>
          <w:right w:val="single" w:sz="8" w:space="0" w:color="3BC7FF" w:themeColor="accent5"/>
          <w:insideV w:val="single" w:sz="8" w:space="0" w:color="3BC7FF" w:themeColor="accent5"/>
        </w:tcBorders>
        <w:shd w:val="clear" w:color="auto" w:fill="CEF1FF" w:themeFill="accent5" w:themeFillTint="3F"/>
      </w:tcPr>
    </w:tblStylePr>
    <w:tblStylePr w:type="band2Horz">
      <w:tblPr/>
      <w:tcPr>
        <w:tcBorders>
          <w:top w:val="single" w:sz="8" w:space="0" w:color="3BC7FF" w:themeColor="accent5"/>
          <w:left w:val="single" w:sz="8" w:space="0" w:color="3BC7FF" w:themeColor="accent5"/>
          <w:bottom w:val="single" w:sz="8" w:space="0" w:color="3BC7FF" w:themeColor="accent5"/>
          <w:right w:val="single" w:sz="8" w:space="0" w:color="3BC7FF" w:themeColor="accent5"/>
          <w:insideV w:val="single" w:sz="8" w:space="0" w:color="3BC7FF" w:themeColor="accent5"/>
        </w:tcBorders>
      </w:tcPr>
    </w:tblStylePr>
  </w:style>
  <w:style w:type="table" w:styleId="Lystrutenettuthevingsfarge6">
    <w:name w:val="Light Grid Accent 6"/>
    <w:basedOn w:val="Vanligtabell"/>
    <w:uiPriority w:val="62"/>
    <w:semiHidden/>
    <w:unhideWhenUsed/>
    <w:rsid w:val="00B73C9B"/>
    <w:pPr>
      <w:spacing w:after="0" w:line="240" w:lineRule="auto"/>
    </w:pPr>
    <w:tblPr>
      <w:tblStyleRowBandSize w:val="1"/>
      <w:tblStyleColBandSize w:val="1"/>
      <w:tblBorders>
        <w:top w:val="single" w:sz="8" w:space="0" w:color="51D8CA" w:themeColor="accent6"/>
        <w:left w:val="single" w:sz="8" w:space="0" w:color="51D8CA" w:themeColor="accent6"/>
        <w:bottom w:val="single" w:sz="8" w:space="0" w:color="51D8CA" w:themeColor="accent6"/>
        <w:right w:val="single" w:sz="8" w:space="0" w:color="51D8CA" w:themeColor="accent6"/>
        <w:insideH w:val="single" w:sz="8" w:space="0" w:color="51D8CA" w:themeColor="accent6"/>
        <w:insideV w:val="single" w:sz="8" w:space="0" w:color="51D8C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D8CA" w:themeColor="accent6"/>
          <w:left w:val="single" w:sz="8" w:space="0" w:color="51D8CA" w:themeColor="accent6"/>
          <w:bottom w:val="single" w:sz="18" w:space="0" w:color="51D8CA" w:themeColor="accent6"/>
          <w:right w:val="single" w:sz="8" w:space="0" w:color="51D8CA" w:themeColor="accent6"/>
          <w:insideH w:val="nil"/>
          <w:insideV w:val="single" w:sz="8" w:space="0" w:color="51D8C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D8CA" w:themeColor="accent6"/>
          <w:left w:val="single" w:sz="8" w:space="0" w:color="51D8CA" w:themeColor="accent6"/>
          <w:bottom w:val="single" w:sz="8" w:space="0" w:color="51D8CA" w:themeColor="accent6"/>
          <w:right w:val="single" w:sz="8" w:space="0" w:color="51D8CA" w:themeColor="accent6"/>
          <w:insideH w:val="nil"/>
          <w:insideV w:val="single" w:sz="8" w:space="0" w:color="51D8C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D8CA" w:themeColor="accent6"/>
          <w:left w:val="single" w:sz="8" w:space="0" w:color="51D8CA" w:themeColor="accent6"/>
          <w:bottom w:val="single" w:sz="8" w:space="0" w:color="51D8CA" w:themeColor="accent6"/>
          <w:right w:val="single" w:sz="8" w:space="0" w:color="51D8CA" w:themeColor="accent6"/>
        </w:tcBorders>
      </w:tcPr>
    </w:tblStylePr>
    <w:tblStylePr w:type="band1Vert">
      <w:tblPr/>
      <w:tcPr>
        <w:tcBorders>
          <w:top w:val="single" w:sz="8" w:space="0" w:color="51D8CA" w:themeColor="accent6"/>
          <w:left w:val="single" w:sz="8" w:space="0" w:color="51D8CA" w:themeColor="accent6"/>
          <w:bottom w:val="single" w:sz="8" w:space="0" w:color="51D8CA" w:themeColor="accent6"/>
          <w:right w:val="single" w:sz="8" w:space="0" w:color="51D8CA" w:themeColor="accent6"/>
        </w:tcBorders>
        <w:shd w:val="clear" w:color="auto" w:fill="D3F5F1" w:themeFill="accent6" w:themeFillTint="3F"/>
      </w:tcPr>
    </w:tblStylePr>
    <w:tblStylePr w:type="band1Horz">
      <w:tblPr/>
      <w:tcPr>
        <w:tcBorders>
          <w:top w:val="single" w:sz="8" w:space="0" w:color="51D8CA" w:themeColor="accent6"/>
          <w:left w:val="single" w:sz="8" w:space="0" w:color="51D8CA" w:themeColor="accent6"/>
          <w:bottom w:val="single" w:sz="8" w:space="0" w:color="51D8CA" w:themeColor="accent6"/>
          <w:right w:val="single" w:sz="8" w:space="0" w:color="51D8CA" w:themeColor="accent6"/>
          <w:insideV w:val="single" w:sz="8" w:space="0" w:color="51D8CA" w:themeColor="accent6"/>
        </w:tcBorders>
        <w:shd w:val="clear" w:color="auto" w:fill="D3F5F1" w:themeFill="accent6" w:themeFillTint="3F"/>
      </w:tcPr>
    </w:tblStylePr>
    <w:tblStylePr w:type="band2Horz">
      <w:tblPr/>
      <w:tcPr>
        <w:tcBorders>
          <w:top w:val="single" w:sz="8" w:space="0" w:color="51D8CA" w:themeColor="accent6"/>
          <w:left w:val="single" w:sz="8" w:space="0" w:color="51D8CA" w:themeColor="accent6"/>
          <w:bottom w:val="single" w:sz="8" w:space="0" w:color="51D8CA" w:themeColor="accent6"/>
          <w:right w:val="single" w:sz="8" w:space="0" w:color="51D8CA" w:themeColor="accent6"/>
          <w:insideV w:val="single" w:sz="8" w:space="0" w:color="51D8CA" w:themeColor="accent6"/>
        </w:tcBorders>
      </w:tcPr>
    </w:tblStylePr>
  </w:style>
  <w:style w:type="paragraph" w:styleId="Makrotekst">
    <w:name w:val="macro"/>
    <w:link w:val="MakrotekstTegn"/>
    <w:uiPriority w:val="99"/>
    <w:semiHidden/>
    <w:rsid w:val="00B73C9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tekstTegn">
    <w:name w:val="Makrotekst Tegn"/>
    <w:basedOn w:val="Standardskriftforavsnitt"/>
    <w:link w:val="Makrotekst"/>
    <w:uiPriority w:val="99"/>
    <w:semiHidden/>
    <w:rsid w:val="00B73C9B"/>
    <w:rPr>
      <w:rFonts w:ascii="Consolas" w:hAnsi="Consolas"/>
      <w:sz w:val="20"/>
      <w:szCs w:val="20"/>
    </w:rPr>
  </w:style>
  <w:style w:type="paragraph" w:styleId="Meldingshode">
    <w:name w:val="Message Header"/>
    <w:basedOn w:val="Normal"/>
    <w:link w:val="MeldingshodeTegn"/>
    <w:uiPriority w:val="99"/>
    <w:semiHidden/>
    <w:rsid w:val="00B73C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B73C9B"/>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rsid w:val="00B73C9B"/>
    <w:rPr>
      <w:sz w:val="16"/>
      <w:szCs w:val="16"/>
    </w:rPr>
  </w:style>
  <w:style w:type="table" w:styleId="Middelsliste1">
    <w:name w:val="Medium List 1"/>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099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23099F"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ddelsliste1uthevingsfarge2">
    <w:name w:val="Medium List 1 Accent 2"/>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FF265B" w:themeColor="accent2"/>
        <w:bottom w:val="single" w:sz="8" w:space="0" w:color="FF265B" w:themeColor="accent2"/>
      </w:tblBorders>
    </w:tblPr>
    <w:tblStylePr w:type="firstRow">
      <w:rPr>
        <w:rFonts w:asciiTheme="majorHAnsi" w:eastAsiaTheme="majorEastAsia" w:hAnsiTheme="majorHAnsi" w:cstheme="majorBidi"/>
      </w:rPr>
      <w:tblPr/>
      <w:tcPr>
        <w:tcBorders>
          <w:top w:val="nil"/>
          <w:bottom w:val="single" w:sz="8" w:space="0" w:color="FF265B" w:themeColor="accent2"/>
        </w:tcBorders>
      </w:tcPr>
    </w:tblStylePr>
    <w:tblStylePr w:type="lastRow">
      <w:rPr>
        <w:b/>
        <w:bCs/>
        <w:color w:val="23099F" w:themeColor="text2"/>
      </w:rPr>
      <w:tblPr/>
      <w:tcPr>
        <w:tcBorders>
          <w:top w:val="single" w:sz="8" w:space="0" w:color="FF265B" w:themeColor="accent2"/>
          <w:bottom w:val="single" w:sz="8" w:space="0" w:color="FF265B" w:themeColor="accent2"/>
        </w:tcBorders>
      </w:tcPr>
    </w:tblStylePr>
    <w:tblStylePr w:type="firstCol">
      <w:rPr>
        <w:b/>
        <w:bCs/>
      </w:rPr>
    </w:tblStylePr>
    <w:tblStylePr w:type="lastCol">
      <w:rPr>
        <w:b/>
        <w:bCs/>
      </w:rPr>
      <w:tblPr/>
      <w:tcPr>
        <w:tcBorders>
          <w:top w:val="single" w:sz="8" w:space="0" w:color="FF265B" w:themeColor="accent2"/>
          <w:bottom w:val="single" w:sz="8" w:space="0" w:color="FF265B" w:themeColor="accent2"/>
        </w:tcBorders>
      </w:tcPr>
    </w:tblStylePr>
    <w:tblStylePr w:type="band1Vert">
      <w:tblPr/>
      <w:tcPr>
        <w:shd w:val="clear" w:color="auto" w:fill="FFC9D6" w:themeFill="accent2" w:themeFillTint="3F"/>
      </w:tcPr>
    </w:tblStylePr>
    <w:tblStylePr w:type="band1Horz">
      <w:tblPr/>
      <w:tcPr>
        <w:shd w:val="clear" w:color="auto" w:fill="FFC9D6" w:themeFill="accent2" w:themeFillTint="3F"/>
      </w:tcPr>
    </w:tblStylePr>
  </w:style>
  <w:style w:type="table" w:styleId="Middelsliste1uthevingsfarge3">
    <w:name w:val="Medium List 1 Accent 3"/>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23099F"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23099F"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3BC7FF" w:themeColor="accent5"/>
        <w:bottom w:val="single" w:sz="8" w:space="0" w:color="3BC7FF" w:themeColor="accent5"/>
      </w:tblBorders>
    </w:tblPr>
    <w:tblStylePr w:type="firstRow">
      <w:rPr>
        <w:rFonts w:asciiTheme="majorHAnsi" w:eastAsiaTheme="majorEastAsia" w:hAnsiTheme="majorHAnsi" w:cstheme="majorBidi"/>
      </w:rPr>
      <w:tblPr/>
      <w:tcPr>
        <w:tcBorders>
          <w:top w:val="nil"/>
          <w:bottom w:val="single" w:sz="8" w:space="0" w:color="3BC7FF" w:themeColor="accent5"/>
        </w:tcBorders>
      </w:tcPr>
    </w:tblStylePr>
    <w:tblStylePr w:type="lastRow">
      <w:rPr>
        <w:b/>
        <w:bCs/>
        <w:color w:val="23099F" w:themeColor="text2"/>
      </w:rPr>
      <w:tblPr/>
      <w:tcPr>
        <w:tcBorders>
          <w:top w:val="single" w:sz="8" w:space="0" w:color="3BC7FF" w:themeColor="accent5"/>
          <w:bottom w:val="single" w:sz="8" w:space="0" w:color="3BC7FF" w:themeColor="accent5"/>
        </w:tcBorders>
      </w:tcPr>
    </w:tblStylePr>
    <w:tblStylePr w:type="firstCol">
      <w:rPr>
        <w:b/>
        <w:bCs/>
      </w:rPr>
    </w:tblStylePr>
    <w:tblStylePr w:type="lastCol">
      <w:rPr>
        <w:b/>
        <w:bCs/>
      </w:rPr>
      <w:tblPr/>
      <w:tcPr>
        <w:tcBorders>
          <w:top w:val="single" w:sz="8" w:space="0" w:color="3BC7FF" w:themeColor="accent5"/>
          <w:bottom w:val="single" w:sz="8" w:space="0" w:color="3BC7FF" w:themeColor="accent5"/>
        </w:tcBorders>
      </w:tcPr>
    </w:tblStylePr>
    <w:tblStylePr w:type="band1Vert">
      <w:tblPr/>
      <w:tcPr>
        <w:shd w:val="clear" w:color="auto" w:fill="CEF1FF" w:themeFill="accent5" w:themeFillTint="3F"/>
      </w:tcPr>
    </w:tblStylePr>
    <w:tblStylePr w:type="band1Horz">
      <w:tblPr/>
      <w:tcPr>
        <w:shd w:val="clear" w:color="auto" w:fill="CEF1FF" w:themeFill="accent5" w:themeFillTint="3F"/>
      </w:tcPr>
    </w:tblStylePr>
  </w:style>
  <w:style w:type="table" w:styleId="Middelsliste1uthevingsfarge6">
    <w:name w:val="Medium List 1 Accent 6"/>
    <w:basedOn w:val="Vanligtabell"/>
    <w:uiPriority w:val="65"/>
    <w:semiHidden/>
    <w:unhideWhenUsed/>
    <w:rsid w:val="00B73C9B"/>
    <w:pPr>
      <w:spacing w:after="0" w:line="240" w:lineRule="auto"/>
    </w:pPr>
    <w:rPr>
      <w:color w:val="000000" w:themeColor="text1"/>
    </w:rPr>
    <w:tblPr>
      <w:tblStyleRowBandSize w:val="1"/>
      <w:tblStyleColBandSize w:val="1"/>
      <w:tblBorders>
        <w:top w:val="single" w:sz="8" w:space="0" w:color="51D8CA" w:themeColor="accent6"/>
        <w:bottom w:val="single" w:sz="8" w:space="0" w:color="51D8CA" w:themeColor="accent6"/>
      </w:tblBorders>
    </w:tblPr>
    <w:tblStylePr w:type="firstRow">
      <w:rPr>
        <w:rFonts w:asciiTheme="majorHAnsi" w:eastAsiaTheme="majorEastAsia" w:hAnsiTheme="majorHAnsi" w:cstheme="majorBidi"/>
      </w:rPr>
      <w:tblPr/>
      <w:tcPr>
        <w:tcBorders>
          <w:top w:val="nil"/>
          <w:bottom w:val="single" w:sz="8" w:space="0" w:color="51D8CA" w:themeColor="accent6"/>
        </w:tcBorders>
      </w:tcPr>
    </w:tblStylePr>
    <w:tblStylePr w:type="lastRow">
      <w:rPr>
        <w:b/>
        <w:bCs/>
        <w:color w:val="23099F" w:themeColor="text2"/>
      </w:rPr>
      <w:tblPr/>
      <w:tcPr>
        <w:tcBorders>
          <w:top w:val="single" w:sz="8" w:space="0" w:color="51D8CA" w:themeColor="accent6"/>
          <w:bottom w:val="single" w:sz="8" w:space="0" w:color="51D8CA" w:themeColor="accent6"/>
        </w:tcBorders>
      </w:tcPr>
    </w:tblStylePr>
    <w:tblStylePr w:type="firstCol">
      <w:rPr>
        <w:b/>
        <w:bCs/>
      </w:rPr>
    </w:tblStylePr>
    <w:tblStylePr w:type="lastCol">
      <w:rPr>
        <w:b/>
        <w:bCs/>
      </w:rPr>
      <w:tblPr/>
      <w:tcPr>
        <w:tcBorders>
          <w:top w:val="single" w:sz="8" w:space="0" w:color="51D8CA" w:themeColor="accent6"/>
          <w:bottom w:val="single" w:sz="8" w:space="0" w:color="51D8CA" w:themeColor="accent6"/>
        </w:tcBorders>
      </w:tcPr>
    </w:tblStylePr>
    <w:tblStylePr w:type="band1Vert">
      <w:tblPr/>
      <w:tcPr>
        <w:shd w:val="clear" w:color="auto" w:fill="D3F5F1" w:themeFill="accent6" w:themeFillTint="3F"/>
      </w:tcPr>
    </w:tblStylePr>
    <w:tblStylePr w:type="band1Horz">
      <w:tblPr/>
      <w:tcPr>
        <w:shd w:val="clear" w:color="auto" w:fill="D3F5F1" w:themeFill="accent6" w:themeFillTint="3F"/>
      </w:tcPr>
    </w:tblStylePr>
  </w:style>
  <w:style w:type="table" w:styleId="Middelsliste2">
    <w:name w:val="Medium List 2"/>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265B" w:themeColor="accent2"/>
        <w:left w:val="single" w:sz="8" w:space="0" w:color="FF265B" w:themeColor="accent2"/>
        <w:bottom w:val="single" w:sz="8" w:space="0" w:color="FF265B" w:themeColor="accent2"/>
        <w:right w:val="single" w:sz="8" w:space="0" w:color="FF265B" w:themeColor="accent2"/>
      </w:tblBorders>
    </w:tblPr>
    <w:tblStylePr w:type="firstRow">
      <w:rPr>
        <w:sz w:val="24"/>
        <w:szCs w:val="24"/>
      </w:rPr>
      <w:tblPr/>
      <w:tcPr>
        <w:tcBorders>
          <w:top w:val="nil"/>
          <w:left w:val="nil"/>
          <w:bottom w:val="single" w:sz="24" w:space="0" w:color="FF265B"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65B" w:themeColor="accent2"/>
          <w:insideH w:val="nil"/>
          <w:insideV w:val="nil"/>
        </w:tcBorders>
        <w:shd w:val="clear" w:color="auto" w:fill="FFFFFF" w:themeFill="background1"/>
      </w:tcPr>
    </w:tblStylePr>
    <w:tblStylePr w:type="lastCol">
      <w:tblPr/>
      <w:tcPr>
        <w:tcBorders>
          <w:top w:val="nil"/>
          <w:left w:val="single" w:sz="8" w:space="0" w:color="FF265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9D6" w:themeFill="accent2" w:themeFillTint="3F"/>
      </w:tcPr>
    </w:tblStylePr>
    <w:tblStylePr w:type="band1Horz">
      <w:tblPr/>
      <w:tcPr>
        <w:tcBorders>
          <w:top w:val="nil"/>
          <w:bottom w:val="nil"/>
          <w:insideH w:val="nil"/>
          <w:insideV w:val="nil"/>
        </w:tcBorders>
        <w:shd w:val="clear" w:color="auto" w:fill="FFC9D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C7FF" w:themeColor="accent5"/>
        <w:left w:val="single" w:sz="8" w:space="0" w:color="3BC7FF" w:themeColor="accent5"/>
        <w:bottom w:val="single" w:sz="8" w:space="0" w:color="3BC7FF" w:themeColor="accent5"/>
        <w:right w:val="single" w:sz="8" w:space="0" w:color="3BC7FF" w:themeColor="accent5"/>
      </w:tblBorders>
    </w:tblPr>
    <w:tblStylePr w:type="firstRow">
      <w:rPr>
        <w:sz w:val="24"/>
        <w:szCs w:val="24"/>
      </w:rPr>
      <w:tblPr/>
      <w:tcPr>
        <w:tcBorders>
          <w:top w:val="nil"/>
          <w:left w:val="nil"/>
          <w:bottom w:val="single" w:sz="24" w:space="0" w:color="3BC7F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C7FF" w:themeColor="accent5"/>
          <w:insideH w:val="nil"/>
          <w:insideV w:val="nil"/>
        </w:tcBorders>
        <w:shd w:val="clear" w:color="auto" w:fill="FFFFFF" w:themeFill="background1"/>
      </w:tcPr>
    </w:tblStylePr>
    <w:tblStylePr w:type="lastCol">
      <w:tblPr/>
      <w:tcPr>
        <w:tcBorders>
          <w:top w:val="nil"/>
          <w:left w:val="single" w:sz="8" w:space="0" w:color="3BC7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F" w:themeFill="accent5" w:themeFillTint="3F"/>
      </w:tcPr>
    </w:tblStylePr>
    <w:tblStylePr w:type="band1Horz">
      <w:tblPr/>
      <w:tcPr>
        <w:tcBorders>
          <w:top w:val="nil"/>
          <w:bottom w:val="nil"/>
          <w:insideH w:val="nil"/>
          <w:insideV w:val="nil"/>
        </w:tcBorders>
        <w:shd w:val="clear" w:color="auto" w:fill="CEF1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D8CA" w:themeColor="accent6"/>
        <w:left w:val="single" w:sz="8" w:space="0" w:color="51D8CA" w:themeColor="accent6"/>
        <w:bottom w:val="single" w:sz="8" w:space="0" w:color="51D8CA" w:themeColor="accent6"/>
        <w:right w:val="single" w:sz="8" w:space="0" w:color="51D8CA" w:themeColor="accent6"/>
      </w:tblBorders>
    </w:tblPr>
    <w:tblStylePr w:type="firstRow">
      <w:rPr>
        <w:sz w:val="24"/>
        <w:szCs w:val="24"/>
      </w:rPr>
      <w:tblPr/>
      <w:tcPr>
        <w:tcBorders>
          <w:top w:val="nil"/>
          <w:left w:val="nil"/>
          <w:bottom w:val="single" w:sz="24" w:space="0" w:color="51D8C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D8CA" w:themeColor="accent6"/>
          <w:insideH w:val="nil"/>
          <w:insideV w:val="nil"/>
        </w:tcBorders>
        <w:shd w:val="clear" w:color="auto" w:fill="FFFFFF" w:themeFill="background1"/>
      </w:tcPr>
    </w:tblStylePr>
    <w:tblStylePr w:type="lastCol">
      <w:tblPr/>
      <w:tcPr>
        <w:tcBorders>
          <w:top w:val="nil"/>
          <w:left w:val="single" w:sz="8" w:space="0" w:color="51D8C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5F1" w:themeFill="accent6" w:themeFillTint="3F"/>
      </w:tcPr>
    </w:tblStylePr>
    <w:tblStylePr w:type="band1Horz">
      <w:tblPr/>
      <w:tcPr>
        <w:tcBorders>
          <w:top w:val="nil"/>
          <w:bottom w:val="nil"/>
          <w:insideH w:val="nil"/>
          <w:insideV w:val="nil"/>
        </w:tcBorders>
        <w:shd w:val="clear" w:color="auto" w:fill="D3F5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B73C9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B73C9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iddelsrutenett1uthevingsfarge2">
    <w:name w:val="Medium Grid 1 Accent 2"/>
    <w:basedOn w:val="Vanligtabell"/>
    <w:uiPriority w:val="67"/>
    <w:semiHidden/>
    <w:unhideWhenUsed/>
    <w:rsid w:val="00B73C9B"/>
    <w:pPr>
      <w:spacing w:after="0" w:line="240" w:lineRule="auto"/>
    </w:pPr>
    <w:tblPr>
      <w:tblStyleRowBandSize w:val="1"/>
      <w:tblStyleColBandSize w:val="1"/>
      <w:tblBorders>
        <w:top w:val="single" w:sz="8" w:space="0" w:color="FF5C83" w:themeColor="accent2" w:themeTint="BF"/>
        <w:left w:val="single" w:sz="8" w:space="0" w:color="FF5C83" w:themeColor="accent2" w:themeTint="BF"/>
        <w:bottom w:val="single" w:sz="8" w:space="0" w:color="FF5C83" w:themeColor="accent2" w:themeTint="BF"/>
        <w:right w:val="single" w:sz="8" w:space="0" w:color="FF5C83" w:themeColor="accent2" w:themeTint="BF"/>
        <w:insideH w:val="single" w:sz="8" w:space="0" w:color="FF5C83" w:themeColor="accent2" w:themeTint="BF"/>
        <w:insideV w:val="single" w:sz="8" w:space="0" w:color="FF5C83" w:themeColor="accent2" w:themeTint="BF"/>
      </w:tblBorders>
    </w:tblPr>
    <w:tcPr>
      <w:shd w:val="clear" w:color="auto" w:fill="FFC9D6" w:themeFill="accent2" w:themeFillTint="3F"/>
    </w:tcPr>
    <w:tblStylePr w:type="firstRow">
      <w:rPr>
        <w:b/>
        <w:bCs/>
      </w:rPr>
    </w:tblStylePr>
    <w:tblStylePr w:type="lastRow">
      <w:rPr>
        <w:b/>
        <w:bCs/>
      </w:rPr>
      <w:tblPr/>
      <w:tcPr>
        <w:tcBorders>
          <w:top w:val="single" w:sz="18" w:space="0" w:color="FF5C83" w:themeColor="accent2" w:themeTint="BF"/>
        </w:tcBorders>
      </w:tcPr>
    </w:tblStylePr>
    <w:tblStylePr w:type="firstCol">
      <w:rPr>
        <w:b/>
        <w:bCs/>
      </w:rPr>
    </w:tblStylePr>
    <w:tblStylePr w:type="lastCol">
      <w:rPr>
        <w:b/>
        <w:bCs/>
      </w:rPr>
    </w:tblStylePr>
    <w:tblStylePr w:type="band1Vert">
      <w:tblPr/>
      <w:tcPr>
        <w:shd w:val="clear" w:color="auto" w:fill="FF92AD" w:themeFill="accent2" w:themeFillTint="7F"/>
      </w:tcPr>
    </w:tblStylePr>
    <w:tblStylePr w:type="band1Horz">
      <w:tblPr/>
      <w:tcPr>
        <w:shd w:val="clear" w:color="auto" w:fill="FF92AD" w:themeFill="accent2" w:themeFillTint="7F"/>
      </w:tcPr>
    </w:tblStylePr>
  </w:style>
  <w:style w:type="table" w:styleId="Middelsrutenett1uthevingsfarge3">
    <w:name w:val="Medium Grid 1 Accent 3"/>
    <w:basedOn w:val="Vanligtabell"/>
    <w:uiPriority w:val="67"/>
    <w:semiHidden/>
    <w:unhideWhenUsed/>
    <w:rsid w:val="00B73C9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B73C9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B73C9B"/>
    <w:pPr>
      <w:spacing w:after="0" w:line="240" w:lineRule="auto"/>
    </w:pPr>
    <w:tblPr>
      <w:tblStyleRowBandSize w:val="1"/>
      <w:tblStyleColBandSize w:val="1"/>
      <w:tblBorders>
        <w:top w:val="single" w:sz="8" w:space="0" w:color="6CD4FF" w:themeColor="accent5" w:themeTint="BF"/>
        <w:left w:val="single" w:sz="8" w:space="0" w:color="6CD4FF" w:themeColor="accent5" w:themeTint="BF"/>
        <w:bottom w:val="single" w:sz="8" w:space="0" w:color="6CD4FF" w:themeColor="accent5" w:themeTint="BF"/>
        <w:right w:val="single" w:sz="8" w:space="0" w:color="6CD4FF" w:themeColor="accent5" w:themeTint="BF"/>
        <w:insideH w:val="single" w:sz="8" w:space="0" w:color="6CD4FF" w:themeColor="accent5" w:themeTint="BF"/>
        <w:insideV w:val="single" w:sz="8" w:space="0" w:color="6CD4FF" w:themeColor="accent5" w:themeTint="BF"/>
      </w:tblBorders>
    </w:tblPr>
    <w:tcPr>
      <w:shd w:val="clear" w:color="auto" w:fill="CEF1FF" w:themeFill="accent5" w:themeFillTint="3F"/>
    </w:tcPr>
    <w:tblStylePr w:type="firstRow">
      <w:rPr>
        <w:b/>
        <w:bCs/>
      </w:rPr>
    </w:tblStylePr>
    <w:tblStylePr w:type="lastRow">
      <w:rPr>
        <w:b/>
        <w:bCs/>
      </w:rPr>
      <w:tblPr/>
      <w:tcPr>
        <w:tcBorders>
          <w:top w:val="single" w:sz="18" w:space="0" w:color="6CD4FF" w:themeColor="accent5" w:themeTint="BF"/>
        </w:tcBorders>
      </w:tcPr>
    </w:tblStylePr>
    <w:tblStylePr w:type="firstCol">
      <w:rPr>
        <w:b/>
        <w:bCs/>
      </w:rPr>
    </w:tblStylePr>
    <w:tblStylePr w:type="lastCol">
      <w:rPr>
        <w:b/>
        <w:bCs/>
      </w:rPr>
    </w:tblStylePr>
    <w:tblStylePr w:type="band1Vert">
      <w:tblPr/>
      <w:tcPr>
        <w:shd w:val="clear" w:color="auto" w:fill="9DE3FF" w:themeFill="accent5" w:themeFillTint="7F"/>
      </w:tcPr>
    </w:tblStylePr>
    <w:tblStylePr w:type="band1Horz">
      <w:tblPr/>
      <w:tcPr>
        <w:shd w:val="clear" w:color="auto" w:fill="9DE3FF" w:themeFill="accent5" w:themeFillTint="7F"/>
      </w:tcPr>
    </w:tblStylePr>
  </w:style>
  <w:style w:type="table" w:styleId="Middelsrutenett1uthevingsfarge6">
    <w:name w:val="Medium Grid 1 Accent 6"/>
    <w:basedOn w:val="Vanligtabell"/>
    <w:uiPriority w:val="67"/>
    <w:semiHidden/>
    <w:unhideWhenUsed/>
    <w:rsid w:val="00B73C9B"/>
    <w:pPr>
      <w:spacing w:after="0" w:line="240" w:lineRule="auto"/>
    </w:pPr>
    <w:tblPr>
      <w:tblStyleRowBandSize w:val="1"/>
      <w:tblStyleColBandSize w:val="1"/>
      <w:tblBorders>
        <w:top w:val="single" w:sz="8" w:space="0" w:color="7CE1D7" w:themeColor="accent6" w:themeTint="BF"/>
        <w:left w:val="single" w:sz="8" w:space="0" w:color="7CE1D7" w:themeColor="accent6" w:themeTint="BF"/>
        <w:bottom w:val="single" w:sz="8" w:space="0" w:color="7CE1D7" w:themeColor="accent6" w:themeTint="BF"/>
        <w:right w:val="single" w:sz="8" w:space="0" w:color="7CE1D7" w:themeColor="accent6" w:themeTint="BF"/>
        <w:insideH w:val="single" w:sz="8" w:space="0" w:color="7CE1D7" w:themeColor="accent6" w:themeTint="BF"/>
        <w:insideV w:val="single" w:sz="8" w:space="0" w:color="7CE1D7" w:themeColor="accent6" w:themeTint="BF"/>
      </w:tblBorders>
    </w:tblPr>
    <w:tcPr>
      <w:shd w:val="clear" w:color="auto" w:fill="D3F5F1" w:themeFill="accent6" w:themeFillTint="3F"/>
    </w:tcPr>
    <w:tblStylePr w:type="firstRow">
      <w:rPr>
        <w:b/>
        <w:bCs/>
      </w:rPr>
    </w:tblStylePr>
    <w:tblStylePr w:type="lastRow">
      <w:rPr>
        <w:b/>
        <w:bCs/>
      </w:rPr>
      <w:tblPr/>
      <w:tcPr>
        <w:tcBorders>
          <w:top w:val="single" w:sz="18" w:space="0" w:color="7CE1D7" w:themeColor="accent6" w:themeTint="BF"/>
        </w:tcBorders>
      </w:tcPr>
    </w:tblStylePr>
    <w:tblStylePr w:type="firstCol">
      <w:rPr>
        <w:b/>
        <w:bCs/>
      </w:rPr>
    </w:tblStylePr>
    <w:tblStylePr w:type="lastCol">
      <w:rPr>
        <w:b/>
        <w:bCs/>
      </w:rPr>
    </w:tblStylePr>
    <w:tblStylePr w:type="band1Vert">
      <w:tblPr/>
      <w:tcPr>
        <w:shd w:val="clear" w:color="auto" w:fill="A8EBE4" w:themeFill="accent6" w:themeFillTint="7F"/>
      </w:tcPr>
    </w:tblStylePr>
    <w:tblStylePr w:type="band1Horz">
      <w:tblPr/>
      <w:tcPr>
        <w:shd w:val="clear" w:color="auto" w:fill="A8EBE4" w:themeFill="accent6" w:themeFillTint="7F"/>
      </w:tcPr>
    </w:tblStylePr>
  </w:style>
  <w:style w:type="table" w:styleId="Middelsrutenett2">
    <w:name w:val="Medium Grid 2"/>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265B" w:themeColor="accent2"/>
        <w:left w:val="single" w:sz="8" w:space="0" w:color="FF265B" w:themeColor="accent2"/>
        <w:bottom w:val="single" w:sz="8" w:space="0" w:color="FF265B" w:themeColor="accent2"/>
        <w:right w:val="single" w:sz="8" w:space="0" w:color="FF265B" w:themeColor="accent2"/>
        <w:insideH w:val="single" w:sz="8" w:space="0" w:color="FF265B" w:themeColor="accent2"/>
        <w:insideV w:val="single" w:sz="8" w:space="0" w:color="FF265B" w:themeColor="accent2"/>
      </w:tblBorders>
    </w:tblPr>
    <w:tcPr>
      <w:shd w:val="clear" w:color="auto" w:fill="FFC9D6" w:themeFill="accent2" w:themeFillTint="3F"/>
    </w:tcPr>
    <w:tblStylePr w:type="firstRow">
      <w:rPr>
        <w:b/>
        <w:bCs/>
        <w:color w:val="000000" w:themeColor="text1"/>
      </w:rPr>
      <w:tblPr/>
      <w:tcPr>
        <w:shd w:val="clear" w:color="auto" w:fill="FFE9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3DD" w:themeFill="accent2" w:themeFillTint="33"/>
      </w:tcPr>
    </w:tblStylePr>
    <w:tblStylePr w:type="band1Vert">
      <w:tblPr/>
      <w:tcPr>
        <w:shd w:val="clear" w:color="auto" w:fill="FF92AD" w:themeFill="accent2" w:themeFillTint="7F"/>
      </w:tcPr>
    </w:tblStylePr>
    <w:tblStylePr w:type="band1Horz">
      <w:tblPr/>
      <w:tcPr>
        <w:tcBorders>
          <w:insideH w:val="single" w:sz="6" w:space="0" w:color="FF265B" w:themeColor="accent2"/>
          <w:insideV w:val="single" w:sz="6" w:space="0" w:color="FF265B" w:themeColor="accent2"/>
        </w:tcBorders>
        <w:shd w:val="clear" w:color="auto" w:fill="FF92AD"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C7FF" w:themeColor="accent5"/>
        <w:left w:val="single" w:sz="8" w:space="0" w:color="3BC7FF" w:themeColor="accent5"/>
        <w:bottom w:val="single" w:sz="8" w:space="0" w:color="3BC7FF" w:themeColor="accent5"/>
        <w:right w:val="single" w:sz="8" w:space="0" w:color="3BC7FF" w:themeColor="accent5"/>
        <w:insideH w:val="single" w:sz="8" w:space="0" w:color="3BC7FF" w:themeColor="accent5"/>
        <w:insideV w:val="single" w:sz="8" w:space="0" w:color="3BC7FF" w:themeColor="accent5"/>
      </w:tblBorders>
    </w:tblPr>
    <w:tcPr>
      <w:shd w:val="clear" w:color="auto" w:fill="CEF1FF" w:themeFill="accent5" w:themeFillTint="3F"/>
    </w:tcPr>
    <w:tblStylePr w:type="firstRow">
      <w:rPr>
        <w:b/>
        <w:bCs/>
        <w:color w:val="000000" w:themeColor="text1"/>
      </w:rPr>
      <w:tblPr/>
      <w:tcPr>
        <w:shd w:val="clear" w:color="auto" w:fill="EB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3FF" w:themeFill="accent5" w:themeFillTint="33"/>
      </w:tcPr>
    </w:tblStylePr>
    <w:tblStylePr w:type="band1Vert">
      <w:tblPr/>
      <w:tcPr>
        <w:shd w:val="clear" w:color="auto" w:fill="9DE3FF" w:themeFill="accent5" w:themeFillTint="7F"/>
      </w:tcPr>
    </w:tblStylePr>
    <w:tblStylePr w:type="band1Horz">
      <w:tblPr/>
      <w:tcPr>
        <w:tcBorders>
          <w:insideH w:val="single" w:sz="6" w:space="0" w:color="3BC7FF" w:themeColor="accent5"/>
          <w:insideV w:val="single" w:sz="6" w:space="0" w:color="3BC7FF" w:themeColor="accent5"/>
        </w:tcBorders>
        <w:shd w:val="clear" w:color="auto" w:fill="9DE3FF"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B73C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D8CA" w:themeColor="accent6"/>
        <w:left w:val="single" w:sz="8" w:space="0" w:color="51D8CA" w:themeColor="accent6"/>
        <w:bottom w:val="single" w:sz="8" w:space="0" w:color="51D8CA" w:themeColor="accent6"/>
        <w:right w:val="single" w:sz="8" w:space="0" w:color="51D8CA" w:themeColor="accent6"/>
        <w:insideH w:val="single" w:sz="8" w:space="0" w:color="51D8CA" w:themeColor="accent6"/>
        <w:insideV w:val="single" w:sz="8" w:space="0" w:color="51D8CA" w:themeColor="accent6"/>
      </w:tblBorders>
    </w:tblPr>
    <w:tcPr>
      <w:shd w:val="clear" w:color="auto" w:fill="D3F5F1" w:themeFill="accent6" w:themeFillTint="3F"/>
    </w:tcPr>
    <w:tblStylePr w:type="firstRow">
      <w:rPr>
        <w:b/>
        <w:bCs/>
        <w:color w:val="000000" w:themeColor="text1"/>
      </w:rPr>
      <w:tblPr/>
      <w:tcPr>
        <w:shd w:val="clear" w:color="auto" w:fill="EDFB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7F4" w:themeFill="accent6" w:themeFillTint="33"/>
      </w:tcPr>
    </w:tblStylePr>
    <w:tblStylePr w:type="band1Vert">
      <w:tblPr/>
      <w:tcPr>
        <w:shd w:val="clear" w:color="auto" w:fill="A8EBE4" w:themeFill="accent6" w:themeFillTint="7F"/>
      </w:tcPr>
    </w:tblStylePr>
    <w:tblStylePr w:type="band1Horz">
      <w:tblPr/>
      <w:tcPr>
        <w:tcBorders>
          <w:insideH w:val="single" w:sz="6" w:space="0" w:color="51D8CA" w:themeColor="accent6"/>
          <w:insideV w:val="single" w:sz="6" w:space="0" w:color="51D8CA" w:themeColor="accent6"/>
        </w:tcBorders>
        <w:shd w:val="clear" w:color="auto" w:fill="A8EBE4"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ddelsrutenett3uthevingsfarge2">
    <w:name w:val="Medium Grid 3 Accent 2"/>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9D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65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65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65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65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2A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2AD" w:themeFill="accent2" w:themeFillTint="7F"/>
      </w:tcPr>
    </w:tblStylePr>
  </w:style>
  <w:style w:type="table" w:styleId="Middelsrutenett3uthevingsfarge3">
    <w:name w:val="Medium Grid 3 Accent 3"/>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C7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C7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C7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C7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F" w:themeFill="accent5" w:themeFillTint="7F"/>
      </w:tcPr>
    </w:tblStylePr>
  </w:style>
  <w:style w:type="table" w:styleId="Middelsrutenett3uthevingsfarge6">
    <w:name w:val="Medium Grid 3 Accent 6"/>
    <w:basedOn w:val="Vanligtabell"/>
    <w:uiPriority w:val="69"/>
    <w:semiHidden/>
    <w:unhideWhenUsed/>
    <w:rsid w:val="00B73C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5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D8C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D8C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D8C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D8C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BE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BE4" w:themeFill="accent6" w:themeFillTint="7F"/>
      </w:tcPr>
    </w:tblStylePr>
  </w:style>
  <w:style w:type="table" w:styleId="Middelsskyggelegging1">
    <w:name w:val="Medium Shading 1"/>
    <w:basedOn w:val="Vanligtabell"/>
    <w:uiPriority w:val="63"/>
    <w:semiHidden/>
    <w:unhideWhenUsed/>
    <w:rsid w:val="00B73C9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B73C9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B73C9B"/>
    <w:pPr>
      <w:spacing w:after="0" w:line="240" w:lineRule="auto"/>
    </w:pPr>
    <w:tblPr>
      <w:tblStyleRowBandSize w:val="1"/>
      <w:tblStyleColBandSize w:val="1"/>
      <w:tblBorders>
        <w:top w:val="single" w:sz="8" w:space="0" w:color="FF5C83" w:themeColor="accent2" w:themeTint="BF"/>
        <w:left w:val="single" w:sz="8" w:space="0" w:color="FF5C83" w:themeColor="accent2" w:themeTint="BF"/>
        <w:bottom w:val="single" w:sz="8" w:space="0" w:color="FF5C83" w:themeColor="accent2" w:themeTint="BF"/>
        <w:right w:val="single" w:sz="8" w:space="0" w:color="FF5C83" w:themeColor="accent2" w:themeTint="BF"/>
        <w:insideH w:val="single" w:sz="8" w:space="0" w:color="FF5C83" w:themeColor="accent2" w:themeTint="BF"/>
      </w:tblBorders>
    </w:tblPr>
    <w:tblStylePr w:type="firstRow">
      <w:pPr>
        <w:spacing w:before="0" w:after="0" w:line="240" w:lineRule="auto"/>
      </w:pPr>
      <w:rPr>
        <w:b/>
        <w:bCs/>
        <w:color w:val="FFFFFF" w:themeColor="background1"/>
      </w:rPr>
      <w:tblPr/>
      <w:tcPr>
        <w:tcBorders>
          <w:top w:val="single" w:sz="8" w:space="0" w:color="FF5C83" w:themeColor="accent2" w:themeTint="BF"/>
          <w:left w:val="single" w:sz="8" w:space="0" w:color="FF5C83" w:themeColor="accent2" w:themeTint="BF"/>
          <w:bottom w:val="single" w:sz="8" w:space="0" w:color="FF5C83" w:themeColor="accent2" w:themeTint="BF"/>
          <w:right w:val="single" w:sz="8" w:space="0" w:color="FF5C83" w:themeColor="accent2" w:themeTint="BF"/>
          <w:insideH w:val="nil"/>
          <w:insideV w:val="nil"/>
        </w:tcBorders>
        <w:shd w:val="clear" w:color="auto" w:fill="FF265B" w:themeFill="accent2"/>
      </w:tcPr>
    </w:tblStylePr>
    <w:tblStylePr w:type="lastRow">
      <w:pPr>
        <w:spacing w:before="0" w:after="0" w:line="240" w:lineRule="auto"/>
      </w:pPr>
      <w:rPr>
        <w:b/>
        <w:bCs/>
      </w:rPr>
      <w:tblPr/>
      <w:tcPr>
        <w:tcBorders>
          <w:top w:val="double" w:sz="6" w:space="0" w:color="FF5C83" w:themeColor="accent2" w:themeTint="BF"/>
          <w:left w:val="single" w:sz="8" w:space="0" w:color="FF5C83" w:themeColor="accent2" w:themeTint="BF"/>
          <w:bottom w:val="single" w:sz="8" w:space="0" w:color="FF5C83" w:themeColor="accent2" w:themeTint="BF"/>
          <w:right w:val="single" w:sz="8" w:space="0" w:color="FF5C8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9D6" w:themeFill="accent2" w:themeFillTint="3F"/>
      </w:tcPr>
    </w:tblStylePr>
    <w:tblStylePr w:type="band1Horz">
      <w:tblPr/>
      <w:tcPr>
        <w:tcBorders>
          <w:insideH w:val="nil"/>
          <w:insideV w:val="nil"/>
        </w:tcBorders>
        <w:shd w:val="clear" w:color="auto" w:fill="FFC9D6"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B73C9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B73C9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B73C9B"/>
    <w:pPr>
      <w:spacing w:after="0" w:line="240" w:lineRule="auto"/>
    </w:pPr>
    <w:tblPr>
      <w:tblStyleRowBandSize w:val="1"/>
      <w:tblStyleColBandSize w:val="1"/>
      <w:tblBorders>
        <w:top w:val="single" w:sz="8" w:space="0" w:color="6CD4FF" w:themeColor="accent5" w:themeTint="BF"/>
        <w:left w:val="single" w:sz="8" w:space="0" w:color="6CD4FF" w:themeColor="accent5" w:themeTint="BF"/>
        <w:bottom w:val="single" w:sz="8" w:space="0" w:color="6CD4FF" w:themeColor="accent5" w:themeTint="BF"/>
        <w:right w:val="single" w:sz="8" w:space="0" w:color="6CD4FF" w:themeColor="accent5" w:themeTint="BF"/>
        <w:insideH w:val="single" w:sz="8" w:space="0" w:color="6CD4FF" w:themeColor="accent5" w:themeTint="BF"/>
      </w:tblBorders>
    </w:tblPr>
    <w:tblStylePr w:type="firstRow">
      <w:pPr>
        <w:spacing w:before="0" w:after="0" w:line="240" w:lineRule="auto"/>
      </w:pPr>
      <w:rPr>
        <w:b/>
        <w:bCs/>
        <w:color w:val="FFFFFF" w:themeColor="background1"/>
      </w:rPr>
      <w:tblPr/>
      <w:tcPr>
        <w:tcBorders>
          <w:top w:val="single" w:sz="8" w:space="0" w:color="6CD4FF" w:themeColor="accent5" w:themeTint="BF"/>
          <w:left w:val="single" w:sz="8" w:space="0" w:color="6CD4FF" w:themeColor="accent5" w:themeTint="BF"/>
          <w:bottom w:val="single" w:sz="8" w:space="0" w:color="6CD4FF" w:themeColor="accent5" w:themeTint="BF"/>
          <w:right w:val="single" w:sz="8" w:space="0" w:color="6CD4FF" w:themeColor="accent5" w:themeTint="BF"/>
          <w:insideH w:val="nil"/>
          <w:insideV w:val="nil"/>
        </w:tcBorders>
        <w:shd w:val="clear" w:color="auto" w:fill="3BC7FF" w:themeFill="accent5"/>
      </w:tcPr>
    </w:tblStylePr>
    <w:tblStylePr w:type="lastRow">
      <w:pPr>
        <w:spacing w:before="0" w:after="0" w:line="240" w:lineRule="auto"/>
      </w:pPr>
      <w:rPr>
        <w:b/>
        <w:bCs/>
      </w:rPr>
      <w:tblPr/>
      <w:tcPr>
        <w:tcBorders>
          <w:top w:val="double" w:sz="6" w:space="0" w:color="6CD4FF" w:themeColor="accent5" w:themeTint="BF"/>
          <w:left w:val="single" w:sz="8" w:space="0" w:color="6CD4FF" w:themeColor="accent5" w:themeTint="BF"/>
          <w:bottom w:val="single" w:sz="8" w:space="0" w:color="6CD4FF" w:themeColor="accent5" w:themeTint="BF"/>
          <w:right w:val="single" w:sz="8" w:space="0" w:color="6CD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F1FF" w:themeFill="accent5" w:themeFillTint="3F"/>
      </w:tcPr>
    </w:tblStylePr>
    <w:tblStylePr w:type="band1Horz">
      <w:tblPr/>
      <w:tcPr>
        <w:tcBorders>
          <w:insideH w:val="nil"/>
          <w:insideV w:val="nil"/>
        </w:tcBorders>
        <w:shd w:val="clear" w:color="auto" w:fill="CEF1FF"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B73C9B"/>
    <w:pPr>
      <w:spacing w:after="0" w:line="240" w:lineRule="auto"/>
    </w:pPr>
    <w:tblPr>
      <w:tblStyleRowBandSize w:val="1"/>
      <w:tblStyleColBandSize w:val="1"/>
      <w:tblBorders>
        <w:top w:val="single" w:sz="8" w:space="0" w:color="7CE1D7" w:themeColor="accent6" w:themeTint="BF"/>
        <w:left w:val="single" w:sz="8" w:space="0" w:color="7CE1D7" w:themeColor="accent6" w:themeTint="BF"/>
        <w:bottom w:val="single" w:sz="8" w:space="0" w:color="7CE1D7" w:themeColor="accent6" w:themeTint="BF"/>
        <w:right w:val="single" w:sz="8" w:space="0" w:color="7CE1D7" w:themeColor="accent6" w:themeTint="BF"/>
        <w:insideH w:val="single" w:sz="8" w:space="0" w:color="7CE1D7" w:themeColor="accent6" w:themeTint="BF"/>
      </w:tblBorders>
    </w:tblPr>
    <w:tblStylePr w:type="firstRow">
      <w:pPr>
        <w:spacing w:before="0" w:after="0" w:line="240" w:lineRule="auto"/>
      </w:pPr>
      <w:rPr>
        <w:b/>
        <w:bCs/>
        <w:color w:val="FFFFFF" w:themeColor="background1"/>
      </w:rPr>
      <w:tblPr/>
      <w:tcPr>
        <w:tcBorders>
          <w:top w:val="single" w:sz="8" w:space="0" w:color="7CE1D7" w:themeColor="accent6" w:themeTint="BF"/>
          <w:left w:val="single" w:sz="8" w:space="0" w:color="7CE1D7" w:themeColor="accent6" w:themeTint="BF"/>
          <w:bottom w:val="single" w:sz="8" w:space="0" w:color="7CE1D7" w:themeColor="accent6" w:themeTint="BF"/>
          <w:right w:val="single" w:sz="8" w:space="0" w:color="7CE1D7" w:themeColor="accent6" w:themeTint="BF"/>
          <w:insideH w:val="nil"/>
          <w:insideV w:val="nil"/>
        </w:tcBorders>
        <w:shd w:val="clear" w:color="auto" w:fill="51D8CA" w:themeFill="accent6"/>
      </w:tcPr>
    </w:tblStylePr>
    <w:tblStylePr w:type="lastRow">
      <w:pPr>
        <w:spacing w:before="0" w:after="0" w:line="240" w:lineRule="auto"/>
      </w:pPr>
      <w:rPr>
        <w:b/>
        <w:bCs/>
      </w:rPr>
      <w:tblPr/>
      <w:tcPr>
        <w:tcBorders>
          <w:top w:val="double" w:sz="6" w:space="0" w:color="7CE1D7" w:themeColor="accent6" w:themeTint="BF"/>
          <w:left w:val="single" w:sz="8" w:space="0" w:color="7CE1D7" w:themeColor="accent6" w:themeTint="BF"/>
          <w:bottom w:val="single" w:sz="8" w:space="0" w:color="7CE1D7" w:themeColor="accent6" w:themeTint="BF"/>
          <w:right w:val="single" w:sz="8" w:space="0" w:color="7CE1D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5F1" w:themeFill="accent6" w:themeFillTint="3F"/>
      </w:tcPr>
    </w:tblStylePr>
    <w:tblStylePr w:type="band1Horz">
      <w:tblPr/>
      <w:tcPr>
        <w:tcBorders>
          <w:insideH w:val="nil"/>
          <w:insideV w:val="nil"/>
        </w:tcBorders>
        <w:shd w:val="clear" w:color="auto" w:fill="D3F5F1"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65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265B" w:themeFill="accent2"/>
      </w:tcPr>
    </w:tblStylePr>
    <w:tblStylePr w:type="lastCol">
      <w:rPr>
        <w:b/>
        <w:bCs/>
        <w:color w:val="FFFFFF" w:themeColor="background1"/>
      </w:rPr>
      <w:tblPr/>
      <w:tcPr>
        <w:tcBorders>
          <w:left w:val="nil"/>
          <w:right w:val="nil"/>
          <w:insideH w:val="nil"/>
          <w:insideV w:val="nil"/>
        </w:tcBorders>
        <w:shd w:val="clear" w:color="auto" w:fill="FF265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C7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BC7FF" w:themeFill="accent5"/>
      </w:tcPr>
    </w:tblStylePr>
    <w:tblStylePr w:type="lastCol">
      <w:rPr>
        <w:b/>
        <w:bCs/>
        <w:color w:val="FFFFFF" w:themeColor="background1"/>
      </w:rPr>
      <w:tblPr/>
      <w:tcPr>
        <w:tcBorders>
          <w:left w:val="nil"/>
          <w:right w:val="nil"/>
          <w:insideH w:val="nil"/>
          <w:insideV w:val="nil"/>
        </w:tcBorders>
        <w:shd w:val="clear" w:color="auto" w:fill="3BC7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B73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D8C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D8CA" w:themeFill="accent6"/>
      </w:tcPr>
    </w:tblStylePr>
    <w:tblStylePr w:type="lastCol">
      <w:rPr>
        <w:b/>
        <w:bCs/>
        <w:color w:val="FFFFFF" w:themeColor="background1"/>
      </w:rPr>
      <w:tblPr/>
      <w:tcPr>
        <w:tcBorders>
          <w:left w:val="nil"/>
          <w:right w:val="nil"/>
          <w:insideH w:val="nil"/>
          <w:insideV w:val="nil"/>
        </w:tcBorders>
        <w:shd w:val="clear" w:color="auto" w:fill="51D8C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rkliste">
    <w:name w:val="Dark List"/>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Mrklisteuthevingsfarge2">
    <w:name w:val="Dark List Accent 2"/>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FF265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00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B003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B0035" w:themeFill="accent2" w:themeFillShade="BF"/>
      </w:tcPr>
    </w:tblStylePr>
    <w:tblStylePr w:type="band1Vert">
      <w:tblPr/>
      <w:tcPr>
        <w:tcBorders>
          <w:top w:val="nil"/>
          <w:left w:val="nil"/>
          <w:bottom w:val="nil"/>
          <w:right w:val="nil"/>
          <w:insideH w:val="nil"/>
          <w:insideV w:val="nil"/>
        </w:tcBorders>
        <w:shd w:val="clear" w:color="auto" w:fill="DB0035" w:themeFill="accent2" w:themeFillShade="BF"/>
      </w:tcPr>
    </w:tblStylePr>
    <w:tblStylePr w:type="band1Horz">
      <w:tblPr/>
      <w:tcPr>
        <w:tcBorders>
          <w:top w:val="nil"/>
          <w:left w:val="nil"/>
          <w:bottom w:val="nil"/>
          <w:right w:val="nil"/>
          <w:insideH w:val="nil"/>
          <w:insideV w:val="nil"/>
        </w:tcBorders>
        <w:shd w:val="clear" w:color="auto" w:fill="DB0035" w:themeFill="accent2" w:themeFillShade="BF"/>
      </w:tcPr>
    </w:tblStylePr>
  </w:style>
  <w:style w:type="table" w:styleId="Mrklisteuthevingsfarge3">
    <w:name w:val="Dark List Accent 3"/>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3BC7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F9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A7E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A7EB" w:themeFill="accent5" w:themeFillShade="BF"/>
      </w:tcPr>
    </w:tblStylePr>
    <w:tblStylePr w:type="band1Vert">
      <w:tblPr/>
      <w:tcPr>
        <w:tcBorders>
          <w:top w:val="nil"/>
          <w:left w:val="nil"/>
          <w:bottom w:val="nil"/>
          <w:right w:val="nil"/>
          <w:insideH w:val="nil"/>
          <w:insideV w:val="nil"/>
        </w:tcBorders>
        <w:shd w:val="clear" w:color="auto" w:fill="00A7EB" w:themeFill="accent5" w:themeFillShade="BF"/>
      </w:tcPr>
    </w:tblStylePr>
    <w:tblStylePr w:type="band1Horz">
      <w:tblPr/>
      <w:tcPr>
        <w:tcBorders>
          <w:top w:val="nil"/>
          <w:left w:val="nil"/>
          <w:bottom w:val="nil"/>
          <w:right w:val="nil"/>
          <w:insideH w:val="nil"/>
          <w:insideV w:val="nil"/>
        </w:tcBorders>
        <w:shd w:val="clear" w:color="auto" w:fill="00A7EB" w:themeFill="accent5" w:themeFillShade="BF"/>
      </w:tcPr>
    </w:tblStylePr>
  </w:style>
  <w:style w:type="table" w:styleId="Mrklisteuthevingsfarge6">
    <w:name w:val="Dark List Accent 6"/>
    <w:basedOn w:val="Vanligtabell"/>
    <w:uiPriority w:val="70"/>
    <w:semiHidden/>
    <w:unhideWhenUsed/>
    <w:rsid w:val="00B73C9B"/>
    <w:pPr>
      <w:spacing w:after="0" w:line="240" w:lineRule="auto"/>
    </w:pPr>
    <w:rPr>
      <w:color w:val="FFFFFF" w:themeColor="background1"/>
    </w:rPr>
    <w:tblPr>
      <w:tblStyleRowBandSize w:val="1"/>
      <w:tblStyleColBandSize w:val="1"/>
    </w:tblPr>
    <w:tcPr>
      <w:shd w:val="clear" w:color="auto" w:fill="51D8C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6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8B5A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8B5A6" w:themeFill="accent6" w:themeFillShade="BF"/>
      </w:tcPr>
    </w:tblStylePr>
    <w:tblStylePr w:type="band1Vert">
      <w:tblPr/>
      <w:tcPr>
        <w:tcBorders>
          <w:top w:val="nil"/>
          <w:left w:val="nil"/>
          <w:bottom w:val="nil"/>
          <w:right w:val="nil"/>
          <w:insideH w:val="nil"/>
          <w:insideV w:val="nil"/>
        </w:tcBorders>
        <w:shd w:val="clear" w:color="auto" w:fill="28B5A6" w:themeFill="accent6" w:themeFillShade="BF"/>
      </w:tcPr>
    </w:tblStylePr>
    <w:tblStylePr w:type="band1Horz">
      <w:tblPr/>
      <w:tcPr>
        <w:tcBorders>
          <w:top w:val="nil"/>
          <w:left w:val="nil"/>
          <w:bottom w:val="nil"/>
          <w:right w:val="nil"/>
          <w:insideH w:val="nil"/>
          <w:insideV w:val="nil"/>
        </w:tcBorders>
        <w:shd w:val="clear" w:color="auto" w:fill="28B5A6" w:themeFill="accent6" w:themeFillShade="BF"/>
      </w:tcPr>
    </w:tblStylePr>
  </w:style>
  <w:style w:type="paragraph" w:styleId="NormalWeb">
    <w:name w:val="Normal (Web)"/>
    <w:basedOn w:val="Normal"/>
    <w:uiPriority w:val="99"/>
    <w:rsid w:val="00B73C9B"/>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rsid w:val="00B73C9B"/>
    <w:pPr>
      <w:spacing w:after="0" w:line="240" w:lineRule="auto"/>
    </w:pPr>
  </w:style>
  <w:style w:type="character" w:customStyle="1" w:styleId="NotatoverskriftTegn">
    <w:name w:val="Notatoverskrift Tegn"/>
    <w:basedOn w:val="Standardskriftforavsnitt"/>
    <w:link w:val="Notatoverskrift"/>
    <w:uiPriority w:val="99"/>
    <w:semiHidden/>
    <w:rsid w:val="00B73C9B"/>
    <w:rPr>
      <w:sz w:val="20"/>
    </w:rPr>
  </w:style>
  <w:style w:type="paragraph" w:styleId="Nummerertliste">
    <w:name w:val="List Number"/>
    <w:basedOn w:val="Normal"/>
    <w:uiPriority w:val="99"/>
    <w:semiHidden/>
    <w:rsid w:val="00B73C9B"/>
    <w:pPr>
      <w:numPr>
        <w:numId w:val="4"/>
      </w:numPr>
      <w:contextualSpacing/>
    </w:pPr>
  </w:style>
  <w:style w:type="paragraph" w:styleId="Nummerertliste2">
    <w:name w:val="List Number 2"/>
    <w:basedOn w:val="Normal"/>
    <w:uiPriority w:val="99"/>
    <w:semiHidden/>
    <w:rsid w:val="00B73C9B"/>
    <w:pPr>
      <w:numPr>
        <w:numId w:val="5"/>
      </w:numPr>
      <w:contextualSpacing/>
    </w:pPr>
  </w:style>
  <w:style w:type="paragraph" w:styleId="Nummerertliste3">
    <w:name w:val="List Number 3"/>
    <w:basedOn w:val="Normal"/>
    <w:uiPriority w:val="99"/>
    <w:semiHidden/>
    <w:rsid w:val="00B73C9B"/>
    <w:pPr>
      <w:numPr>
        <w:numId w:val="6"/>
      </w:numPr>
      <w:contextualSpacing/>
    </w:pPr>
  </w:style>
  <w:style w:type="paragraph" w:styleId="Nummerertliste4">
    <w:name w:val="List Number 4"/>
    <w:basedOn w:val="Normal"/>
    <w:uiPriority w:val="99"/>
    <w:semiHidden/>
    <w:rsid w:val="00B73C9B"/>
    <w:pPr>
      <w:numPr>
        <w:numId w:val="7"/>
      </w:numPr>
      <w:contextualSpacing/>
    </w:pPr>
  </w:style>
  <w:style w:type="paragraph" w:styleId="Nummerertliste5">
    <w:name w:val="List Number 5"/>
    <w:basedOn w:val="Normal"/>
    <w:uiPriority w:val="99"/>
    <w:semiHidden/>
    <w:rsid w:val="00B73C9B"/>
    <w:pPr>
      <w:numPr>
        <w:numId w:val="8"/>
      </w:numPr>
      <w:contextualSpacing/>
    </w:pPr>
  </w:style>
  <w:style w:type="character" w:styleId="Omtale">
    <w:name w:val="Mention"/>
    <w:basedOn w:val="Standardskriftforavsnitt"/>
    <w:uiPriority w:val="99"/>
    <w:semiHidden/>
    <w:rsid w:val="00B73C9B"/>
    <w:rPr>
      <w:color w:val="2B579A"/>
      <w:shd w:val="clear" w:color="auto" w:fill="E1DFDD"/>
    </w:rPr>
  </w:style>
  <w:style w:type="paragraph" w:styleId="Overskriftforinnholdsfortegnelse">
    <w:name w:val="TOC Heading"/>
    <w:basedOn w:val="Overskrift1"/>
    <w:next w:val="Normal"/>
    <w:uiPriority w:val="39"/>
    <w:qFormat/>
    <w:rsid w:val="00F2353D"/>
    <w:pPr>
      <w:numPr>
        <w:numId w:val="0"/>
      </w:numPr>
      <w:spacing w:before="240"/>
      <w:outlineLvl w:val="9"/>
    </w:pPr>
    <w:rPr>
      <w:color w:val="332683"/>
    </w:rPr>
  </w:style>
  <w:style w:type="paragraph" w:styleId="Punktliste2">
    <w:name w:val="List Bullet 2"/>
    <w:basedOn w:val="Normal"/>
    <w:uiPriority w:val="99"/>
    <w:rsid w:val="002655B9"/>
    <w:pPr>
      <w:numPr>
        <w:ilvl w:val="1"/>
        <w:numId w:val="11"/>
      </w:numPr>
      <w:spacing w:after="0" w:line="300" w:lineRule="atLeast"/>
      <w:contextualSpacing/>
    </w:pPr>
  </w:style>
  <w:style w:type="paragraph" w:styleId="Punktliste3">
    <w:name w:val="List Bullet 3"/>
    <w:basedOn w:val="Normal"/>
    <w:uiPriority w:val="99"/>
    <w:rsid w:val="002A0028"/>
    <w:pPr>
      <w:numPr>
        <w:ilvl w:val="2"/>
        <w:numId w:val="11"/>
      </w:numPr>
      <w:spacing w:after="0" w:line="300" w:lineRule="atLeast"/>
      <w:contextualSpacing/>
    </w:pPr>
  </w:style>
  <w:style w:type="paragraph" w:styleId="Punktliste4">
    <w:name w:val="List Bullet 4"/>
    <w:basedOn w:val="Normal"/>
    <w:uiPriority w:val="99"/>
    <w:semiHidden/>
    <w:rsid w:val="00B73C9B"/>
    <w:pPr>
      <w:numPr>
        <w:numId w:val="9"/>
      </w:numPr>
      <w:contextualSpacing/>
    </w:pPr>
  </w:style>
  <w:style w:type="paragraph" w:styleId="Punktliste5">
    <w:name w:val="List Bullet 5"/>
    <w:basedOn w:val="Normal"/>
    <w:uiPriority w:val="99"/>
    <w:semiHidden/>
    <w:rsid w:val="00B73C9B"/>
    <w:pPr>
      <w:numPr>
        <w:numId w:val="10"/>
      </w:numPr>
      <w:contextualSpacing/>
    </w:pPr>
  </w:style>
  <w:style w:type="paragraph" w:styleId="Rentekst">
    <w:name w:val="Plain Text"/>
    <w:basedOn w:val="Normal"/>
    <w:link w:val="RentekstTegn"/>
    <w:uiPriority w:val="99"/>
    <w:semiHidden/>
    <w:rsid w:val="00B73C9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73C9B"/>
    <w:rPr>
      <w:rFonts w:ascii="Consolas" w:hAnsi="Consolas"/>
      <w:sz w:val="21"/>
      <w:szCs w:val="21"/>
    </w:rPr>
  </w:style>
  <w:style w:type="table" w:styleId="Rutenettabell1lys">
    <w:name w:val="Grid Table 1 Light"/>
    <w:basedOn w:val="Vanligtabell"/>
    <w:uiPriority w:val="46"/>
    <w:rsid w:val="00B73C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B73C9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B73C9B"/>
    <w:pPr>
      <w:spacing w:after="0" w:line="240" w:lineRule="auto"/>
    </w:pPr>
    <w:tblPr>
      <w:tblStyleRowBandSize w:val="1"/>
      <w:tblStyleColBandSize w:val="1"/>
      <w:tblBorders>
        <w:top w:val="single" w:sz="4" w:space="0" w:color="FFA8BD" w:themeColor="accent2" w:themeTint="66"/>
        <w:left w:val="single" w:sz="4" w:space="0" w:color="FFA8BD" w:themeColor="accent2" w:themeTint="66"/>
        <w:bottom w:val="single" w:sz="4" w:space="0" w:color="FFA8BD" w:themeColor="accent2" w:themeTint="66"/>
        <w:right w:val="single" w:sz="4" w:space="0" w:color="FFA8BD" w:themeColor="accent2" w:themeTint="66"/>
        <w:insideH w:val="single" w:sz="4" w:space="0" w:color="FFA8BD" w:themeColor="accent2" w:themeTint="66"/>
        <w:insideV w:val="single" w:sz="4" w:space="0" w:color="FFA8BD" w:themeColor="accent2" w:themeTint="66"/>
      </w:tblBorders>
    </w:tblPr>
    <w:tblStylePr w:type="firstRow">
      <w:rPr>
        <w:b/>
        <w:bCs/>
      </w:rPr>
      <w:tblPr/>
      <w:tcPr>
        <w:tcBorders>
          <w:bottom w:val="single" w:sz="12" w:space="0" w:color="FF7C9C" w:themeColor="accent2" w:themeTint="99"/>
        </w:tcBorders>
      </w:tcPr>
    </w:tblStylePr>
    <w:tblStylePr w:type="lastRow">
      <w:rPr>
        <w:b/>
        <w:bCs/>
      </w:rPr>
      <w:tblPr/>
      <w:tcPr>
        <w:tcBorders>
          <w:top w:val="double" w:sz="2" w:space="0" w:color="FF7C9C"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B73C9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B73C9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B73C9B"/>
    <w:pPr>
      <w:spacing w:after="0" w:line="240" w:lineRule="auto"/>
    </w:pPr>
    <w:tblPr>
      <w:tblStyleRowBandSize w:val="1"/>
      <w:tblStyleColBandSize w:val="1"/>
      <w:tblBorders>
        <w:top w:val="single" w:sz="4" w:space="0" w:color="B0E8FF" w:themeColor="accent5" w:themeTint="66"/>
        <w:left w:val="single" w:sz="4" w:space="0" w:color="B0E8FF" w:themeColor="accent5" w:themeTint="66"/>
        <w:bottom w:val="single" w:sz="4" w:space="0" w:color="B0E8FF" w:themeColor="accent5" w:themeTint="66"/>
        <w:right w:val="single" w:sz="4" w:space="0" w:color="B0E8FF" w:themeColor="accent5" w:themeTint="66"/>
        <w:insideH w:val="single" w:sz="4" w:space="0" w:color="B0E8FF" w:themeColor="accent5" w:themeTint="66"/>
        <w:insideV w:val="single" w:sz="4" w:space="0" w:color="B0E8FF" w:themeColor="accent5" w:themeTint="66"/>
      </w:tblBorders>
    </w:tblPr>
    <w:tblStylePr w:type="firstRow">
      <w:rPr>
        <w:b/>
        <w:bCs/>
      </w:rPr>
      <w:tblPr/>
      <w:tcPr>
        <w:tcBorders>
          <w:bottom w:val="single" w:sz="12" w:space="0" w:color="89DDFF" w:themeColor="accent5" w:themeTint="99"/>
        </w:tcBorders>
      </w:tcPr>
    </w:tblStylePr>
    <w:tblStylePr w:type="lastRow">
      <w:rPr>
        <w:b/>
        <w:bCs/>
      </w:rPr>
      <w:tblPr/>
      <w:tcPr>
        <w:tcBorders>
          <w:top w:val="double" w:sz="2" w:space="0" w:color="89DDFF"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B73C9B"/>
    <w:pPr>
      <w:spacing w:after="0" w:line="240" w:lineRule="auto"/>
    </w:pPr>
    <w:tblPr>
      <w:tblStyleRowBandSize w:val="1"/>
      <w:tblStyleColBandSize w:val="1"/>
      <w:tblBorders>
        <w:top w:val="single" w:sz="4" w:space="0" w:color="B9EFE9" w:themeColor="accent6" w:themeTint="66"/>
        <w:left w:val="single" w:sz="4" w:space="0" w:color="B9EFE9" w:themeColor="accent6" w:themeTint="66"/>
        <w:bottom w:val="single" w:sz="4" w:space="0" w:color="B9EFE9" w:themeColor="accent6" w:themeTint="66"/>
        <w:right w:val="single" w:sz="4" w:space="0" w:color="B9EFE9" w:themeColor="accent6" w:themeTint="66"/>
        <w:insideH w:val="single" w:sz="4" w:space="0" w:color="B9EFE9" w:themeColor="accent6" w:themeTint="66"/>
        <w:insideV w:val="single" w:sz="4" w:space="0" w:color="B9EFE9" w:themeColor="accent6" w:themeTint="66"/>
      </w:tblBorders>
    </w:tblPr>
    <w:tblStylePr w:type="firstRow">
      <w:rPr>
        <w:b/>
        <w:bCs/>
      </w:rPr>
      <w:tblPr/>
      <w:tcPr>
        <w:tcBorders>
          <w:bottom w:val="single" w:sz="12" w:space="0" w:color="96E7DF" w:themeColor="accent6" w:themeTint="99"/>
        </w:tcBorders>
      </w:tcPr>
    </w:tblStylePr>
    <w:tblStylePr w:type="lastRow">
      <w:rPr>
        <w:b/>
        <w:bCs/>
      </w:rPr>
      <w:tblPr/>
      <w:tcPr>
        <w:tcBorders>
          <w:top w:val="double" w:sz="2" w:space="0" w:color="96E7D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B73C9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B73C9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2uthevingsfarge2">
    <w:name w:val="Grid Table 2 Accent 2"/>
    <w:basedOn w:val="Vanligtabell"/>
    <w:uiPriority w:val="47"/>
    <w:rsid w:val="00B73C9B"/>
    <w:pPr>
      <w:spacing w:after="0" w:line="240" w:lineRule="auto"/>
    </w:pPr>
    <w:tblPr>
      <w:tblStyleRowBandSize w:val="1"/>
      <w:tblStyleColBandSize w:val="1"/>
      <w:tblBorders>
        <w:top w:val="single" w:sz="2" w:space="0" w:color="FF7C9C" w:themeColor="accent2" w:themeTint="99"/>
        <w:bottom w:val="single" w:sz="2" w:space="0" w:color="FF7C9C" w:themeColor="accent2" w:themeTint="99"/>
        <w:insideH w:val="single" w:sz="2" w:space="0" w:color="FF7C9C" w:themeColor="accent2" w:themeTint="99"/>
        <w:insideV w:val="single" w:sz="2" w:space="0" w:color="FF7C9C" w:themeColor="accent2" w:themeTint="99"/>
      </w:tblBorders>
    </w:tblPr>
    <w:tblStylePr w:type="firstRow">
      <w:rPr>
        <w:b/>
        <w:bCs/>
      </w:rPr>
      <w:tblPr/>
      <w:tcPr>
        <w:tcBorders>
          <w:top w:val="nil"/>
          <w:bottom w:val="single" w:sz="12" w:space="0" w:color="FF7C9C" w:themeColor="accent2" w:themeTint="99"/>
          <w:insideH w:val="nil"/>
          <w:insideV w:val="nil"/>
        </w:tcBorders>
        <w:shd w:val="clear" w:color="auto" w:fill="FFFFFF" w:themeFill="background1"/>
      </w:tcPr>
    </w:tblStylePr>
    <w:tblStylePr w:type="lastRow">
      <w:rPr>
        <w:b/>
        <w:bCs/>
      </w:rPr>
      <w:tblPr/>
      <w:tcPr>
        <w:tcBorders>
          <w:top w:val="double" w:sz="2" w:space="0" w:color="FF7C9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Rutenettabell2uthevingsfarge3">
    <w:name w:val="Grid Table 2 Accent 3"/>
    <w:basedOn w:val="Vanligtabell"/>
    <w:uiPriority w:val="47"/>
    <w:rsid w:val="00B73C9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B73C9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B73C9B"/>
    <w:pPr>
      <w:spacing w:after="0" w:line="240" w:lineRule="auto"/>
    </w:pPr>
    <w:tblPr>
      <w:tblStyleRowBandSize w:val="1"/>
      <w:tblStyleColBandSize w:val="1"/>
      <w:tblBorders>
        <w:top w:val="single" w:sz="2" w:space="0" w:color="89DDFF" w:themeColor="accent5" w:themeTint="99"/>
        <w:bottom w:val="single" w:sz="2" w:space="0" w:color="89DDFF" w:themeColor="accent5" w:themeTint="99"/>
        <w:insideH w:val="single" w:sz="2" w:space="0" w:color="89DDFF" w:themeColor="accent5" w:themeTint="99"/>
        <w:insideV w:val="single" w:sz="2" w:space="0" w:color="89DDFF" w:themeColor="accent5" w:themeTint="99"/>
      </w:tblBorders>
    </w:tblPr>
    <w:tblStylePr w:type="firstRow">
      <w:rPr>
        <w:b/>
        <w:bCs/>
      </w:rPr>
      <w:tblPr/>
      <w:tcPr>
        <w:tcBorders>
          <w:top w:val="nil"/>
          <w:bottom w:val="single" w:sz="12" w:space="0" w:color="89DDFF" w:themeColor="accent5" w:themeTint="99"/>
          <w:insideH w:val="nil"/>
          <w:insideV w:val="nil"/>
        </w:tcBorders>
        <w:shd w:val="clear" w:color="auto" w:fill="FFFFFF" w:themeFill="background1"/>
      </w:tcPr>
    </w:tblStylePr>
    <w:tblStylePr w:type="lastRow">
      <w:rPr>
        <w:b/>
        <w:bCs/>
      </w:rPr>
      <w:tblPr/>
      <w:tcPr>
        <w:tcBorders>
          <w:top w:val="double" w:sz="2" w:space="0" w:color="89DD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Rutenettabell2uthevingsfarge6">
    <w:name w:val="Grid Table 2 Accent 6"/>
    <w:basedOn w:val="Vanligtabell"/>
    <w:uiPriority w:val="47"/>
    <w:rsid w:val="00B73C9B"/>
    <w:pPr>
      <w:spacing w:after="0" w:line="240" w:lineRule="auto"/>
    </w:pPr>
    <w:tblPr>
      <w:tblStyleRowBandSize w:val="1"/>
      <w:tblStyleColBandSize w:val="1"/>
      <w:tblBorders>
        <w:top w:val="single" w:sz="2" w:space="0" w:color="96E7DF" w:themeColor="accent6" w:themeTint="99"/>
        <w:bottom w:val="single" w:sz="2" w:space="0" w:color="96E7DF" w:themeColor="accent6" w:themeTint="99"/>
        <w:insideH w:val="single" w:sz="2" w:space="0" w:color="96E7DF" w:themeColor="accent6" w:themeTint="99"/>
        <w:insideV w:val="single" w:sz="2" w:space="0" w:color="96E7DF" w:themeColor="accent6" w:themeTint="99"/>
      </w:tblBorders>
    </w:tblPr>
    <w:tblStylePr w:type="firstRow">
      <w:rPr>
        <w:b/>
        <w:bCs/>
      </w:rPr>
      <w:tblPr/>
      <w:tcPr>
        <w:tcBorders>
          <w:top w:val="nil"/>
          <w:bottom w:val="single" w:sz="12" w:space="0" w:color="96E7DF" w:themeColor="accent6" w:themeTint="99"/>
          <w:insideH w:val="nil"/>
          <w:insideV w:val="nil"/>
        </w:tcBorders>
        <w:shd w:val="clear" w:color="auto" w:fill="FFFFFF" w:themeFill="background1"/>
      </w:tcPr>
    </w:tblStylePr>
    <w:tblStylePr w:type="lastRow">
      <w:rPr>
        <w:b/>
        <w:bCs/>
      </w:rPr>
      <w:tblPr/>
      <w:tcPr>
        <w:tcBorders>
          <w:top w:val="double" w:sz="2" w:space="0" w:color="96E7D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Rutenettabell3">
    <w:name w:val="Grid Table 3"/>
    <w:basedOn w:val="Vanligtabell"/>
    <w:uiPriority w:val="48"/>
    <w:rsid w:val="00B73C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B73C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utenettabell3uthevingsfarge2">
    <w:name w:val="Grid Table 3 Accent 2"/>
    <w:basedOn w:val="Vanligtabell"/>
    <w:uiPriority w:val="48"/>
    <w:rsid w:val="00B73C9B"/>
    <w:pPr>
      <w:spacing w:after="0" w:line="240" w:lineRule="auto"/>
    </w:pPr>
    <w:tblPr>
      <w:tblStyleRowBandSize w:val="1"/>
      <w:tblStyleColBandSize w:val="1"/>
      <w:tblBorders>
        <w:top w:val="single" w:sz="4" w:space="0" w:color="FF7C9C" w:themeColor="accent2" w:themeTint="99"/>
        <w:left w:val="single" w:sz="4" w:space="0" w:color="FF7C9C" w:themeColor="accent2" w:themeTint="99"/>
        <w:bottom w:val="single" w:sz="4" w:space="0" w:color="FF7C9C" w:themeColor="accent2" w:themeTint="99"/>
        <w:right w:val="single" w:sz="4" w:space="0" w:color="FF7C9C" w:themeColor="accent2" w:themeTint="99"/>
        <w:insideH w:val="single" w:sz="4" w:space="0" w:color="FF7C9C" w:themeColor="accent2" w:themeTint="99"/>
        <w:insideV w:val="single" w:sz="4" w:space="0" w:color="FF7C9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3DD" w:themeFill="accent2" w:themeFillTint="33"/>
      </w:tcPr>
    </w:tblStylePr>
    <w:tblStylePr w:type="band1Horz">
      <w:tblPr/>
      <w:tcPr>
        <w:shd w:val="clear" w:color="auto" w:fill="FFD3DD" w:themeFill="accent2" w:themeFillTint="33"/>
      </w:tcPr>
    </w:tblStylePr>
    <w:tblStylePr w:type="neCell">
      <w:tblPr/>
      <w:tcPr>
        <w:tcBorders>
          <w:bottom w:val="single" w:sz="4" w:space="0" w:color="FF7C9C" w:themeColor="accent2" w:themeTint="99"/>
        </w:tcBorders>
      </w:tcPr>
    </w:tblStylePr>
    <w:tblStylePr w:type="nwCell">
      <w:tblPr/>
      <w:tcPr>
        <w:tcBorders>
          <w:bottom w:val="single" w:sz="4" w:space="0" w:color="FF7C9C" w:themeColor="accent2" w:themeTint="99"/>
        </w:tcBorders>
      </w:tcPr>
    </w:tblStylePr>
    <w:tblStylePr w:type="seCell">
      <w:tblPr/>
      <w:tcPr>
        <w:tcBorders>
          <w:top w:val="single" w:sz="4" w:space="0" w:color="FF7C9C" w:themeColor="accent2" w:themeTint="99"/>
        </w:tcBorders>
      </w:tcPr>
    </w:tblStylePr>
    <w:tblStylePr w:type="swCell">
      <w:tblPr/>
      <w:tcPr>
        <w:tcBorders>
          <w:top w:val="single" w:sz="4" w:space="0" w:color="FF7C9C" w:themeColor="accent2" w:themeTint="99"/>
        </w:tcBorders>
      </w:tcPr>
    </w:tblStylePr>
  </w:style>
  <w:style w:type="table" w:styleId="Rutenettabell3uthevingsfarge3">
    <w:name w:val="Grid Table 3 Accent 3"/>
    <w:basedOn w:val="Vanligtabell"/>
    <w:uiPriority w:val="48"/>
    <w:rsid w:val="00B73C9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B73C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B73C9B"/>
    <w:pPr>
      <w:spacing w:after="0" w:line="240" w:lineRule="auto"/>
    </w:pPr>
    <w:tblPr>
      <w:tblStyleRowBandSize w:val="1"/>
      <w:tblStyleColBandSize w:val="1"/>
      <w:tblBorders>
        <w:top w:val="single" w:sz="4" w:space="0" w:color="89DDFF" w:themeColor="accent5" w:themeTint="99"/>
        <w:left w:val="single" w:sz="4" w:space="0" w:color="89DDFF" w:themeColor="accent5" w:themeTint="99"/>
        <w:bottom w:val="single" w:sz="4" w:space="0" w:color="89DDFF" w:themeColor="accent5" w:themeTint="99"/>
        <w:right w:val="single" w:sz="4" w:space="0" w:color="89DDFF" w:themeColor="accent5" w:themeTint="99"/>
        <w:insideH w:val="single" w:sz="4" w:space="0" w:color="89DDFF" w:themeColor="accent5" w:themeTint="99"/>
        <w:insideV w:val="single" w:sz="4" w:space="0" w:color="89DD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3FF" w:themeFill="accent5" w:themeFillTint="33"/>
      </w:tcPr>
    </w:tblStylePr>
    <w:tblStylePr w:type="band1Horz">
      <w:tblPr/>
      <w:tcPr>
        <w:shd w:val="clear" w:color="auto" w:fill="D7F3FF" w:themeFill="accent5" w:themeFillTint="33"/>
      </w:tcPr>
    </w:tblStylePr>
    <w:tblStylePr w:type="neCell">
      <w:tblPr/>
      <w:tcPr>
        <w:tcBorders>
          <w:bottom w:val="single" w:sz="4" w:space="0" w:color="89DDFF" w:themeColor="accent5" w:themeTint="99"/>
        </w:tcBorders>
      </w:tcPr>
    </w:tblStylePr>
    <w:tblStylePr w:type="nwCell">
      <w:tblPr/>
      <w:tcPr>
        <w:tcBorders>
          <w:bottom w:val="single" w:sz="4" w:space="0" w:color="89DDFF" w:themeColor="accent5" w:themeTint="99"/>
        </w:tcBorders>
      </w:tcPr>
    </w:tblStylePr>
    <w:tblStylePr w:type="seCell">
      <w:tblPr/>
      <w:tcPr>
        <w:tcBorders>
          <w:top w:val="single" w:sz="4" w:space="0" w:color="89DDFF" w:themeColor="accent5" w:themeTint="99"/>
        </w:tcBorders>
      </w:tcPr>
    </w:tblStylePr>
    <w:tblStylePr w:type="swCell">
      <w:tblPr/>
      <w:tcPr>
        <w:tcBorders>
          <w:top w:val="single" w:sz="4" w:space="0" w:color="89DDFF" w:themeColor="accent5" w:themeTint="99"/>
        </w:tcBorders>
      </w:tcPr>
    </w:tblStylePr>
  </w:style>
  <w:style w:type="table" w:styleId="Rutenettabell3uthevingsfarge6">
    <w:name w:val="Grid Table 3 Accent 6"/>
    <w:basedOn w:val="Vanligtabell"/>
    <w:uiPriority w:val="48"/>
    <w:rsid w:val="00B73C9B"/>
    <w:pPr>
      <w:spacing w:after="0" w:line="240" w:lineRule="auto"/>
    </w:pPr>
    <w:tblPr>
      <w:tblStyleRowBandSize w:val="1"/>
      <w:tblStyleColBandSize w:val="1"/>
      <w:tblBorders>
        <w:top w:val="single" w:sz="4" w:space="0" w:color="96E7DF" w:themeColor="accent6" w:themeTint="99"/>
        <w:left w:val="single" w:sz="4" w:space="0" w:color="96E7DF" w:themeColor="accent6" w:themeTint="99"/>
        <w:bottom w:val="single" w:sz="4" w:space="0" w:color="96E7DF" w:themeColor="accent6" w:themeTint="99"/>
        <w:right w:val="single" w:sz="4" w:space="0" w:color="96E7DF" w:themeColor="accent6" w:themeTint="99"/>
        <w:insideH w:val="single" w:sz="4" w:space="0" w:color="96E7DF" w:themeColor="accent6" w:themeTint="99"/>
        <w:insideV w:val="single" w:sz="4" w:space="0" w:color="96E7D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7F4" w:themeFill="accent6" w:themeFillTint="33"/>
      </w:tcPr>
    </w:tblStylePr>
    <w:tblStylePr w:type="band1Horz">
      <w:tblPr/>
      <w:tcPr>
        <w:shd w:val="clear" w:color="auto" w:fill="DCF7F4" w:themeFill="accent6" w:themeFillTint="33"/>
      </w:tcPr>
    </w:tblStylePr>
    <w:tblStylePr w:type="neCell">
      <w:tblPr/>
      <w:tcPr>
        <w:tcBorders>
          <w:bottom w:val="single" w:sz="4" w:space="0" w:color="96E7DF" w:themeColor="accent6" w:themeTint="99"/>
        </w:tcBorders>
      </w:tcPr>
    </w:tblStylePr>
    <w:tblStylePr w:type="nwCell">
      <w:tblPr/>
      <w:tcPr>
        <w:tcBorders>
          <w:bottom w:val="single" w:sz="4" w:space="0" w:color="96E7DF" w:themeColor="accent6" w:themeTint="99"/>
        </w:tcBorders>
      </w:tcPr>
    </w:tblStylePr>
    <w:tblStylePr w:type="seCell">
      <w:tblPr/>
      <w:tcPr>
        <w:tcBorders>
          <w:top w:val="single" w:sz="4" w:space="0" w:color="96E7DF" w:themeColor="accent6" w:themeTint="99"/>
        </w:tcBorders>
      </w:tcPr>
    </w:tblStylePr>
    <w:tblStylePr w:type="swCell">
      <w:tblPr/>
      <w:tcPr>
        <w:tcBorders>
          <w:top w:val="single" w:sz="4" w:space="0" w:color="96E7DF" w:themeColor="accent6" w:themeTint="99"/>
        </w:tcBorders>
      </w:tcPr>
    </w:tblStylePr>
  </w:style>
  <w:style w:type="table" w:styleId="Rutenettabell4">
    <w:name w:val="Grid Table 4"/>
    <w:basedOn w:val="Vanligtabell"/>
    <w:uiPriority w:val="49"/>
    <w:rsid w:val="00B73C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B73C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4uthevingsfarge2">
    <w:name w:val="Grid Table 4 Accent 2"/>
    <w:basedOn w:val="Vanligtabell"/>
    <w:uiPriority w:val="49"/>
    <w:rsid w:val="00B73C9B"/>
    <w:pPr>
      <w:spacing w:after="0" w:line="240" w:lineRule="auto"/>
    </w:pPr>
    <w:tblPr>
      <w:tblStyleRowBandSize w:val="1"/>
      <w:tblStyleColBandSize w:val="1"/>
      <w:tblBorders>
        <w:top w:val="single" w:sz="4" w:space="0" w:color="FF7C9C" w:themeColor="accent2" w:themeTint="99"/>
        <w:left w:val="single" w:sz="4" w:space="0" w:color="FF7C9C" w:themeColor="accent2" w:themeTint="99"/>
        <w:bottom w:val="single" w:sz="4" w:space="0" w:color="FF7C9C" w:themeColor="accent2" w:themeTint="99"/>
        <w:right w:val="single" w:sz="4" w:space="0" w:color="FF7C9C" w:themeColor="accent2" w:themeTint="99"/>
        <w:insideH w:val="single" w:sz="4" w:space="0" w:color="FF7C9C" w:themeColor="accent2" w:themeTint="99"/>
        <w:insideV w:val="single" w:sz="4" w:space="0" w:color="FF7C9C" w:themeColor="accent2" w:themeTint="99"/>
      </w:tblBorders>
    </w:tblPr>
    <w:tblStylePr w:type="firstRow">
      <w:rPr>
        <w:b/>
        <w:bCs/>
        <w:color w:val="FFFFFF" w:themeColor="background1"/>
      </w:rPr>
      <w:tblPr/>
      <w:tcPr>
        <w:tcBorders>
          <w:top w:val="single" w:sz="4" w:space="0" w:color="FF265B" w:themeColor="accent2"/>
          <w:left w:val="single" w:sz="4" w:space="0" w:color="FF265B" w:themeColor="accent2"/>
          <w:bottom w:val="single" w:sz="4" w:space="0" w:color="FF265B" w:themeColor="accent2"/>
          <w:right w:val="single" w:sz="4" w:space="0" w:color="FF265B" w:themeColor="accent2"/>
          <w:insideH w:val="nil"/>
          <w:insideV w:val="nil"/>
        </w:tcBorders>
        <w:shd w:val="clear" w:color="auto" w:fill="FF265B" w:themeFill="accent2"/>
      </w:tcPr>
    </w:tblStylePr>
    <w:tblStylePr w:type="lastRow">
      <w:rPr>
        <w:b/>
        <w:bCs/>
      </w:rPr>
      <w:tblPr/>
      <w:tcPr>
        <w:tcBorders>
          <w:top w:val="double" w:sz="4" w:space="0" w:color="FF265B" w:themeColor="accent2"/>
        </w:tcBorders>
      </w:tc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Rutenettabell4uthevingsfarge3">
    <w:name w:val="Grid Table 4 Accent 3"/>
    <w:basedOn w:val="Vanligtabell"/>
    <w:uiPriority w:val="49"/>
    <w:rsid w:val="00B73C9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B73C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B73C9B"/>
    <w:pPr>
      <w:spacing w:after="0" w:line="240" w:lineRule="auto"/>
    </w:pPr>
    <w:tblPr>
      <w:tblStyleRowBandSize w:val="1"/>
      <w:tblStyleColBandSize w:val="1"/>
      <w:tblBorders>
        <w:top w:val="single" w:sz="4" w:space="0" w:color="89DDFF" w:themeColor="accent5" w:themeTint="99"/>
        <w:left w:val="single" w:sz="4" w:space="0" w:color="89DDFF" w:themeColor="accent5" w:themeTint="99"/>
        <w:bottom w:val="single" w:sz="4" w:space="0" w:color="89DDFF" w:themeColor="accent5" w:themeTint="99"/>
        <w:right w:val="single" w:sz="4" w:space="0" w:color="89DDFF" w:themeColor="accent5" w:themeTint="99"/>
        <w:insideH w:val="single" w:sz="4" w:space="0" w:color="89DDFF" w:themeColor="accent5" w:themeTint="99"/>
        <w:insideV w:val="single" w:sz="4" w:space="0" w:color="89DDFF" w:themeColor="accent5" w:themeTint="99"/>
      </w:tblBorders>
    </w:tblPr>
    <w:tblStylePr w:type="firstRow">
      <w:rPr>
        <w:b/>
        <w:bCs/>
        <w:color w:val="FFFFFF" w:themeColor="background1"/>
      </w:rPr>
      <w:tblPr/>
      <w:tcPr>
        <w:tcBorders>
          <w:top w:val="single" w:sz="4" w:space="0" w:color="3BC7FF" w:themeColor="accent5"/>
          <w:left w:val="single" w:sz="4" w:space="0" w:color="3BC7FF" w:themeColor="accent5"/>
          <w:bottom w:val="single" w:sz="4" w:space="0" w:color="3BC7FF" w:themeColor="accent5"/>
          <w:right w:val="single" w:sz="4" w:space="0" w:color="3BC7FF" w:themeColor="accent5"/>
          <w:insideH w:val="nil"/>
          <w:insideV w:val="nil"/>
        </w:tcBorders>
        <w:shd w:val="clear" w:color="auto" w:fill="3BC7FF" w:themeFill="accent5"/>
      </w:tcPr>
    </w:tblStylePr>
    <w:tblStylePr w:type="lastRow">
      <w:rPr>
        <w:b/>
        <w:bCs/>
      </w:rPr>
      <w:tblPr/>
      <w:tcPr>
        <w:tcBorders>
          <w:top w:val="double" w:sz="4" w:space="0" w:color="3BC7FF" w:themeColor="accent5"/>
        </w:tcBorders>
      </w:tc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Rutenettabell4uthevingsfarge6">
    <w:name w:val="Grid Table 4 Accent 6"/>
    <w:basedOn w:val="Vanligtabell"/>
    <w:uiPriority w:val="49"/>
    <w:rsid w:val="00B73C9B"/>
    <w:pPr>
      <w:spacing w:after="0" w:line="240" w:lineRule="auto"/>
    </w:pPr>
    <w:tblPr>
      <w:tblStyleRowBandSize w:val="1"/>
      <w:tblStyleColBandSize w:val="1"/>
      <w:tblBorders>
        <w:top w:val="single" w:sz="4" w:space="0" w:color="96E7DF" w:themeColor="accent6" w:themeTint="99"/>
        <w:left w:val="single" w:sz="4" w:space="0" w:color="96E7DF" w:themeColor="accent6" w:themeTint="99"/>
        <w:bottom w:val="single" w:sz="4" w:space="0" w:color="96E7DF" w:themeColor="accent6" w:themeTint="99"/>
        <w:right w:val="single" w:sz="4" w:space="0" w:color="96E7DF" w:themeColor="accent6" w:themeTint="99"/>
        <w:insideH w:val="single" w:sz="4" w:space="0" w:color="96E7DF" w:themeColor="accent6" w:themeTint="99"/>
        <w:insideV w:val="single" w:sz="4" w:space="0" w:color="96E7DF" w:themeColor="accent6" w:themeTint="99"/>
      </w:tblBorders>
    </w:tblPr>
    <w:tblStylePr w:type="firstRow">
      <w:rPr>
        <w:b/>
        <w:bCs/>
        <w:color w:val="FFFFFF" w:themeColor="background1"/>
      </w:rPr>
      <w:tblPr/>
      <w:tcPr>
        <w:tcBorders>
          <w:top w:val="single" w:sz="4" w:space="0" w:color="51D8CA" w:themeColor="accent6"/>
          <w:left w:val="single" w:sz="4" w:space="0" w:color="51D8CA" w:themeColor="accent6"/>
          <w:bottom w:val="single" w:sz="4" w:space="0" w:color="51D8CA" w:themeColor="accent6"/>
          <w:right w:val="single" w:sz="4" w:space="0" w:color="51D8CA" w:themeColor="accent6"/>
          <w:insideH w:val="nil"/>
          <w:insideV w:val="nil"/>
        </w:tcBorders>
        <w:shd w:val="clear" w:color="auto" w:fill="51D8CA" w:themeFill="accent6"/>
      </w:tcPr>
    </w:tblStylePr>
    <w:tblStylePr w:type="lastRow">
      <w:rPr>
        <w:b/>
        <w:bCs/>
      </w:rPr>
      <w:tblPr/>
      <w:tcPr>
        <w:tcBorders>
          <w:top w:val="double" w:sz="4" w:space="0" w:color="51D8CA" w:themeColor="accent6"/>
        </w:tcBorders>
      </w:tc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Rutenettabell5mrk">
    <w:name w:val="Grid Table 5 Dark"/>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utenettabell5mrkuthevingsfarge2">
    <w:name w:val="Grid Table 5 Dark Accent 2"/>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3D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65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65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65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65B" w:themeFill="accent2"/>
      </w:tcPr>
    </w:tblStylePr>
    <w:tblStylePr w:type="band1Vert">
      <w:tblPr/>
      <w:tcPr>
        <w:shd w:val="clear" w:color="auto" w:fill="FFA8BD" w:themeFill="accent2" w:themeFillTint="66"/>
      </w:tcPr>
    </w:tblStylePr>
    <w:tblStylePr w:type="band1Horz">
      <w:tblPr/>
      <w:tcPr>
        <w:shd w:val="clear" w:color="auto" w:fill="FFA8BD" w:themeFill="accent2" w:themeFillTint="66"/>
      </w:tcPr>
    </w:tblStylePr>
  </w:style>
  <w:style w:type="table" w:styleId="Rutenettabell5mrkuthevingsfarge3">
    <w:name w:val="Grid Table 5 Dark Accent 3"/>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3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C7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C7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C7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C7FF" w:themeFill="accent5"/>
      </w:tcPr>
    </w:tblStylePr>
    <w:tblStylePr w:type="band1Vert">
      <w:tblPr/>
      <w:tcPr>
        <w:shd w:val="clear" w:color="auto" w:fill="B0E8FF" w:themeFill="accent5" w:themeFillTint="66"/>
      </w:tcPr>
    </w:tblStylePr>
    <w:tblStylePr w:type="band1Horz">
      <w:tblPr/>
      <w:tcPr>
        <w:shd w:val="clear" w:color="auto" w:fill="B0E8FF" w:themeFill="accent5" w:themeFillTint="66"/>
      </w:tcPr>
    </w:tblStylePr>
  </w:style>
  <w:style w:type="table" w:styleId="Rutenettabell5mrkuthevingsfarge6">
    <w:name w:val="Grid Table 5 Dark Accent 6"/>
    <w:basedOn w:val="Vanligtabell"/>
    <w:uiPriority w:val="50"/>
    <w:rsid w:val="00B73C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7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D8C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D8C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D8C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D8CA" w:themeFill="accent6"/>
      </w:tcPr>
    </w:tblStylePr>
    <w:tblStylePr w:type="band1Vert">
      <w:tblPr/>
      <w:tcPr>
        <w:shd w:val="clear" w:color="auto" w:fill="B9EFE9" w:themeFill="accent6" w:themeFillTint="66"/>
      </w:tcPr>
    </w:tblStylePr>
    <w:tblStylePr w:type="band1Horz">
      <w:tblPr/>
      <w:tcPr>
        <w:shd w:val="clear" w:color="auto" w:fill="B9EFE9" w:themeFill="accent6" w:themeFillTint="66"/>
      </w:tcPr>
    </w:tblStylePr>
  </w:style>
  <w:style w:type="table" w:styleId="Rutenettabell6fargerik">
    <w:name w:val="Grid Table 6 Colorful"/>
    <w:basedOn w:val="Vanligtabell"/>
    <w:uiPriority w:val="51"/>
    <w:rsid w:val="00B73C9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B73C9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6fargerikuthevingsfarge2">
    <w:name w:val="Grid Table 6 Colorful Accent 2"/>
    <w:basedOn w:val="Vanligtabell"/>
    <w:uiPriority w:val="51"/>
    <w:rsid w:val="00B73C9B"/>
    <w:pPr>
      <w:spacing w:after="0" w:line="240" w:lineRule="auto"/>
    </w:pPr>
    <w:rPr>
      <w:color w:val="DB0035" w:themeColor="accent2" w:themeShade="BF"/>
    </w:rPr>
    <w:tblPr>
      <w:tblStyleRowBandSize w:val="1"/>
      <w:tblStyleColBandSize w:val="1"/>
      <w:tblBorders>
        <w:top w:val="single" w:sz="4" w:space="0" w:color="FF7C9C" w:themeColor="accent2" w:themeTint="99"/>
        <w:left w:val="single" w:sz="4" w:space="0" w:color="FF7C9C" w:themeColor="accent2" w:themeTint="99"/>
        <w:bottom w:val="single" w:sz="4" w:space="0" w:color="FF7C9C" w:themeColor="accent2" w:themeTint="99"/>
        <w:right w:val="single" w:sz="4" w:space="0" w:color="FF7C9C" w:themeColor="accent2" w:themeTint="99"/>
        <w:insideH w:val="single" w:sz="4" w:space="0" w:color="FF7C9C" w:themeColor="accent2" w:themeTint="99"/>
        <w:insideV w:val="single" w:sz="4" w:space="0" w:color="FF7C9C" w:themeColor="accent2" w:themeTint="99"/>
      </w:tblBorders>
    </w:tblPr>
    <w:tblStylePr w:type="firstRow">
      <w:rPr>
        <w:b/>
        <w:bCs/>
      </w:rPr>
      <w:tblPr/>
      <w:tcPr>
        <w:tcBorders>
          <w:bottom w:val="single" w:sz="12" w:space="0" w:color="FF7C9C" w:themeColor="accent2" w:themeTint="99"/>
        </w:tcBorders>
      </w:tcPr>
    </w:tblStylePr>
    <w:tblStylePr w:type="lastRow">
      <w:rPr>
        <w:b/>
        <w:bCs/>
      </w:rPr>
      <w:tblPr/>
      <w:tcPr>
        <w:tcBorders>
          <w:top w:val="double" w:sz="4" w:space="0" w:color="FF7C9C" w:themeColor="accent2" w:themeTint="99"/>
        </w:tcBorders>
      </w:tcPr>
    </w:tblStylePr>
    <w:tblStylePr w:type="firstCol">
      <w:rPr>
        <w:b/>
        <w:bCs/>
      </w:rPr>
    </w:tblStylePr>
    <w:tblStylePr w:type="lastCol">
      <w:rPr>
        <w:b/>
        <w:bCs/>
      </w:rPr>
    </w:tblStylePr>
    <w:tblStylePr w:type="band1Vert">
      <w:tblPr/>
      <w:tcPr>
        <w:shd w:val="clear" w:color="auto" w:fill="FFD3DD" w:themeFill="accent2" w:themeFillTint="33"/>
      </w:tcPr>
    </w:tblStylePr>
    <w:tblStylePr w:type="band1Horz">
      <w:tblPr/>
      <w:tcPr>
        <w:shd w:val="clear" w:color="auto" w:fill="FFD3DD" w:themeFill="accent2" w:themeFillTint="33"/>
      </w:tcPr>
    </w:tblStylePr>
  </w:style>
  <w:style w:type="table" w:styleId="Rutenettabell6fargerikuthevingsfarge3">
    <w:name w:val="Grid Table 6 Colorful Accent 3"/>
    <w:basedOn w:val="Vanligtabell"/>
    <w:uiPriority w:val="51"/>
    <w:rsid w:val="00B73C9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B73C9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B73C9B"/>
    <w:pPr>
      <w:spacing w:after="0" w:line="240" w:lineRule="auto"/>
    </w:pPr>
    <w:rPr>
      <w:color w:val="00A7EB" w:themeColor="accent5" w:themeShade="BF"/>
    </w:rPr>
    <w:tblPr>
      <w:tblStyleRowBandSize w:val="1"/>
      <w:tblStyleColBandSize w:val="1"/>
      <w:tblBorders>
        <w:top w:val="single" w:sz="4" w:space="0" w:color="89DDFF" w:themeColor="accent5" w:themeTint="99"/>
        <w:left w:val="single" w:sz="4" w:space="0" w:color="89DDFF" w:themeColor="accent5" w:themeTint="99"/>
        <w:bottom w:val="single" w:sz="4" w:space="0" w:color="89DDFF" w:themeColor="accent5" w:themeTint="99"/>
        <w:right w:val="single" w:sz="4" w:space="0" w:color="89DDFF" w:themeColor="accent5" w:themeTint="99"/>
        <w:insideH w:val="single" w:sz="4" w:space="0" w:color="89DDFF" w:themeColor="accent5" w:themeTint="99"/>
        <w:insideV w:val="single" w:sz="4" w:space="0" w:color="89DDFF" w:themeColor="accent5" w:themeTint="99"/>
      </w:tblBorders>
    </w:tblPr>
    <w:tblStylePr w:type="firstRow">
      <w:rPr>
        <w:b/>
        <w:bCs/>
      </w:rPr>
      <w:tblPr/>
      <w:tcPr>
        <w:tcBorders>
          <w:bottom w:val="single" w:sz="12" w:space="0" w:color="89DDFF" w:themeColor="accent5" w:themeTint="99"/>
        </w:tcBorders>
      </w:tcPr>
    </w:tblStylePr>
    <w:tblStylePr w:type="lastRow">
      <w:rPr>
        <w:b/>
        <w:bCs/>
      </w:rPr>
      <w:tblPr/>
      <w:tcPr>
        <w:tcBorders>
          <w:top w:val="double" w:sz="4" w:space="0" w:color="89DDFF" w:themeColor="accent5" w:themeTint="99"/>
        </w:tcBorders>
      </w:tcPr>
    </w:tblStylePr>
    <w:tblStylePr w:type="firstCol">
      <w:rPr>
        <w:b/>
        <w:bCs/>
      </w:rPr>
    </w:tblStylePr>
    <w:tblStylePr w:type="lastCol">
      <w:rPr>
        <w:b/>
        <w:bCs/>
      </w:rPr>
    </w:tblStylePr>
    <w:tblStylePr w:type="band1Vert">
      <w:tblPr/>
      <w:tcPr>
        <w:shd w:val="clear" w:color="auto" w:fill="D7F3FF" w:themeFill="accent5" w:themeFillTint="33"/>
      </w:tcPr>
    </w:tblStylePr>
    <w:tblStylePr w:type="band1Horz">
      <w:tblPr/>
      <w:tcPr>
        <w:shd w:val="clear" w:color="auto" w:fill="D7F3FF" w:themeFill="accent5" w:themeFillTint="33"/>
      </w:tcPr>
    </w:tblStylePr>
  </w:style>
  <w:style w:type="table" w:styleId="Rutenettabell6fargerikuthevingsfarge6">
    <w:name w:val="Grid Table 6 Colorful Accent 6"/>
    <w:basedOn w:val="Vanligtabell"/>
    <w:uiPriority w:val="51"/>
    <w:rsid w:val="00B73C9B"/>
    <w:pPr>
      <w:spacing w:after="0" w:line="240" w:lineRule="auto"/>
    </w:pPr>
    <w:rPr>
      <w:color w:val="28B5A6" w:themeColor="accent6" w:themeShade="BF"/>
    </w:rPr>
    <w:tblPr>
      <w:tblStyleRowBandSize w:val="1"/>
      <w:tblStyleColBandSize w:val="1"/>
      <w:tblBorders>
        <w:top w:val="single" w:sz="4" w:space="0" w:color="96E7DF" w:themeColor="accent6" w:themeTint="99"/>
        <w:left w:val="single" w:sz="4" w:space="0" w:color="96E7DF" w:themeColor="accent6" w:themeTint="99"/>
        <w:bottom w:val="single" w:sz="4" w:space="0" w:color="96E7DF" w:themeColor="accent6" w:themeTint="99"/>
        <w:right w:val="single" w:sz="4" w:space="0" w:color="96E7DF" w:themeColor="accent6" w:themeTint="99"/>
        <w:insideH w:val="single" w:sz="4" w:space="0" w:color="96E7DF" w:themeColor="accent6" w:themeTint="99"/>
        <w:insideV w:val="single" w:sz="4" w:space="0" w:color="96E7DF" w:themeColor="accent6" w:themeTint="99"/>
      </w:tblBorders>
    </w:tblPr>
    <w:tblStylePr w:type="firstRow">
      <w:rPr>
        <w:b/>
        <w:bCs/>
      </w:rPr>
      <w:tblPr/>
      <w:tcPr>
        <w:tcBorders>
          <w:bottom w:val="single" w:sz="12" w:space="0" w:color="96E7DF" w:themeColor="accent6" w:themeTint="99"/>
        </w:tcBorders>
      </w:tcPr>
    </w:tblStylePr>
    <w:tblStylePr w:type="lastRow">
      <w:rPr>
        <w:b/>
        <w:bCs/>
      </w:rPr>
      <w:tblPr/>
      <w:tcPr>
        <w:tcBorders>
          <w:top w:val="double" w:sz="4" w:space="0" w:color="96E7DF" w:themeColor="accent6" w:themeTint="99"/>
        </w:tcBorders>
      </w:tcPr>
    </w:tblStylePr>
    <w:tblStylePr w:type="firstCol">
      <w:rPr>
        <w:b/>
        <w:bCs/>
      </w:rPr>
    </w:tblStylePr>
    <w:tblStylePr w:type="lastCol">
      <w:rPr>
        <w:b/>
        <w:bCs/>
      </w:rPr>
    </w:tblStylePr>
    <w:tblStylePr w:type="band1Vert">
      <w:tblPr/>
      <w:tcPr>
        <w:shd w:val="clear" w:color="auto" w:fill="DCF7F4" w:themeFill="accent6" w:themeFillTint="33"/>
      </w:tcPr>
    </w:tblStylePr>
    <w:tblStylePr w:type="band1Horz">
      <w:tblPr/>
      <w:tcPr>
        <w:shd w:val="clear" w:color="auto" w:fill="DCF7F4" w:themeFill="accent6" w:themeFillTint="33"/>
      </w:tcPr>
    </w:tblStylePr>
  </w:style>
  <w:style w:type="table" w:styleId="Rutenettabell7fargerik">
    <w:name w:val="Grid Table 7 Colorful"/>
    <w:basedOn w:val="Vanligtabell"/>
    <w:uiPriority w:val="52"/>
    <w:rsid w:val="00B73C9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B73C9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utenettabell7fargerikuthevingsfarge2">
    <w:name w:val="Grid Table 7 Colorful Accent 2"/>
    <w:basedOn w:val="Vanligtabell"/>
    <w:uiPriority w:val="52"/>
    <w:rsid w:val="00B73C9B"/>
    <w:pPr>
      <w:spacing w:after="0" w:line="240" w:lineRule="auto"/>
    </w:pPr>
    <w:rPr>
      <w:color w:val="DB0035" w:themeColor="accent2" w:themeShade="BF"/>
    </w:rPr>
    <w:tblPr>
      <w:tblStyleRowBandSize w:val="1"/>
      <w:tblStyleColBandSize w:val="1"/>
      <w:tblBorders>
        <w:top w:val="single" w:sz="4" w:space="0" w:color="FF7C9C" w:themeColor="accent2" w:themeTint="99"/>
        <w:left w:val="single" w:sz="4" w:space="0" w:color="FF7C9C" w:themeColor="accent2" w:themeTint="99"/>
        <w:bottom w:val="single" w:sz="4" w:space="0" w:color="FF7C9C" w:themeColor="accent2" w:themeTint="99"/>
        <w:right w:val="single" w:sz="4" w:space="0" w:color="FF7C9C" w:themeColor="accent2" w:themeTint="99"/>
        <w:insideH w:val="single" w:sz="4" w:space="0" w:color="FF7C9C" w:themeColor="accent2" w:themeTint="99"/>
        <w:insideV w:val="single" w:sz="4" w:space="0" w:color="FF7C9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3DD" w:themeFill="accent2" w:themeFillTint="33"/>
      </w:tcPr>
    </w:tblStylePr>
    <w:tblStylePr w:type="band1Horz">
      <w:tblPr/>
      <w:tcPr>
        <w:shd w:val="clear" w:color="auto" w:fill="FFD3DD" w:themeFill="accent2" w:themeFillTint="33"/>
      </w:tcPr>
    </w:tblStylePr>
    <w:tblStylePr w:type="neCell">
      <w:tblPr/>
      <w:tcPr>
        <w:tcBorders>
          <w:bottom w:val="single" w:sz="4" w:space="0" w:color="FF7C9C" w:themeColor="accent2" w:themeTint="99"/>
        </w:tcBorders>
      </w:tcPr>
    </w:tblStylePr>
    <w:tblStylePr w:type="nwCell">
      <w:tblPr/>
      <w:tcPr>
        <w:tcBorders>
          <w:bottom w:val="single" w:sz="4" w:space="0" w:color="FF7C9C" w:themeColor="accent2" w:themeTint="99"/>
        </w:tcBorders>
      </w:tcPr>
    </w:tblStylePr>
    <w:tblStylePr w:type="seCell">
      <w:tblPr/>
      <w:tcPr>
        <w:tcBorders>
          <w:top w:val="single" w:sz="4" w:space="0" w:color="FF7C9C" w:themeColor="accent2" w:themeTint="99"/>
        </w:tcBorders>
      </w:tcPr>
    </w:tblStylePr>
    <w:tblStylePr w:type="swCell">
      <w:tblPr/>
      <w:tcPr>
        <w:tcBorders>
          <w:top w:val="single" w:sz="4" w:space="0" w:color="FF7C9C" w:themeColor="accent2" w:themeTint="99"/>
        </w:tcBorders>
      </w:tcPr>
    </w:tblStylePr>
  </w:style>
  <w:style w:type="table" w:styleId="Rutenettabell7fargerikuthevingsfarge3">
    <w:name w:val="Grid Table 7 Colorful Accent 3"/>
    <w:basedOn w:val="Vanligtabell"/>
    <w:uiPriority w:val="52"/>
    <w:rsid w:val="00B73C9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B73C9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B73C9B"/>
    <w:pPr>
      <w:spacing w:after="0" w:line="240" w:lineRule="auto"/>
    </w:pPr>
    <w:rPr>
      <w:color w:val="00A7EB" w:themeColor="accent5" w:themeShade="BF"/>
    </w:rPr>
    <w:tblPr>
      <w:tblStyleRowBandSize w:val="1"/>
      <w:tblStyleColBandSize w:val="1"/>
      <w:tblBorders>
        <w:top w:val="single" w:sz="4" w:space="0" w:color="89DDFF" w:themeColor="accent5" w:themeTint="99"/>
        <w:left w:val="single" w:sz="4" w:space="0" w:color="89DDFF" w:themeColor="accent5" w:themeTint="99"/>
        <w:bottom w:val="single" w:sz="4" w:space="0" w:color="89DDFF" w:themeColor="accent5" w:themeTint="99"/>
        <w:right w:val="single" w:sz="4" w:space="0" w:color="89DDFF" w:themeColor="accent5" w:themeTint="99"/>
        <w:insideH w:val="single" w:sz="4" w:space="0" w:color="89DDFF" w:themeColor="accent5" w:themeTint="99"/>
        <w:insideV w:val="single" w:sz="4" w:space="0" w:color="89DD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3FF" w:themeFill="accent5" w:themeFillTint="33"/>
      </w:tcPr>
    </w:tblStylePr>
    <w:tblStylePr w:type="band1Horz">
      <w:tblPr/>
      <w:tcPr>
        <w:shd w:val="clear" w:color="auto" w:fill="D7F3FF" w:themeFill="accent5" w:themeFillTint="33"/>
      </w:tcPr>
    </w:tblStylePr>
    <w:tblStylePr w:type="neCell">
      <w:tblPr/>
      <w:tcPr>
        <w:tcBorders>
          <w:bottom w:val="single" w:sz="4" w:space="0" w:color="89DDFF" w:themeColor="accent5" w:themeTint="99"/>
        </w:tcBorders>
      </w:tcPr>
    </w:tblStylePr>
    <w:tblStylePr w:type="nwCell">
      <w:tblPr/>
      <w:tcPr>
        <w:tcBorders>
          <w:bottom w:val="single" w:sz="4" w:space="0" w:color="89DDFF" w:themeColor="accent5" w:themeTint="99"/>
        </w:tcBorders>
      </w:tcPr>
    </w:tblStylePr>
    <w:tblStylePr w:type="seCell">
      <w:tblPr/>
      <w:tcPr>
        <w:tcBorders>
          <w:top w:val="single" w:sz="4" w:space="0" w:color="89DDFF" w:themeColor="accent5" w:themeTint="99"/>
        </w:tcBorders>
      </w:tcPr>
    </w:tblStylePr>
    <w:tblStylePr w:type="swCell">
      <w:tblPr/>
      <w:tcPr>
        <w:tcBorders>
          <w:top w:val="single" w:sz="4" w:space="0" w:color="89DDFF" w:themeColor="accent5" w:themeTint="99"/>
        </w:tcBorders>
      </w:tcPr>
    </w:tblStylePr>
  </w:style>
  <w:style w:type="table" w:styleId="Rutenettabell7fargerikuthevingsfarge6">
    <w:name w:val="Grid Table 7 Colorful Accent 6"/>
    <w:basedOn w:val="Vanligtabell"/>
    <w:uiPriority w:val="52"/>
    <w:rsid w:val="00B73C9B"/>
    <w:pPr>
      <w:spacing w:after="0" w:line="240" w:lineRule="auto"/>
    </w:pPr>
    <w:rPr>
      <w:color w:val="28B5A6" w:themeColor="accent6" w:themeShade="BF"/>
    </w:rPr>
    <w:tblPr>
      <w:tblStyleRowBandSize w:val="1"/>
      <w:tblStyleColBandSize w:val="1"/>
      <w:tblBorders>
        <w:top w:val="single" w:sz="4" w:space="0" w:color="96E7DF" w:themeColor="accent6" w:themeTint="99"/>
        <w:left w:val="single" w:sz="4" w:space="0" w:color="96E7DF" w:themeColor="accent6" w:themeTint="99"/>
        <w:bottom w:val="single" w:sz="4" w:space="0" w:color="96E7DF" w:themeColor="accent6" w:themeTint="99"/>
        <w:right w:val="single" w:sz="4" w:space="0" w:color="96E7DF" w:themeColor="accent6" w:themeTint="99"/>
        <w:insideH w:val="single" w:sz="4" w:space="0" w:color="96E7DF" w:themeColor="accent6" w:themeTint="99"/>
        <w:insideV w:val="single" w:sz="4" w:space="0" w:color="96E7D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7F4" w:themeFill="accent6" w:themeFillTint="33"/>
      </w:tcPr>
    </w:tblStylePr>
    <w:tblStylePr w:type="band1Horz">
      <w:tblPr/>
      <w:tcPr>
        <w:shd w:val="clear" w:color="auto" w:fill="DCF7F4" w:themeFill="accent6" w:themeFillTint="33"/>
      </w:tcPr>
    </w:tblStylePr>
    <w:tblStylePr w:type="neCell">
      <w:tblPr/>
      <w:tcPr>
        <w:tcBorders>
          <w:bottom w:val="single" w:sz="4" w:space="0" w:color="96E7DF" w:themeColor="accent6" w:themeTint="99"/>
        </w:tcBorders>
      </w:tcPr>
    </w:tblStylePr>
    <w:tblStylePr w:type="nwCell">
      <w:tblPr/>
      <w:tcPr>
        <w:tcBorders>
          <w:bottom w:val="single" w:sz="4" w:space="0" w:color="96E7DF" w:themeColor="accent6" w:themeTint="99"/>
        </w:tcBorders>
      </w:tcPr>
    </w:tblStylePr>
    <w:tblStylePr w:type="seCell">
      <w:tblPr/>
      <w:tcPr>
        <w:tcBorders>
          <w:top w:val="single" w:sz="4" w:space="0" w:color="96E7DF" w:themeColor="accent6" w:themeTint="99"/>
        </w:tcBorders>
      </w:tcPr>
    </w:tblStylePr>
    <w:tblStylePr w:type="swCell">
      <w:tblPr/>
      <w:tcPr>
        <w:tcBorders>
          <w:top w:val="single" w:sz="4" w:space="0" w:color="96E7DF" w:themeColor="accent6" w:themeTint="99"/>
        </w:tcBorders>
      </w:tcPr>
    </w:tblStylePr>
  </w:style>
  <w:style w:type="table" w:styleId="Rutenettabelllys">
    <w:name w:val="Grid Table Light"/>
    <w:basedOn w:val="Vanligtabell"/>
    <w:uiPriority w:val="40"/>
    <w:rsid w:val="00B73C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rsid w:val="00B73C9B"/>
  </w:style>
  <w:style w:type="paragraph" w:styleId="Sitat">
    <w:name w:val="Quote"/>
    <w:basedOn w:val="Normal"/>
    <w:next w:val="Sitatkilde"/>
    <w:link w:val="SitatTegn"/>
    <w:uiPriority w:val="29"/>
    <w:qFormat/>
    <w:rsid w:val="00F86154"/>
    <w:pPr>
      <w:spacing w:before="200" w:after="100"/>
      <w:ind w:left="567"/>
    </w:pPr>
    <w:rPr>
      <w:iCs/>
      <w:sz w:val="22"/>
    </w:rPr>
  </w:style>
  <w:style w:type="character" w:customStyle="1" w:styleId="SitatTegn">
    <w:name w:val="Sitat Tegn"/>
    <w:basedOn w:val="Standardskriftforavsnitt"/>
    <w:link w:val="Sitat"/>
    <w:uiPriority w:val="29"/>
    <w:rsid w:val="00F86154"/>
    <w:rPr>
      <w:iCs/>
    </w:rPr>
  </w:style>
  <w:style w:type="character" w:styleId="Sluttnotereferanse">
    <w:name w:val="endnote reference"/>
    <w:basedOn w:val="Standardskriftforavsnitt"/>
    <w:uiPriority w:val="99"/>
    <w:semiHidden/>
    <w:rsid w:val="00B73C9B"/>
    <w:rPr>
      <w:vertAlign w:val="superscript"/>
    </w:rPr>
  </w:style>
  <w:style w:type="paragraph" w:styleId="Sluttnotetekst">
    <w:name w:val="endnote text"/>
    <w:basedOn w:val="Normal"/>
    <w:link w:val="SluttnotetekstTegn"/>
    <w:uiPriority w:val="99"/>
    <w:semiHidden/>
    <w:rsid w:val="00B73C9B"/>
    <w:pPr>
      <w:spacing w:after="0" w:line="240" w:lineRule="auto"/>
    </w:pPr>
  </w:style>
  <w:style w:type="character" w:customStyle="1" w:styleId="SluttnotetekstTegn">
    <w:name w:val="Sluttnotetekst Tegn"/>
    <w:basedOn w:val="Standardskriftforavsnitt"/>
    <w:link w:val="Sluttnotetekst"/>
    <w:uiPriority w:val="99"/>
    <w:semiHidden/>
    <w:rsid w:val="00B73C9B"/>
  </w:style>
  <w:style w:type="character" w:styleId="Smarthyperkobling">
    <w:name w:val="Smart Hyperlink"/>
    <w:basedOn w:val="Standardskriftforavsnitt"/>
    <w:uiPriority w:val="99"/>
    <w:semiHidden/>
    <w:rsid w:val="00B73C9B"/>
    <w:rPr>
      <w:u w:val="dotted"/>
    </w:rPr>
  </w:style>
  <w:style w:type="character" w:styleId="Sterkreferanse">
    <w:name w:val="Intense Reference"/>
    <w:basedOn w:val="Standardskriftforavsnitt"/>
    <w:uiPriority w:val="32"/>
    <w:semiHidden/>
    <w:qFormat/>
    <w:rsid w:val="00B73C9B"/>
    <w:rPr>
      <w:b/>
      <w:bCs/>
      <w:smallCaps/>
      <w:color w:val="4472C4" w:themeColor="accent1"/>
      <w:spacing w:val="5"/>
    </w:rPr>
  </w:style>
  <w:style w:type="paragraph" w:styleId="Sterktsitat">
    <w:name w:val="Intense Quote"/>
    <w:basedOn w:val="Normal"/>
    <w:next w:val="Normal"/>
    <w:link w:val="SterktsitatTegn"/>
    <w:uiPriority w:val="30"/>
    <w:semiHidden/>
    <w:qFormat/>
    <w:rsid w:val="00B73C9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semiHidden/>
    <w:rsid w:val="00B73C9B"/>
    <w:rPr>
      <w:i/>
      <w:iCs/>
      <w:color w:val="4472C4" w:themeColor="accent1"/>
      <w:sz w:val="20"/>
    </w:rPr>
  </w:style>
  <w:style w:type="paragraph" w:styleId="Stikkordregisteroverskrift">
    <w:name w:val="index heading"/>
    <w:basedOn w:val="Normal"/>
    <w:next w:val="Indeks1"/>
    <w:uiPriority w:val="99"/>
    <w:semiHidden/>
    <w:rsid w:val="00B73C9B"/>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B73C9B"/>
    <w:rPr>
      <w:smallCaps/>
      <w:color w:val="5A5A5A" w:themeColor="text1" w:themeTint="A5"/>
    </w:rPr>
  </w:style>
  <w:style w:type="table" w:styleId="Tabell-3D-effekt1">
    <w:name w:val="Table 3D effects 1"/>
    <w:basedOn w:val="Vanligtabell"/>
    <w:uiPriority w:val="99"/>
    <w:semiHidden/>
    <w:unhideWhenUsed/>
    <w:rsid w:val="00B73C9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B73C9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B73C9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B73C9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B73C9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B73C9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B73C9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B73C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B73C9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B73C9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B73C9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B73C9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B73C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B73C9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B73C9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B73C9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B73C9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B73C9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B73C9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B73C9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B73C9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B73C9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B73C9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B73C9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B73C9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B73C9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B73C9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B73C9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B73C9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B73C9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B73C9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B73C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B73C9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B73C9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B73C9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B73C9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B73C9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B73C9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B73C9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B73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rsid w:val="00B73C9B"/>
    <w:rPr>
      <w:color w:val="605E5C"/>
      <w:shd w:val="clear" w:color="auto" w:fill="E1DFDD"/>
    </w:rPr>
  </w:style>
  <w:style w:type="paragraph" w:styleId="Underskrift">
    <w:name w:val="Signature"/>
    <w:basedOn w:val="Normal"/>
    <w:link w:val="UnderskriftTegn"/>
    <w:uiPriority w:val="99"/>
    <w:semiHidden/>
    <w:rsid w:val="00B73C9B"/>
    <w:pPr>
      <w:spacing w:after="0" w:line="240" w:lineRule="auto"/>
      <w:ind w:left="4252"/>
    </w:pPr>
  </w:style>
  <w:style w:type="character" w:customStyle="1" w:styleId="UnderskriftTegn">
    <w:name w:val="Underskrift Tegn"/>
    <w:basedOn w:val="Standardskriftforavsnitt"/>
    <w:link w:val="Underskrift"/>
    <w:uiPriority w:val="99"/>
    <w:semiHidden/>
    <w:rsid w:val="00B73C9B"/>
    <w:rPr>
      <w:sz w:val="20"/>
    </w:rPr>
  </w:style>
  <w:style w:type="paragraph" w:styleId="Vanliginnrykk">
    <w:name w:val="Normal Indent"/>
    <w:basedOn w:val="Normal"/>
    <w:uiPriority w:val="99"/>
    <w:semiHidden/>
    <w:rsid w:val="00B73C9B"/>
    <w:pPr>
      <w:ind w:left="708"/>
    </w:pPr>
  </w:style>
  <w:style w:type="table" w:styleId="Vanligtabell1">
    <w:name w:val="Plain Table 1"/>
    <w:basedOn w:val="Vanligtabell"/>
    <w:uiPriority w:val="41"/>
    <w:rsid w:val="00B73C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B73C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B73C9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B73C9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B73C9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itatkilde">
    <w:name w:val="Sitatkilde"/>
    <w:basedOn w:val="Normal"/>
    <w:next w:val="Normal"/>
    <w:uiPriority w:val="28"/>
    <w:qFormat/>
    <w:rsid w:val="003E3B08"/>
    <w:pPr>
      <w:spacing w:after="160" w:line="259" w:lineRule="auto"/>
      <w:jc w:val="right"/>
    </w:pPr>
    <w:rPr>
      <w:i/>
    </w:rPr>
  </w:style>
  <w:style w:type="paragraph" w:customStyle="1" w:styleId="Tabellplassholder">
    <w:name w:val="Tabell plassholder"/>
    <w:basedOn w:val="Normal"/>
    <w:next w:val="Normal"/>
    <w:qFormat/>
    <w:rsid w:val="00F86154"/>
    <w:pPr>
      <w:framePr w:w="10206" w:wrap="around" w:vAnchor="text" w:hAnchor="page" w:x="852" w:y="1"/>
      <w:spacing w:after="0"/>
    </w:pPr>
  </w:style>
  <w:style w:type="paragraph" w:customStyle="1" w:styleId="Vedleggoverskrift">
    <w:name w:val="Vedlegg overskrift"/>
    <w:basedOn w:val="Overskrift1"/>
    <w:qFormat/>
    <w:rsid w:val="009D4C18"/>
    <w:pPr>
      <w:numPr>
        <w:numId w:val="0"/>
      </w:numPr>
      <w:outlineLvl w:val="9"/>
    </w:pPr>
    <w:rPr>
      <w:color w:val="007BB6"/>
    </w:rPr>
  </w:style>
  <w:style w:type="paragraph" w:customStyle="1" w:styleId="Unummerertoverskrift1">
    <w:name w:val="Unummerert overskrift 1"/>
    <w:basedOn w:val="Overskrift1"/>
    <w:qFormat/>
    <w:rsid w:val="00F86154"/>
    <w:pPr>
      <w:numPr>
        <w:numId w:val="0"/>
      </w:numPr>
    </w:pPr>
  </w:style>
  <w:style w:type="paragraph" w:customStyle="1" w:styleId="Unummerertoverskrift2">
    <w:name w:val="Unummerert overskrift 2"/>
    <w:basedOn w:val="Overskrift2"/>
    <w:qFormat/>
    <w:rsid w:val="00F86154"/>
    <w:pPr>
      <w:numPr>
        <w:ilvl w:val="0"/>
        <w:numId w:val="0"/>
      </w:numPr>
    </w:pPr>
  </w:style>
  <w:style w:type="paragraph" w:customStyle="1" w:styleId="Unummerertoverskrift3">
    <w:name w:val="Unummerert overskrift 3"/>
    <w:basedOn w:val="Overskrift3"/>
    <w:qFormat/>
    <w:rsid w:val="00F86154"/>
    <w:pPr>
      <w:numPr>
        <w:ilvl w:val="0"/>
        <w:numId w:val="0"/>
      </w:numPr>
    </w:pPr>
  </w:style>
  <w:style w:type="paragraph" w:customStyle="1" w:styleId="Unnumerertoverskrift4">
    <w:name w:val="Unnumerert overskrift 4"/>
    <w:basedOn w:val="Overskrift4"/>
    <w:qFormat/>
    <w:rsid w:val="00F86154"/>
    <w:pPr>
      <w:numPr>
        <w:ilvl w:val="0"/>
        <w:numId w:val="0"/>
      </w:numPr>
    </w:pPr>
  </w:style>
  <w:style w:type="table" w:customStyle="1" w:styleId="Diku2">
    <w:name w:val="Diku2"/>
    <w:basedOn w:val="Vanligtabell"/>
    <w:uiPriority w:val="99"/>
    <w:rsid w:val="00CB2361"/>
    <w:pPr>
      <w:spacing w:after="0" w:line="240" w:lineRule="auto"/>
      <w:jc w:val="right"/>
    </w:pPr>
    <w:rPr>
      <w:color w:val="000000" w:themeColor="text1"/>
      <w:sz w:val="16"/>
    </w:rPr>
    <w:tblPr>
      <w:tblStyleRowBandSize w:val="1"/>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CellMar>
        <w:top w:w="57" w:type="dxa"/>
        <w:bottom w:w="57" w:type="dxa"/>
      </w:tblCellMar>
    </w:tblPr>
    <w:tblStylePr w:type="firstRow">
      <w:pPr>
        <w:wordWrap/>
        <w:spacing w:afterLines="0" w:after="0" w:afterAutospacing="0"/>
        <w:jc w:val="right"/>
      </w:pPr>
      <w:rPr>
        <w:b/>
        <w:color w:val="FFFFFF"/>
        <w:sz w:val="16"/>
      </w:rPr>
      <w:tblPr/>
      <w:tcPr>
        <w:tcBorders>
          <w:top w:val="single" w:sz="24" w:space="0" w:color="0079AC"/>
          <w:left w:val="single" w:sz="24" w:space="0" w:color="0079AC"/>
          <w:bottom w:val="single" w:sz="24" w:space="0" w:color="0079AC"/>
          <w:right w:val="single" w:sz="24" w:space="0" w:color="0079AC"/>
          <w:insideH w:val="single" w:sz="24" w:space="0" w:color="0079AC"/>
          <w:insideV w:val="single" w:sz="24" w:space="0" w:color="0079AC"/>
        </w:tcBorders>
        <w:shd w:val="clear" w:color="auto" w:fill="0079AC"/>
      </w:tcPr>
    </w:tblStylePr>
    <w:tblStylePr w:type="lastRow">
      <w:rPr>
        <w:b/>
      </w:rPr>
      <w:tblPr/>
      <w:tcPr>
        <w:shd w:val="clear" w:color="auto" w:fill="D9D9D9"/>
      </w:tcPr>
    </w:tblStylePr>
    <w:tblStylePr w:type="firstCol">
      <w:pPr>
        <w:jc w:val="left"/>
      </w:pPr>
    </w:tblStylePr>
    <w:tblStylePr w:type="band1Horz">
      <w:tblPr/>
      <w:tcPr>
        <w:shd w:val="clear" w:color="auto" w:fill="FFFFFF" w:themeFill="background1"/>
      </w:tcPr>
    </w:tblStylePr>
    <w:tblStylePr w:type="band2Horz">
      <w:tblPr/>
      <w:tcPr>
        <w:shd w:val="clear" w:color="auto" w:fill="F2F2F2"/>
      </w:tcPr>
    </w:tblStylePr>
  </w:style>
  <w:style w:type="paragraph" w:customStyle="1" w:styleId="Litteraturtekst">
    <w:name w:val="Litteraturtekst"/>
    <w:basedOn w:val="Normal"/>
    <w:rsid w:val="0026653C"/>
    <w:pPr>
      <w:ind w:left="308" w:hanging="308"/>
    </w:pPr>
  </w:style>
  <w:style w:type="paragraph" w:customStyle="1" w:styleId="Vedleggoverskrift2">
    <w:name w:val="Vedlegg overskrift 2"/>
    <w:next w:val="Normal"/>
    <w:qFormat/>
    <w:rsid w:val="00A40C37"/>
    <w:rPr>
      <w:rFonts w:asciiTheme="majorHAnsi" w:eastAsiaTheme="majorEastAsia" w:hAnsiTheme="majorHAnsi" w:cstheme="majorBidi"/>
      <w:b/>
      <w:color w:val="362683"/>
      <w:sz w:val="24"/>
      <w:szCs w:val="26"/>
    </w:rPr>
  </w:style>
  <w:style w:type="paragraph" w:customStyle="1" w:styleId="Vedleggoverskrift3">
    <w:name w:val="Vedlegg overskrift 3"/>
    <w:basedOn w:val="Unummerertoverskrift3"/>
    <w:qFormat/>
    <w:rsid w:val="00ED7787"/>
  </w:style>
  <w:style w:type="paragraph" w:customStyle="1" w:styleId="Merknad">
    <w:name w:val="Merknad"/>
    <w:basedOn w:val="Normal"/>
    <w:link w:val="MerknadTegn"/>
    <w:qFormat/>
    <w:rsid w:val="002B7CE5"/>
    <w:pPr>
      <w:spacing w:after="120" w:line="200" w:lineRule="atLeast"/>
    </w:pPr>
    <w:rPr>
      <w:sz w:val="16"/>
    </w:rPr>
  </w:style>
  <w:style w:type="paragraph" w:customStyle="1" w:styleId="Kilde">
    <w:name w:val="Kilde"/>
    <w:basedOn w:val="Merknad"/>
    <w:link w:val="KildeTegn"/>
    <w:qFormat/>
    <w:rsid w:val="001A6FA3"/>
    <w:rPr>
      <w:b/>
      <w:sz w:val="18"/>
    </w:rPr>
  </w:style>
  <w:style w:type="character" w:customStyle="1" w:styleId="MerknadTegn">
    <w:name w:val="Merknad Tegn"/>
    <w:basedOn w:val="Standardskriftforavsnitt"/>
    <w:link w:val="Merknad"/>
    <w:rsid w:val="002B7CE5"/>
    <w:rPr>
      <w:sz w:val="16"/>
      <w:szCs w:val="22"/>
    </w:rPr>
  </w:style>
  <w:style w:type="character" w:customStyle="1" w:styleId="KildeTegn">
    <w:name w:val="Kilde Tegn"/>
    <w:basedOn w:val="MerknadTegn"/>
    <w:link w:val="Kilde"/>
    <w:rsid w:val="001A6FA3"/>
    <w:rPr>
      <w:b/>
      <w:sz w:val="18"/>
      <w:szCs w:val="22"/>
    </w:rPr>
  </w:style>
  <w:style w:type="paragraph" w:customStyle="1" w:styleId="EndNoteBibliographyTitle">
    <w:name w:val="EndNote Bibliography Title"/>
    <w:basedOn w:val="Normal"/>
    <w:link w:val="EndNoteBibliographyTitleTegn"/>
    <w:rsid w:val="00FE1E3E"/>
    <w:pPr>
      <w:spacing w:after="0"/>
      <w:jc w:val="center"/>
    </w:pPr>
    <w:rPr>
      <w:rFonts w:ascii="Arial" w:hAnsi="Arial" w:cs="Arial"/>
      <w:noProof/>
      <w:lang w:val="en-US"/>
    </w:rPr>
  </w:style>
  <w:style w:type="character" w:customStyle="1" w:styleId="EndNoteBibliographyTitleTegn">
    <w:name w:val="EndNote Bibliography Title Tegn"/>
    <w:basedOn w:val="Standardskriftforavsnitt"/>
    <w:link w:val="EndNoteBibliographyTitle"/>
    <w:rsid w:val="00FE1E3E"/>
    <w:rPr>
      <w:rFonts w:ascii="Arial" w:hAnsi="Arial" w:cs="Arial"/>
      <w:noProof/>
      <w:lang w:val="en-US"/>
    </w:rPr>
  </w:style>
  <w:style w:type="paragraph" w:customStyle="1" w:styleId="EndNoteBibliography">
    <w:name w:val="EndNote Bibliography"/>
    <w:basedOn w:val="Normal"/>
    <w:link w:val="EndNoteBibliographyTegn"/>
    <w:rsid w:val="00FE1E3E"/>
    <w:pPr>
      <w:spacing w:line="240" w:lineRule="atLeast"/>
    </w:pPr>
    <w:rPr>
      <w:rFonts w:ascii="Arial" w:hAnsi="Arial" w:cs="Arial"/>
      <w:noProof/>
      <w:lang w:val="en-US"/>
    </w:rPr>
  </w:style>
  <w:style w:type="character" w:customStyle="1" w:styleId="EndNoteBibliographyTegn">
    <w:name w:val="EndNote Bibliography Tegn"/>
    <w:basedOn w:val="Standardskriftforavsnitt"/>
    <w:link w:val="EndNoteBibliography"/>
    <w:rsid w:val="00FE1E3E"/>
    <w:rPr>
      <w:rFonts w:ascii="Arial" w:hAnsi="Arial" w:cs="Arial"/>
      <w:noProof/>
      <w:lang w:val="en-US"/>
    </w:rPr>
  </w:style>
  <w:style w:type="character" w:customStyle="1" w:styleId="normaltextrun">
    <w:name w:val="normaltextrun"/>
    <w:basedOn w:val="Standardskriftforavsnitt"/>
    <w:rsid w:val="0043583B"/>
  </w:style>
  <w:style w:type="paragraph" w:customStyle="1" w:styleId="Default">
    <w:name w:val="Default"/>
    <w:rsid w:val="00F41C97"/>
    <w:pPr>
      <w:autoSpaceDE w:val="0"/>
      <w:autoSpaceDN w:val="0"/>
      <w:adjustRightInd w:val="0"/>
      <w:spacing w:after="0" w:line="240" w:lineRule="auto"/>
    </w:pPr>
    <w:rPr>
      <w:rFonts w:ascii="Arial" w:hAnsi="Arial" w:cs="Arial"/>
      <w:color w:val="000000"/>
      <w:sz w:val="24"/>
      <w:szCs w:val="24"/>
    </w:rPr>
  </w:style>
  <w:style w:type="paragraph" w:customStyle="1" w:styleId="MerknadTR">
    <w:name w:val="Merknad TR"/>
    <w:basedOn w:val="Normal"/>
    <w:next w:val="Normal"/>
    <w:link w:val="MerknadTRTegn"/>
    <w:rsid w:val="00BE5842"/>
    <w:pPr>
      <w:spacing w:before="40" w:after="40" w:line="240" w:lineRule="auto"/>
    </w:pPr>
    <w:rPr>
      <w:sz w:val="16"/>
    </w:rPr>
  </w:style>
  <w:style w:type="character" w:customStyle="1" w:styleId="MerknadTRTegn">
    <w:name w:val="Merknad TR Tegn"/>
    <w:basedOn w:val="Standardskriftforavsnitt"/>
    <w:link w:val="MerknadTR"/>
    <w:rsid w:val="00BE5842"/>
    <w:rPr>
      <w:sz w:val="16"/>
    </w:rPr>
  </w:style>
  <w:style w:type="character" w:customStyle="1" w:styleId="font101">
    <w:name w:val="font101"/>
    <w:basedOn w:val="Standardskriftforavsnitt"/>
    <w:rsid w:val="009F40BF"/>
    <w:rPr>
      <w:rFonts w:ascii="Arial" w:hAnsi="Arial" w:cs="Arial" w:hint="default"/>
      <w:b w:val="0"/>
      <w:bCs w:val="0"/>
      <w:i w:val="0"/>
      <w:iCs w:val="0"/>
      <w:strike w:val="0"/>
      <w:dstrike w:val="0"/>
      <w:color w:val="000000"/>
      <w:sz w:val="16"/>
      <w:szCs w:val="16"/>
      <w:u w:val="none"/>
      <w:effect w:val="none"/>
    </w:rPr>
  </w:style>
  <w:style w:type="character" w:customStyle="1" w:styleId="spellingerror">
    <w:name w:val="spellingerror"/>
    <w:basedOn w:val="Standardskriftforavsnitt"/>
    <w:rsid w:val="009F40BF"/>
  </w:style>
  <w:style w:type="character" w:customStyle="1" w:styleId="eop">
    <w:name w:val="eop"/>
    <w:basedOn w:val="Standardskriftforavsnitt"/>
    <w:rsid w:val="009F40BF"/>
  </w:style>
  <w:style w:type="paragraph" w:customStyle="1" w:styleId="paragraph">
    <w:name w:val="paragraph"/>
    <w:basedOn w:val="Normal"/>
    <w:rsid w:val="009F40B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Revisjon">
    <w:name w:val="Revision"/>
    <w:hidden/>
    <w:uiPriority w:val="99"/>
    <w:semiHidden/>
    <w:rsid w:val="00160A19"/>
    <w:pPr>
      <w:spacing w:after="0" w:line="240" w:lineRule="auto"/>
    </w:pPr>
    <w:rPr>
      <w:szCs w:val="22"/>
    </w:rPr>
  </w:style>
  <w:style w:type="character" w:customStyle="1" w:styleId="normaltextrun1">
    <w:name w:val="normaltextrun1"/>
    <w:basedOn w:val="Standardskriftforavsnitt"/>
    <w:rsid w:val="005C7D9D"/>
  </w:style>
  <w:style w:type="paragraph" w:customStyle="1" w:styleId="Kryssreferanse">
    <w:name w:val="Kryssreferanse"/>
    <w:basedOn w:val="Normal"/>
    <w:link w:val="KryssreferanseTegn"/>
    <w:qFormat/>
    <w:rsid w:val="00524A00"/>
    <w:pPr>
      <w:jc w:val="both"/>
    </w:pPr>
    <w:rPr>
      <w:color w:val="7B56A4"/>
    </w:rPr>
  </w:style>
  <w:style w:type="character" w:customStyle="1" w:styleId="KryssreferanseTegn">
    <w:name w:val="Kryssreferanse Tegn"/>
    <w:basedOn w:val="Standardskriftforavsnitt"/>
    <w:link w:val="Kryssreferanse"/>
    <w:rsid w:val="00524A00"/>
    <w:rPr>
      <w:color w:val="7B56A4"/>
    </w:rPr>
  </w:style>
  <w:style w:type="character" w:customStyle="1" w:styleId="superscript">
    <w:name w:val="superscript"/>
    <w:basedOn w:val="Standardskriftforavsnitt"/>
    <w:rsid w:val="009A67C4"/>
  </w:style>
  <w:style w:type="paragraph" w:customStyle="1" w:styleId="Underoverskrift">
    <w:name w:val="Underoverskrift"/>
    <w:basedOn w:val="Normal"/>
    <w:link w:val="UnderoverskriftTegn"/>
    <w:qFormat/>
    <w:rsid w:val="009A67C4"/>
    <w:pPr>
      <w:spacing w:before="360" w:after="120"/>
    </w:pPr>
    <w:rPr>
      <w:b/>
      <w:iCs/>
      <w:color w:val="23099F" w:themeColor="text2"/>
      <w:szCs w:val="22"/>
    </w:rPr>
  </w:style>
  <w:style w:type="character" w:customStyle="1" w:styleId="UnderoverskriftTegn">
    <w:name w:val="Underoverskrift Tegn"/>
    <w:basedOn w:val="Standardskriftforavsnitt"/>
    <w:link w:val="Underoverskrift"/>
    <w:rsid w:val="009A67C4"/>
    <w:rPr>
      <w:b/>
      <w:iCs/>
      <w:color w:val="23099F" w:themeColor="text2"/>
      <w:szCs w:val="22"/>
    </w:rPr>
  </w:style>
  <w:style w:type="character" w:customStyle="1" w:styleId="cf01">
    <w:name w:val="cf01"/>
    <w:basedOn w:val="Standardskriftforavsnitt"/>
    <w:rsid w:val="00A816BC"/>
    <w:rPr>
      <w:rFonts w:ascii="Segoe UI" w:hAnsi="Segoe UI" w:cs="Segoe UI" w:hint="default"/>
      <w:sz w:val="18"/>
      <w:szCs w:val="18"/>
    </w:rPr>
  </w:style>
  <w:style w:type="paragraph" w:customStyle="1" w:styleId="Ikkeibruk">
    <w:name w:val="Ikke i bruk"/>
    <w:basedOn w:val="Normal"/>
    <w:next w:val="Normal"/>
    <w:link w:val="IkkeibrukTegn"/>
    <w:qFormat/>
    <w:rsid w:val="006A18A8"/>
    <w:pPr>
      <w:spacing w:before="40" w:after="160" w:line="240" w:lineRule="auto"/>
    </w:pPr>
    <w:rPr>
      <w:sz w:val="16"/>
    </w:rPr>
  </w:style>
  <w:style w:type="character" w:customStyle="1" w:styleId="IkkeibrukTegn">
    <w:name w:val="Ikke i bruk Tegn"/>
    <w:basedOn w:val="Standardskriftforavsnitt"/>
    <w:link w:val="Ikkeibruk"/>
    <w:rsid w:val="006A18A8"/>
    <w:rPr>
      <w:sz w:val="16"/>
    </w:rPr>
  </w:style>
  <w:style w:type="character" w:customStyle="1" w:styleId="ui-provider">
    <w:name w:val="ui-provider"/>
    <w:basedOn w:val="Standardskriftforavsnitt"/>
    <w:rsid w:val="00F25EEC"/>
  </w:style>
  <w:style w:type="paragraph" w:customStyle="1" w:styleId="pf0">
    <w:name w:val="pf0"/>
    <w:basedOn w:val="Normal"/>
    <w:rsid w:val="00A34601"/>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007">
      <w:bodyDiv w:val="1"/>
      <w:marLeft w:val="0"/>
      <w:marRight w:val="0"/>
      <w:marTop w:val="0"/>
      <w:marBottom w:val="0"/>
      <w:divBdr>
        <w:top w:val="none" w:sz="0" w:space="0" w:color="auto"/>
        <w:left w:val="none" w:sz="0" w:space="0" w:color="auto"/>
        <w:bottom w:val="none" w:sz="0" w:space="0" w:color="auto"/>
        <w:right w:val="none" w:sz="0" w:space="0" w:color="auto"/>
      </w:divBdr>
    </w:div>
    <w:div w:id="14120571">
      <w:bodyDiv w:val="1"/>
      <w:marLeft w:val="0"/>
      <w:marRight w:val="0"/>
      <w:marTop w:val="0"/>
      <w:marBottom w:val="0"/>
      <w:divBdr>
        <w:top w:val="none" w:sz="0" w:space="0" w:color="auto"/>
        <w:left w:val="none" w:sz="0" w:space="0" w:color="auto"/>
        <w:bottom w:val="none" w:sz="0" w:space="0" w:color="auto"/>
        <w:right w:val="none" w:sz="0" w:space="0" w:color="auto"/>
      </w:divBdr>
    </w:div>
    <w:div w:id="35202695">
      <w:bodyDiv w:val="1"/>
      <w:marLeft w:val="0"/>
      <w:marRight w:val="0"/>
      <w:marTop w:val="0"/>
      <w:marBottom w:val="0"/>
      <w:divBdr>
        <w:top w:val="none" w:sz="0" w:space="0" w:color="auto"/>
        <w:left w:val="none" w:sz="0" w:space="0" w:color="auto"/>
        <w:bottom w:val="none" w:sz="0" w:space="0" w:color="auto"/>
        <w:right w:val="none" w:sz="0" w:space="0" w:color="auto"/>
      </w:divBdr>
    </w:div>
    <w:div w:id="38821706">
      <w:bodyDiv w:val="1"/>
      <w:marLeft w:val="0"/>
      <w:marRight w:val="0"/>
      <w:marTop w:val="0"/>
      <w:marBottom w:val="0"/>
      <w:divBdr>
        <w:top w:val="none" w:sz="0" w:space="0" w:color="auto"/>
        <w:left w:val="none" w:sz="0" w:space="0" w:color="auto"/>
        <w:bottom w:val="none" w:sz="0" w:space="0" w:color="auto"/>
        <w:right w:val="none" w:sz="0" w:space="0" w:color="auto"/>
      </w:divBdr>
    </w:div>
    <w:div w:id="49160208">
      <w:bodyDiv w:val="1"/>
      <w:marLeft w:val="0"/>
      <w:marRight w:val="0"/>
      <w:marTop w:val="0"/>
      <w:marBottom w:val="0"/>
      <w:divBdr>
        <w:top w:val="none" w:sz="0" w:space="0" w:color="auto"/>
        <w:left w:val="none" w:sz="0" w:space="0" w:color="auto"/>
        <w:bottom w:val="none" w:sz="0" w:space="0" w:color="auto"/>
        <w:right w:val="none" w:sz="0" w:space="0" w:color="auto"/>
      </w:divBdr>
    </w:div>
    <w:div w:id="68579658">
      <w:bodyDiv w:val="1"/>
      <w:marLeft w:val="0"/>
      <w:marRight w:val="0"/>
      <w:marTop w:val="0"/>
      <w:marBottom w:val="0"/>
      <w:divBdr>
        <w:top w:val="none" w:sz="0" w:space="0" w:color="auto"/>
        <w:left w:val="none" w:sz="0" w:space="0" w:color="auto"/>
        <w:bottom w:val="none" w:sz="0" w:space="0" w:color="auto"/>
        <w:right w:val="none" w:sz="0" w:space="0" w:color="auto"/>
      </w:divBdr>
      <w:divsChild>
        <w:div w:id="231937869">
          <w:marLeft w:val="0"/>
          <w:marRight w:val="0"/>
          <w:marTop w:val="0"/>
          <w:marBottom w:val="0"/>
          <w:divBdr>
            <w:top w:val="none" w:sz="0" w:space="0" w:color="auto"/>
            <w:left w:val="none" w:sz="0" w:space="0" w:color="auto"/>
            <w:bottom w:val="none" w:sz="0" w:space="0" w:color="auto"/>
            <w:right w:val="none" w:sz="0" w:space="0" w:color="auto"/>
          </w:divBdr>
        </w:div>
      </w:divsChild>
    </w:div>
    <w:div w:id="83193068">
      <w:bodyDiv w:val="1"/>
      <w:marLeft w:val="0"/>
      <w:marRight w:val="0"/>
      <w:marTop w:val="0"/>
      <w:marBottom w:val="0"/>
      <w:divBdr>
        <w:top w:val="none" w:sz="0" w:space="0" w:color="auto"/>
        <w:left w:val="none" w:sz="0" w:space="0" w:color="auto"/>
        <w:bottom w:val="none" w:sz="0" w:space="0" w:color="auto"/>
        <w:right w:val="none" w:sz="0" w:space="0" w:color="auto"/>
      </w:divBdr>
      <w:divsChild>
        <w:div w:id="1747261462">
          <w:marLeft w:val="0"/>
          <w:marRight w:val="0"/>
          <w:marTop w:val="0"/>
          <w:marBottom w:val="0"/>
          <w:divBdr>
            <w:top w:val="none" w:sz="0" w:space="0" w:color="auto"/>
            <w:left w:val="none" w:sz="0" w:space="0" w:color="auto"/>
            <w:bottom w:val="none" w:sz="0" w:space="0" w:color="auto"/>
            <w:right w:val="none" w:sz="0" w:space="0" w:color="auto"/>
          </w:divBdr>
        </w:div>
        <w:div w:id="1953705596">
          <w:marLeft w:val="0"/>
          <w:marRight w:val="0"/>
          <w:marTop w:val="0"/>
          <w:marBottom w:val="0"/>
          <w:divBdr>
            <w:top w:val="none" w:sz="0" w:space="0" w:color="auto"/>
            <w:left w:val="none" w:sz="0" w:space="0" w:color="auto"/>
            <w:bottom w:val="none" w:sz="0" w:space="0" w:color="auto"/>
            <w:right w:val="none" w:sz="0" w:space="0" w:color="auto"/>
          </w:divBdr>
        </w:div>
      </w:divsChild>
    </w:div>
    <w:div w:id="95178784">
      <w:bodyDiv w:val="1"/>
      <w:marLeft w:val="0"/>
      <w:marRight w:val="0"/>
      <w:marTop w:val="0"/>
      <w:marBottom w:val="0"/>
      <w:divBdr>
        <w:top w:val="none" w:sz="0" w:space="0" w:color="auto"/>
        <w:left w:val="none" w:sz="0" w:space="0" w:color="auto"/>
        <w:bottom w:val="none" w:sz="0" w:space="0" w:color="auto"/>
        <w:right w:val="none" w:sz="0" w:space="0" w:color="auto"/>
      </w:divBdr>
    </w:div>
    <w:div w:id="129831654">
      <w:bodyDiv w:val="1"/>
      <w:marLeft w:val="0"/>
      <w:marRight w:val="0"/>
      <w:marTop w:val="0"/>
      <w:marBottom w:val="0"/>
      <w:divBdr>
        <w:top w:val="none" w:sz="0" w:space="0" w:color="auto"/>
        <w:left w:val="none" w:sz="0" w:space="0" w:color="auto"/>
        <w:bottom w:val="none" w:sz="0" w:space="0" w:color="auto"/>
        <w:right w:val="none" w:sz="0" w:space="0" w:color="auto"/>
      </w:divBdr>
    </w:div>
    <w:div w:id="132063057">
      <w:bodyDiv w:val="1"/>
      <w:marLeft w:val="0"/>
      <w:marRight w:val="0"/>
      <w:marTop w:val="0"/>
      <w:marBottom w:val="0"/>
      <w:divBdr>
        <w:top w:val="none" w:sz="0" w:space="0" w:color="auto"/>
        <w:left w:val="none" w:sz="0" w:space="0" w:color="auto"/>
        <w:bottom w:val="none" w:sz="0" w:space="0" w:color="auto"/>
        <w:right w:val="none" w:sz="0" w:space="0" w:color="auto"/>
      </w:divBdr>
    </w:div>
    <w:div w:id="180440960">
      <w:bodyDiv w:val="1"/>
      <w:marLeft w:val="0"/>
      <w:marRight w:val="0"/>
      <w:marTop w:val="0"/>
      <w:marBottom w:val="0"/>
      <w:divBdr>
        <w:top w:val="none" w:sz="0" w:space="0" w:color="auto"/>
        <w:left w:val="none" w:sz="0" w:space="0" w:color="auto"/>
        <w:bottom w:val="none" w:sz="0" w:space="0" w:color="auto"/>
        <w:right w:val="none" w:sz="0" w:space="0" w:color="auto"/>
      </w:divBdr>
    </w:div>
    <w:div w:id="183710626">
      <w:bodyDiv w:val="1"/>
      <w:marLeft w:val="0"/>
      <w:marRight w:val="0"/>
      <w:marTop w:val="0"/>
      <w:marBottom w:val="0"/>
      <w:divBdr>
        <w:top w:val="none" w:sz="0" w:space="0" w:color="auto"/>
        <w:left w:val="none" w:sz="0" w:space="0" w:color="auto"/>
        <w:bottom w:val="none" w:sz="0" w:space="0" w:color="auto"/>
        <w:right w:val="none" w:sz="0" w:space="0" w:color="auto"/>
      </w:divBdr>
    </w:div>
    <w:div w:id="214897264">
      <w:bodyDiv w:val="1"/>
      <w:marLeft w:val="0"/>
      <w:marRight w:val="0"/>
      <w:marTop w:val="0"/>
      <w:marBottom w:val="0"/>
      <w:divBdr>
        <w:top w:val="none" w:sz="0" w:space="0" w:color="auto"/>
        <w:left w:val="none" w:sz="0" w:space="0" w:color="auto"/>
        <w:bottom w:val="none" w:sz="0" w:space="0" w:color="auto"/>
        <w:right w:val="none" w:sz="0" w:space="0" w:color="auto"/>
      </w:divBdr>
    </w:div>
    <w:div w:id="222178400">
      <w:bodyDiv w:val="1"/>
      <w:marLeft w:val="0"/>
      <w:marRight w:val="0"/>
      <w:marTop w:val="0"/>
      <w:marBottom w:val="0"/>
      <w:divBdr>
        <w:top w:val="none" w:sz="0" w:space="0" w:color="auto"/>
        <w:left w:val="none" w:sz="0" w:space="0" w:color="auto"/>
        <w:bottom w:val="none" w:sz="0" w:space="0" w:color="auto"/>
        <w:right w:val="none" w:sz="0" w:space="0" w:color="auto"/>
      </w:divBdr>
    </w:div>
    <w:div w:id="227349030">
      <w:bodyDiv w:val="1"/>
      <w:marLeft w:val="0"/>
      <w:marRight w:val="0"/>
      <w:marTop w:val="0"/>
      <w:marBottom w:val="0"/>
      <w:divBdr>
        <w:top w:val="none" w:sz="0" w:space="0" w:color="auto"/>
        <w:left w:val="none" w:sz="0" w:space="0" w:color="auto"/>
        <w:bottom w:val="none" w:sz="0" w:space="0" w:color="auto"/>
        <w:right w:val="none" w:sz="0" w:space="0" w:color="auto"/>
      </w:divBdr>
    </w:div>
    <w:div w:id="232156067">
      <w:bodyDiv w:val="1"/>
      <w:marLeft w:val="0"/>
      <w:marRight w:val="0"/>
      <w:marTop w:val="0"/>
      <w:marBottom w:val="0"/>
      <w:divBdr>
        <w:top w:val="none" w:sz="0" w:space="0" w:color="auto"/>
        <w:left w:val="none" w:sz="0" w:space="0" w:color="auto"/>
        <w:bottom w:val="none" w:sz="0" w:space="0" w:color="auto"/>
        <w:right w:val="none" w:sz="0" w:space="0" w:color="auto"/>
      </w:divBdr>
    </w:div>
    <w:div w:id="241334659">
      <w:bodyDiv w:val="1"/>
      <w:marLeft w:val="0"/>
      <w:marRight w:val="0"/>
      <w:marTop w:val="0"/>
      <w:marBottom w:val="0"/>
      <w:divBdr>
        <w:top w:val="none" w:sz="0" w:space="0" w:color="auto"/>
        <w:left w:val="none" w:sz="0" w:space="0" w:color="auto"/>
        <w:bottom w:val="none" w:sz="0" w:space="0" w:color="auto"/>
        <w:right w:val="none" w:sz="0" w:space="0" w:color="auto"/>
      </w:divBdr>
    </w:div>
    <w:div w:id="243220354">
      <w:bodyDiv w:val="1"/>
      <w:marLeft w:val="0"/>
      <w:marRight w:val="0"/>
      <w:marTop w:val="0"/>
      <w:marBottom w:val="0"/>
      <w:divBdr>
        <w:top w:val="none" w:sz="0" w:space="0" w:color="auto"/>
        <w:left w:val="none" w:sz="0" w:space="0" w:color="auto"/>
        <w:bottom w:val="none" w:sz="0" w:space="0" w:color="auto"/>
        <w:right w:val="none" w:sz="0" w:space="0" w:color="auto"/>
      </w:divBdr>
      <w:divsChild>
        <w:div w:id="872428171">
          <w:marLeft w:val="0"/>
          <w:marRight w:val="0"/>
          <w:marTop w:val="0"/>
          <w:marBottom w:val="0"/>
          <w:divBdr>
            <w:top w:val="none" w:sz="0" w:space="0" w:color="auto"/>
            <w:left w:val="none" w:sz="0" w:space="0" w:color="auto"/>
            <w:bottom w:val="none" w:sz="0" w:space="0" w:color="auto"/>
            <w:right w:val="none" w:sz="0" w:space="0" w:color="auto"/>
          </w:divBdr>
        </w:div>
      </w:divsChild>
    </w:div>
    <w:div w:id="245459276">
      <w:bodyDiv w:val="1"/>
      <w:marLeft w:val="0"/>
      <w:marRight w:val="0"/>
      <w:marTop w:val="0"/>
      <w:marBottom w:val="0"/>
      <w:divBdr>
        <w:top w:val="none" w:sz="0" w:space="0" w:color="auto"/>
        <w:left w:val="none" w:sz="0" w:space="0" w:color="auto"/>
        <w:bottom w:val="none" w:sz="0" w:space="0" w:color="auto"/>
        <w:right w:val="none" w:sz="0" w:space="0" w:color="auto"/>
      </w:divBdr>
    </w:div>
    <w:div w:id="247421705">
      <w:bodyDiv w:val="1"/>
      <w:marLeft w:val="0"/>
      <w:marRight w:val="0"/>
      <w:marTop w:val="0"/>
      <w:marBottom w:val="0"/>
      <w:divBdr>
        <w:top w:val="none" w:sz="0" w:space="0" w:color="auto"/>
        <w:left w:val="none" w:sz="0" w:space="0" w:color="auto"/>
        <w:bottom w:val="none" w:sz="0" w:space="0" w:color="auto"/>
        <w:right w:val="none" w:sz="0" w:space="0" w:color="auto"/>
      </w:divBdr>
    </w:div>
    <w:div w:id="280306574">
      <w:bodyDiv w:val="1"/>
      <w:marLeft w:val="0"/>
      <w:marRight w:val="0"/>
      <w:marTop w:val="0"/>
      <w:marBottom w:val="0"/>
      <w:divBdr>
        <w:top w:val="none" w:sz="0" w:space="0" w:color="auto"/>
        <w:left w:val="none" w:sz="0" w:space="0" w:color="auto"/>
        <w:bottom w:val="none" w:sz="0" w:space="0" w:color="auto"/>
        <w:right w:val="none" w:sz="0" w:space="0" w:color="auto"/>
      </w:divBdr>
      <w:divsChild>
        <w:div w:id="1253394497">
          <w:marLeft w:val="0"/>
          <w:marRight w:val="0"/>
          <w:marTop w:val="0"/>
          <w:marBottom w:val="0"/>
          <w:divBdr>
            <w:top w:val="none" w:sz="0" w:space="0" w:color="auto"/>
            <w:left w:val="none" w:sz="0" w:space="0" w:color="auto"/>
            <w:bottom w:val="none" w:sz="0" w:space="0" w:color="auto"/>
            <w:right w:val="none" w:sz="0" w:space="0" w:color="auto"/>
          </w:divBdr>
        </w:div>
      </w:divsChild>
    </w:div>
    <w:div w:id="284040269">
      <w:bodyDiv w:val="1"/>
      <w:marLeft w:val="0"/>
      <w:marRight w:val="0"/>
      <w:marTop w:val="0"/>
      <w:marBottom w:val="0"/>
      <w:divBdr>
        <w:top w:val="none" w:sz="0" w:space="0" w:color="auto"/>
        <w:left w:val="none" w:sz="0" w:space="0" w:color="auto"/>
        <w:bottom w:val="none" w:sz="0" w:space="0" w:color="auto"/>
        <w:right w:val="none" w:sz="0" w:space="0" w:color="auto"/>
      </w:divBdr>
    </w:div>
    <w:div w:id="286007581">
      <w:bodyDiv w:val="1"/>
      <w:marLeft w:val="0"/>
      <w:marRight w:val="0"/>
      <w:marTop w:val="0"/>
      <w:marBottom w:val="0"/>
      <w:divBdr>
        <w:top w:val="none" w:sz="0" w:space="0" w:color="auto"/>
        <w:left w:val="none" w:sz="0" w:space="0" w:color="auto"/>
        <w:bottom w:val="none" w:sz="0" w:space="0" w:color="auto"/>
        <w:right w:val="none" w:sz="0" w:space="0" w:color="auto"/>
      </w:divBdr>
    </w:div>
    <w:div w:id="286158252">
      <w:bodyDiv w:val="1"/>
      <w:marLeft w:val="0"/>
      <w:marRight w:val="0"/>
      <w:marTop w:val="0"/>
      <w:marBottom w:val="0"/>
      <w:divBdr>
        <w:top w:val="none" w:sz="0" w:space="0" w:color="auto"/>
        <w:left w:val="none" w:sz="0" w:space="0" w:color="auto"/>
        <w:bottom w:val="none" w:sz="0" w:space="0" w:color="auto"/>
        <w:right w:val="none" w:sz="0" w:space="0" w:color="auto"/>
      </w:divBdr>
    </w:div>
    <w:div w:id="287594657">
      <w:bodyDiv w:val="1"/>
      <w:marLeft w:val="0"/>
      <w:marRight w:val="0"/>
      <w:marTop w:val="0"/>
      <w:marBottom w:val="0"/>
      <w:divBdr>
        <w:top w:val="none" w:sz="0" w:space="0" w:color="auto"/>
        <w:left w:val="none" w:sz="0" w:space="0" w:color="auto"/>
        <w:bottom w:val="none" w:sz="0" w:space="0" w:color="auto"/>
        <w:right w:val="none" w:sz="0" w:space="0" w:color="auto"/>
      </w:divBdr>
    </w:div>
    <w:div w:id="288513902">
      <w:bodyDiv w:val="1"/>
      <w:marLeft w:val="0"/>
      <w:marRight w:val="0"/>
      <w:marTop w:val="0"/>
      <w:marBottom w:val="0"/>
      <w:divBdr>
        <w:top w:val="none" w:sz="0" w:space="0" w:color="auto"/>
        <w:left w:val="none" w:sz="0" w:space="0" w:color="auto"/>
        <w:bottom w:val="none" w:sz="0" w:space="0" w:color="auto"/>
        <w:right w:val="none" w:sz="0" w:space="0" w:color="auto"/>
      </w:divBdr>
    </w:div>
    <w:div w:id="294680903">
      <w:bodyDiv w:val="1"/>
      <w:marLeft w:val="0"/>
      <w:marRight w:val="0"/>
      <w:marTop w:val="0"/>
      <w:marBottom w:val="0"/>
      <w:divBdr>
        <w:top w:val="none" w:sz="0" w:space="0" w:color="auto"/>
        <w:left w:val="none" w:sz="0" w:space="0" w:color="auto"/>
        <w:bottom w:val="none" w:sz="0" w:space="0" w:color="auto"/>
        <w:right w:val="none" w:sz="0" w:space="0" w:color="auto"/>
      </w:divBdr>
    </w:div>
    <w:div w:id="303194901">
      <w:bodyDiv w:val="1"/>
      <w:marLeft w:val="0"/>
      <w:marRight w:val="0"/>
      <w:marTop w:val="0"/>
      <w:marBottom w:val="0"/>
      <w:divBdr>
        <w:top w:val="none" w:sz="0" w:space="0" w:color="auto"/>
        <w:left w:val="none" w:sz="0" w:space="0" w:color="auto"/>
        <w:bottom w:val="none" w:sz="0" w:space="0" w:color="auto"/>
        <w:right w:val="none" w:sz="0" w:space="0" w:color="auto"/>
      </w:divBdr>
    </w:div>
    <w:div w:id="323247694">
      <w:bodyDiv w:val="1"/>
      <w:marLeft w:val="0"/>
      <w:marRight w:val="0"/>
      <w:marTop w:val="0"/>
      <w:marBottom w:val="0"/>
      <w:divBdr>
        <w:top w:val="none" w:sz="0" w:space="0" w:color="auto"/>
        <w:left w:val="none" w:sz="0" w:space="0" w:color="auto"/>
        <w:bottom w:val="none" w:sz="0" w:space="0" w:color="auto"/>
        <w:right w:val="none" w:sz="0" w:space="0" w:color="auto"/>
      </w:divBdr>
    </w:div>
    <w:div w:id="352074380">
      <w:bodyDiv w:val="1"/>
      <w:marLeft w:val="0"/>
      <w:marRight w:val="0"/>
      <w:marTop w:val="0"/>
      <w:marBottom w:val="0"/>
      <w:divBdr>
        <w:top w:val="none" w:sz="0" w:space="0" w:color="auto"/>
        <w:left w:val="none" w:sz="0" w:space="0" w:color="auto"/>
        <w:bottom w:val="none" w:sz="0" w:space="0" w:color="auto"/>
        <w:right w:val="none" w:sz="0" w:space="0" w:color="auto"/>
      </w:divBdr>
    </w:div>
    <w:div w:id="354621022">
      <w:bodyDiv w:val="1"/>
      <w:marLeft w:val="0"/>
      <w:marRight w:val="0"/>
      <w:marTop w:val="0"/>
      <w:marBottom w:val="0"/>
      <w:divBdr>
        <w:top w:val="none" w:sz="0" w:space="0" w:color="auto"/>
        <w:left w:val="none" w:sz="0" w:space="0" w:color="auto"/>
        <w:bottom w:val="none" w:sz="0" w:space="0" w:color="auto"/>
        <w:right w:val="none" w:sz="0" w:space="0" w:color="auto"/>
      </w:divBdr>
    </w:div>
    <w:div w:id="361514774">
      <w:bodyDiv w:val="1"/>
      <w:marLeft w:val="0"/>
      <w:marRight w:val="0"/>
      <w:marTop w:val="0"/>
      <w:marBottom w:val="0"/>
      <w:divBdr>
        <w:top w:val="none" w:sz="0" w:space="0" w:color="auto"/>
        <w:left w:val="none" w:sz="0" w:space="0" w:color="auto"/>
        <w:bottom w:val="none" w:sz="0" w:space="0" w:color="auto"/>
        <w:right w:val="none" w:sz="0" w:space="0" w:color="auto"/>
      </w:divBdr>
      <w:divsChild>
        <w:div w:id="79913398">
          <w:marLeft w:val="0"/>
          <w:marRight w:val="0"/>
          <w:marTop w:val="0"/>
          <w:marBottom w:val="0"/>
          <w:divBdr>
            <w:top w:val="none" w:sz="0" w:space="0" w:color="auto"/>
            <w:left w:val="none" w:sz="0" w:space="0" w:color="auto"/>
            <w:bottom w:val="none" w:sz="0" w:space="0" w:color="auto"/>
            <w:right w:val="none" w:sz="0" w:space="0" w:color="auto"/>
          </w:divBdr>
        </w:div>
      </w:divsChild>
    </w:div>
    <w:div w:id="364792557">
      <w:bodyDiv w:val="1"/>
      <w:marLeft w:val="0"/>
      <w:marRight w:val="0"/>
      <w:marTop w:val="0"/>
      <w:marBottom w:val="0"/>
      <w:divBdr>
        <w:top w:val="none" w:sz="0" w:space="0" w:color="auto"/>
        <w:left w:val="none" w:sz="0" w:space="0" w:color="auto"/>
        <w:bottom w:val="none" w:sz="0" w:space="0" w:color="auto"/>
        <w:right w:val="none" w:sz="0" w:space="0" w:color="auto"/>
      </w:divBdr>
      <w:divsChild>
        <w:div w:id="536549355">
          <w:marLeft w:val="0"/>
          <w:marRight w:val="0"/>
          <w:marTop w:val="0"/>
          <w:marBottom w:val="0"/>
          <w:divBdr>
            <w:top w:val="none" w:sz="0" w:space="0" w:color="auto"/>
            <w:left w:val="none" w:sz="0" w:space="0" w:color="auto"/>
            <w:bottom w:val="none" w:sz="0" w:space="0" w:color="auto"/>
            <w:right w:val="none" w:sz="0" w:space="0" w:color="auto"/>
          </w:divBdr>
        </w:div>
      </w:divsChild>
    </w:div>
    <w:div w:id="365175509">
      <w:bodyDiv w:val="1"/>
      <w:marLeft w:val="0"/>
      <w:marRight w:val="0"/>
      <w:marTop w:val="0"/>
      <w:marBottom w:val="0"/>
      <w:divBdr>
        <w:top w:val="none" w:sz="0" w:space="0" w:color="auto"/>
        <w:left w:val="none" w:sz="0" w:space="0" w:color="auto"/>
        <w:bottom w:val="none" w:sz="0" w:space="0" w:color="auto"/>
        <w:right w:val="none" w:sz="0" w:space="0" w:color="auto"/>
      </w:divBdr>
    </w:div>
    <w:div w:id="365326855">
      <w:bodyDiv w:val="1"/>
      <w:marLeft w:val="0"/>
      <w:marRight w:val="0"/>
      <w:marTop w:val="0"/>
      <w:marBottom w:val="0"/>
      <w:divBdr>
        <w:top w:val="none" w:sz="0" w:space="0" w:color="auto"/>
        <w:left w:val="none" w:sz="0" w:space="0" w:color="auto"/>
        <w:bottom w:val="none" w:sz="0" w:space="0" w:color="auto"/>
        <w:right w:val="none" w:sz="0" w:space="0" w:color="auto"/>
      </w:divBdr>
    </w:div>
    <w:div w:id="369647694">
      <w:bodyDiv w:val="1"/>
      <w:marLeft w:val="0"/>
      <w:marRight w:val="0"/>
      <w:marTop w:val="0"/>
      <w:marBottom w:val="0"/>
      <w:divBdr>
        <w:top w:val="none" w:sz="0" w:space="0" w:color="auto"/>
        <w:left w:val="none" w:sz="0" w:space="0" w:color="auto"/>
        <w:bottom w:val="none" w:sz="0" w:space="0" w:color="auto"/>
        <w:right w:val="none" w:sz="0" w:space="0" w:color="auto"/>
      </w:divBdr>
    </w:div>
    <w:div w:id="378743157">
      <w:bodyDiv w:val="1"/>
      <w:marLeft w:val="0"/>
      <w:marRight w:val="0"/>
      <w:marTop w:val="0"/>
      <w:marBottom w:val="0"/>
      <w:divBdr>
        <w:top w:val="none" w:sz="0" w:space="0" w:color="auto"/>
        <w:left w:val="none" w:sz="0" w:space="0" w:color="auto"/>
        <w:bottom w:val="none" w:sz="0" w:space="0" w:color="auto"/>
        <w:right w:val="none" w:sz="0" w:space="0" w:color="auto"/>
      </w:divBdr>
    </w:div>
    <w:div w:id="404689125">
      <w:bodyDiv w:val="1"/>
      <w:marLeft w:val="0"/>
      <w:marRight w:val="0"/>
      <w:marTop w:val="0"/>
      <w:marBottom w:val="0"/>
      <w:divBdr>
        <w:top w:val="none" w:sz="0" w:space="0" w:color="auto"/>
        <w:left w:val="none" w:sz="0" w:space="0" w:color="auto"/>
        <w:bottom w:val="none" w:sz="0" w:space="0" w:color="auto"/>
        <w:right w:val="none" w:sz="0" w:space="0" w:color="auto"/>
      </w:divBdr>
    </w:div>
    <w:div w:id="422459584">
      <w:bodyDiv w:val="1"/>
      <w:marLeft w:val="0"/>
      <w:marRight w:val="0"/>
      <w:marTop w:val="0"/>
      <w:marBottom w:val="0"/>
      <w:divBdr>
        <w:top w:val="none" w:sz="0" w:space="0" w:color="auto"/>
        <w:left w:val="none" w:sz="0" w:space="0" w:color="auto"/>
        <w:bottom w:val="none" w:sz="0" w:space="0" w:color="auto"/>
        <w:right w:val="none" w:sz="0" w:space="0" w:color="auto"/>
      </w:divBdr>
      <w:divsChild>
        <w:div w:id="1038623860">
          <w:marLeft w:val="0"/>
          <w:marRight w:val="0"/>
          <w:marTop w:val="0"/>
          <w:marBottom w:val="0"/>
          <w:divBdr>
            <w:top w:val="none" w:sz="0" w:space="0" w:color="auto"/>
            <w:left w:val="none" w:sz="0" w:space="0" w:color="auto"/>
            <w:bottom w:val="none" w:sz="0" w:space="0" w:color="auto"/>
            <w:right w:val="none" w:sz="0" w:space="0" w:color="auto"/>
          </w:divBdr>
        </w:div>
      </w:divsChild>
    </w:div>
    <w:div w:id="428703208">
      <w:bodyDiv w:val="1"/>
      <w:marLeft w:val="0"/>
      <w:marRight w:val="0"/>
      <w:marTop w:val="0"/>
      <w:marBottom w:val="0"/>
      <w:divBdr>
        <w:top w:val="none" w:sz="0" w:space="0" w:color="auto"/>
        <w:left w:val="none" w:sz="0" w:space="0" w:color="auto"/>
        <w:bottom w:val="none" w:sz="0" w:space="0" w:color="auto"/>
        <w:right w:val="none" w:sz="0" w:space="0" w:color="auto"/>
      </w:divBdr>
    </w:div>
    <w:div w:id="441341404">
      <w:bodyDiv w:val="1"/>
      <w:marLeft w:val="0"/>
      <w:marRight w:val="0"/>
      <w:marTop w:val="0"/>
      <w:marBottom w:val="0"/>
      <w:divBdr>
        <w:top w:val="none" w:sz="0" w:space="0" w:color="auto"/>
        <w:left w:val="none" w:sz="0" w:space="0" w:color="auto"/>
        <w:bottom w:val="none" w:sz="0" w:space="0" w:color="auto"/>
        <w:right w:val="none" w:sz="0" w:space="0" w:color="auto"/>
      </w:divBdr>
    </w:div>
    <w:div w:id="446583853">
      <w:bodyDiv w:val="1"/>
      <w:marLeft w:val="0"/>
      <w:marRight w:val="0"/>
      <w:marTop w:val="0"/>
      <w:marBottom w:val="0"/>
      <w:divBdr>
        <w:top w:val="none" w:sz="0" w:space="0" w:color="auto"/>
        <w:left w:val="none" w:sz="0" w:space="0" w:color="auto"/>
        <w:bottom w:val="none" w:sz="0" w:space="0" w:color="auto"/>
        <w:right w:val="none" w:sz="0" w:space="0" w:color="auto"/>
      </w:divBdr>
      <w:divsChild>
        <w:div w:id="1123158791">
          <w:marLeft w:val="0"/>
          <w:marRight w:val="0"/>
          <w:marTop w:val="0"/>
          <w:marBottom w:val="0"/>
          <w:divBdr>
            <w:top w:val="none" w:sz="0" w:space="0" w:color="auto"/>
            <w:left w:val="none" w:sz="0" w:space="0" w:color="auto"/>
            <w:bottom w:val="none" w:sz="0" w:space="0" w:color="auto"/>
            <w:right w:val="none" w:sz="0" w:space="0" w:color="auto"/>
          </w:divBdr>
        </w:div>
      </w:divsChild>
    </w:div>
    <w:div w:id="456024072">
      <w:bodyDiv w:val="1"/>
      <w:marLeft w:val="0"/>
      <w:marRight w:val="0"/>
      <w:marTop w:val="0"/>
      <w:marBottom w:val="0"/>
      <w:divBdr>
        <w:top w:val="none" w:sz="0" w:space="0" w:color="auto"/>
        <w:left w:val="none" w:sz="0" w:space="0" w:color="auto"/>
        <w:bottom w:val="none" w:sz="0" w:space="0" w:color="auto"/>
        <w:right w:val="none" w:sz="0" w:space="0" w:color="auto"/>
      </w:divBdr>
    </w:div>
    <w:div w:id="469323759">
      <w:bodyDiv w:val="1"/>
      <w:marLeft w:val="0"/>
      <w:marRight w:val="0"/>
      <w:marTop w:val="0"/>
      <w:marBottom w:val="0"/>
      <w:divBdr>
        <w:top w:val="none" w:sz="0" w:space="0" w:color="auto"/>
        <w:left w:val="none" w:sz="0" w:space="0" w:color="auto"/>
        <w:bottom w:val="none" w:sz="0" w:space="0" w:color="auto"/>
        <w:right w:val="none" w:sz="0" w:space="0" w:color="auto"/>
      </w:divBdr>
    </w:div>
    <w:div w:id="488638250">
      <w:bodyDiv w:val="1"/>
      <w:marLeft w:val="0"/>
      <w:marRight w:val="0"/>
      <w:marTop w:val="0"/>
      <w:marBottom w:val="0"/>
      <w:divBdr>
        <w:top w:val="none" w:sz="0" w:space="0" w:color="auto"/>
        <w:left w:val="none" w:sz="0" w:space="0" w:color="auto"/>
        <w:bottom w:val="none" w:sz="0" w:space="0" w:color="auto"/>
        <w:right w:val="none" w:sz="0" w:space="0" w:color="auto"/>
      </w:divBdr>
    </w:div>
    <w:div w:id="489760107">
      <w:bodyDiv w:val="1"/>
      <w:marLeft w:val="0"/>
      <w:marRight w:val="0"/>
      <w:marTop w:val="0"/>
      <w:marBottom w:val="0"/>
      <w:divBdr>
        <w:top w:val="none" w:sz="0" w:space="0" w:color="auto"/>
        <w:left w:val="none" w:sz="0" w:space="0" w:color="auto"/>
        <w:bottom w:val="none" w:sz="0" w:space="0" w:color="auto"/>
        <w:right w:val="none" w:sz="0" w:space="0" w:color="auto"/>
      </w:divBdr>
      <w:divsChild>
        <w:div w:id="222445142">
          <w:marLeft w:val="0"/>
          <w:marRight w:val="0"/>
          <w:marTop w:val="0"/>
          <w:marBottom w:val="0"/>
          <w:divBdr>
            <w:top w:val="none" w:sz="0" w:space="0" w:color="auto"/>
            <w:left w:val="none" w:sz="0" w:space="0" w:color="auto"/>
            <w:bottom w:val="none" w:sz="0" w:space="0" w:color="auto"/>
            <w:right w:val="none" w:sz="0" w:space="0" w:color="auto"/>
          </w:divBdr>
        </w:div>
        <w:div w:id="996109056">
          <w:marLeft w:val="0"/>
          <w:marRight w:val="0"/>
          <w:marTop w:val="0"/>
          <w:marBottom w:val="0"/>
          <w:divBdr>
            <w:top w:val="none" w:sz="0" w:space="0" w:color="auto"/>
            <w:left w:val="none" w:sz="0" w:space="0" w:color="auto"/>
            <w:bottom w:val="none" w:sz="0" w:space="0" w:color="auto"/>
            <w:right w:val="none" w:sz="0" w:space="0" w:color="auto"/>
          </w:divBdr>
        </w:div>
        <w:div w:id="1606841004">
          <w:marLeft w:val="0"/>
          <w:marRight w:val="0"/>
          <w:marTop w:val="0"/>
          <w:marBottom w:val="0"/>
          <w:divBdr>
            <w:top w:val="none" w:sz="0" w:space="0" w:color="auto"/>
            <w:left w:val="none" w:sz="0" w:space="0" w:color="auto"/>
            <w:bottom w:val="none" w:sz="0" w:space="0" w:color="auto"/>
            <w:right w:val="none" w:sz="0" w:space="0" w:color="auto"/>
          </w:divBdr>
        </w:div>
        <w:div w:id="1666132715">
          <w:marLeft w:val="0"/>
          <w:marRight w:val="0"/>
          <w:marTop w:val="0"/>
          <w:marBottom w:val="0"/>
          <w:divBdr>
            <w:top w:val="none" w:sz="0" w:space="0" w:color="auto"/>
            <w:left w:val="none" w:sz="0" w:space="0" w:color="auto"/>
            <w:bottom w:val="none" w:sz="0" w:space="0" w:color="auto"/>
            <w:right w:val="none" w:sz="0" w:space="0" w:color="auto"/>
          </w:divBdr>
        </w:div>
        <w:div w:id="2049334201">
          <w:marLeft w:val="0"/>
          <w:marRight w:val="0"/>
          <w:marTop w:val="0"/>
          <w:marBottom w:val="0"/>
          <w:divBdr>
            <w:top w:val="none" w:sz="0" w:space="0" w:color="auto"/>
            <w:left w:val="none" w:sz="0" w:space="0" w:color="auto"/>
            <w:bottom w:val="none" w:sz="0" w:space="0" w:color="auto"/>
            <w:right w:val="none" w:sz="0" w:space="0" w:color="auto"/>
          </w:divBdr>
        </w:div>
      </w:divsChild>
    </w:div>
    <w:div w:id="491915947">
      <w:bodyDiv w:val="1"/>
      <w:marLeft w:val="0"/>
      <w:marRight w:val="0"/>
      <w:marTop w:val="0"/>
      <w:marBottom w:val="0"/>
      <w:divBdr>
        <w:top w:val="none" w:sz="0" w:space="0" w:color="auto"/>
        <w:left w:val="none" w:sz="0" w:space="0" w:color="auto"/>
        <w:bottom w:val="none" w:sz="0" w:space="0" w:color="auto"/>
        <w:right w:val="none" w:sz="0" w:space="0" w:color="auto"/>
      </w:divBdr>
    </w:div>
    <w:div w:id="509102421">
      <w:bodyDiv w:val="1"/>
      <w:marLeft w:val="0"/>
      <w:marRight w:val="0"/>
      <w:marTop w:val="0"/>
      <w:marBottom w:val="0"/>
      <w:divBdr>
        <w:top w:val="none" w:sz="0" w:space="0" w:color="auto"/>
        <w:left w:val="none" w:sz="0" w:space="0" w:color="auto"/>
        <w:bottom w:val="none" w:sz="0" w:space="0" w:color="auto"/>
        <w:right w:val="none" w:sz="0" w:space="0" w:color="auto"/>
      </w:divBdr>
    </w:div>
    <w:div w:id="509947769">
      <w:bodyDiv w:val="1"/>
      <w:marLeft w:val="0"/>
      <w:marRight w:val="0"/>
      <w:marTop w:val="0"/>
      <w:marBottom w:val="0"/>
      <w:divBdr>
        <w:top w:val="none" w:sz="0" w:space="0" w:color="auto"/>
        <w:left w:val="none" w:sz="0" w:space="0" w:color="auto"/>
        <w:bottom w:val="none" w:sz="0" w:space="0" w:color="auto"/>
        <w:right w:val="none" w:sz="0" w:space="0" w:color="auto"/>
      </w:divBdr>
    </w:div>
    <w:div w:id="520779066">
      <w:bodyDiv w:val="1"/>
      <w:marLeft w:val="0"/>
      <w:marRight w:val="0"/>
      <w:marTop w:val="0"/>
      <w:marBottom w:val="0"/>
      <w:divBdr>
        <w:top w:val="none" w:sz="0" w:space="0" w:color="auto"/>
        <w:left w:val="none" w:sz="0" w:space="0" w:color="auto"/>
        <w:bottom w:val="none" w:sz="0" w:space="0" w:color="auto"/>
        <w:right w:val="none" w:sz="0" w:space="0" w:color="auto"/>
      </w:divBdr>
    </w:div>
    <w:div w:id="521011712">
      <w:bodyDiv w:val="1"/>
      <w:marLeft w:val="0"/>
      <w:marRight w:val="0"/>
      <w:marTop w:val="0"/>
      <w:marBottom w:val="0"/>
      <w:divBdr>
        <w:top w:val="none" w:sz="0" w:space="0" w:color="auto"/>
        <w:left w:val="none" w:sz="0" w:space="0" w:color="auto"/>
        <w:bottom w:val="none" w:sz="0" w:space="0" w:color="auto"/>
        <w:right w:val="none" w:sz="0" w:space="0" w:color="auto"/>
      </w:divBdr>
      <w:divsChild>
        <w:div w:id="172257699">
          <w:marLeft w:val="0"/>
          <w:marRight w:val="0"/>
          <w:marTop w:val="0"/>
          <w:marBottom w:val="0"/>
          <w:divBdr>
            <w:top w:val="none" w:sz="0" w:space="0" w:color="auto"/>
            <w:left w:val="none" w:sz="0" w:space="0" w:color="auto"/>
            <w:bottom w:val="none" w:sz="0" w:space="0" w:color="auto"/>
            <w:right w:val="none" w:sz="0" w:space="0" w:color="auto"/>
          </w:divBdr>
        </w:div>
      </w:divsChild>
    </w:div>
    <w:div w:id="525562262">
      <w:bodyDiv w:val="1"/>
      <w:marLeft w:val="0"/>
      <w:marRight w:val="0"/>
      <w:marTop w:val="0"/>
      <w:marBottom w:val="0"/>
      <w:divBdr>
        <w:top w:val="none" w:sz="0" w:space="0" w:color="auto"/>
        <w:left w:val="none" w:sz="0" w:space="0" w:color="auto"/>
        <w:bottom w:val="none" w:sz="0" w:space="0" w:color="auto"/>
        <w:right w:val="none" w:sz="0" w:space="0" w:color="auto"/>
      </w:divBdr>
    </w:div>
    <w:div w:id="532422673">
      <w:bodyDiv w:val="1"/>
      <w:marLeft w:val="0"/>
      <w:marRight w:val="0"/>
      <w:marTop w:val="0"/>
      <w:marBottom w:val="0"/>
      <w:divBdr>
        <w:top w:val="none" w:sz="0" w:space="0" w:color="auto"/>
        <w:left w:val="none" w:sz="0" w:space="0" w:color="auto"/>
        <w:bottom w:val="none" w:sz="0" w:space="0" w:color="auto"/>
        <w:right w:val="none" w:sz="0" w:space="0" w:color="auto"/>
      </w:divBdr>
    </w:div>
    <w:div w:id="545919292">
      <w:bodyDiv w:val="1"/>
      <w:marLeft w:val="0"/>
      <w:marRight w:val="0"/>
      <w:marTop w:val="0"/>
      <w:marBottom w:val="0"/>
      <w:divBdr>
        <w:top w:val="none" w:sz="0" w:space="0" w:color="auto"/>
        <w:left w:val="none" w:sz="0" w:space="0" w:color="auto"/>
        <w:bottom w:val="none" w:sz="0" w:space="0" w:color="auto"/>
        <w:right w:val="none" w:sz="0" w:space="0" w:color="auto"/>
      </w:divBdr>
    </w:div>
    <w:div w:id="558325012">
      <w:bodyDiv w:val="1"/>
      <w:marLeft w:val="0"/>
      <w:marRight w:val="0"/>
      <w:marTop w:val="0"/>
      <w:marBottom w:val="0"/>
      <w:divBdr>
        <w:top w:val="none" w:sz="0" w:space="0" w:color="auto"/>
        <w:left w:val="none" w:sz="0" w:space="0" w:color="auto"/>
        <w:bottom w:val="none" w:sz="0" w:space="0" w:color="auto"/>
        <w:right w:val="none" w:sz="0" w:space="0" w:color="auto"/>
      </w:divBdr>
    </w:div>
    <w:div w:id="562495513">
      <w:bodyDiv w:val="1"/>
      <w:marLeft w:val="0"/>
      <w:marRight w:val="0"/>
      <w:marTop w:val="0"/>
      <w:marBottom w:val="0"/>
      <w:divBdr>
        <w:top w:val="none" w:sz="0" w:space="0" w:color="auto"/>
        <w:left w:val="none" w:sz="0" w:space="0" w:color="auto"/>
        <w:bottom w:val="none" w:sz="0" w:space="0" w:color="auto"/>
        <w:right w:val="none" w:sz="0" w:space="0" w:color="auto"/>
      </w:divBdr>
    </w:div>
    <w:div w:id="603224247">
      <w:bodyDiv w:val="1"/>
      <w:marLeft w:val="0"/>
      <w:marRight w:val="0"/>
      <w:marTop w:val="0"/>
      <w:marBottom w:val="0"/>
      <w:divBdr>
        <w:top w:val="none" w:sz="0" w:space="0" w:color="auto"/>
        <w:left w:val="none" w:sz="0" w:space="0" w:color="auto"/>
        <w:bottom w:val="none" w:sz="0" w:space="0" w:color="auto"/>
        <w:right w:val="none" w:sz="0" w:space="0" w:color="auto"/>
      </w:divBdr>
    </w:div>
    <w:div w:id="604774757">
      <w:bodyDiv w:val="1"/>
      <w:marLeft w:val="0"/>
      <w:marRight w:val="0"/>
      <w:marTop w:val="0"/>
      <w:marBottom w:val="0"/>
      <w:divBdr>
        <w:top w:val="none" w:sz="0" w:space="0" w:color="auto"/>
        <w:left w:val="none" w:sz="0" w:space="0" w:color="auto"/>
        <w:bottom w:val="none" w:sz="0" w:space="0" w:color="auto"/>
        <w:right w:val="none" w:sz="0" w:space="0" w:color="auto"/>
      </w:divBdr>
    </w:div>
    <w:div w:id="605115622">
      <w:bodyDiv w:val="1"/>
      <w:marLeft w:val="0"/>
      <w:marRight w:val="0"/>
      <w:marTop w:val="0"/>
      <w:marBottom w:val="0"/>
      <w:divBdr>
        <w:top w:val="none" w:sz="0" w:space="0" w:color="auto"/>
        <w:left w:val="none" w:sz="0" w:space="0" w:color="auto"/>
        <w:bottom w:val="none" w:sz="0" w:space="0" w:color="auto"/>
        <w:right w:val="none" w:sz="0" w:space="0" w:color="auto"/>
      </w:divBdr>
    </w:div>
    <w:div w:id="611059161">
      <w:bodyDiv w:val="1"/>
      <w:marLeft w:val="0"/>
      <w:marRight w:val="0"/>
      <w:marTop w:val="0"/>
      <w:marBottom w:val="0"/>
      <w:divBdr>
        <w:top w:val="none" w:sz="0" w:space="0" w:color="auto"/>
        <w:left w:val="none" w:sz="0" w:space="0" w:color="auto"/>
        <w:bottom w:val="none" w:sz="0" w:space="0" w:color="auto"/>
        <w:right w:val="none" w:sz="0" w:space="0" w:color="auto"/>
      </w:divBdr>
    </w:div>
    <w:div w:id="627468581">
      <w:bodyDiv w:val="1"/>
      <w:marLeft w:val="0"/>
      <w:marRight w:val="0"/>
      <w:marTop w:val="0"/>
      <w:marBottom w:val="0"/>
      <w:divBdr>
        <w:top w:val="none" w:sz="0" w:space="0" w:color="auto"/>
        <w:left w:val="none" w:sz="0" w:space="0" w:color="auto"/>
        <w:bottom w:val="none" w:sz="0" w:space="0" w:color="auto"/>
        <w:right w:val="none" w:sz="0" w:space="0" w:color="auto"/>
      </w:divBdr>
      <w:divsChild>
        <w:div w:id="128013085">
          <w:marLeft w:val="0"/>
          <w:marRight w:val="0"/>
          <w:marTop w:val="0"/>
          <w:marBottom w:val="0"/>
          <w:divBdr>
            <w:top w:val="none" w:sz="0" w:space="0" w:color="auto"/>
            <w:left w:val="none" w:sz="0" w:space="0" w:color="auto"/>
            <w:bottom w:val="none" w:sz="0" w:space="0" w:color="auto"/>
            <w:right w:val="none" w:sz="0" w:space="0" w:color="auto"/>
          </w:divBdr>
        </w:div>
      </w:divsChild>
    </w:div>
    <w:div w:id="631059404">
      <w:bodyDiv w:val="1"/>
      <w:marLeft w:val="0"/>
      <w:marRight w:val="0"/>
      <w:marTop w:val="0"/>
      <w:marBottom w:val="0"/>
      <w:divBdr>
        <w:top w:val="none" w:sz="0" w:space="0" w:color="auto"/>
        <w:left w:val="none" w:sz="0" w:space="0" w:color="auto"/>
        <w:bottom w:val="none" w:sz="0" w:space="0" w:color="auto"/>
        <w:right w:val="none" w:sz="0" w:space="0" w:color="auto"/>
      </w:divBdr>
    </w:div>
    <w:div w:id="632441721">
      <w:bodyDiv w:val="1"/>
      <w:marLeft w:val="0"/>
      <w:marRight w:val="0"/>
      <w:marTop w:val="0"/>
      <w:marBottom w:val="0"/>
      <w:divBdr>
        <w:top w:val="none" w:sz="0" w:space="0" w:color="auto"/>
        <w:left w:val="none" w:sz="0" w:space="0" w:color="auto"/>
        <w:bottom w:val="none" w:sz="0" w:space="0" w:color="auto"/>
        <w:right w:val="none" w:sz="0" w:space="0" w:color="auto"/>
      </w:divBdr>
    </w:div>
    <w:div w:id="635338162">
      <w:bodyDiv w:val="1"/>
      <w:marLeft w:val="0"/>
      <w:marRight w:val="0"/>
      <w:marTop w:val="0"/>
      <w:marBottom w:val="0"/>
      <w:divBdr>
        <w:top w:val="none" w:sz="0" w:space="0" w:color="auto"/>
        <w:left w:val="none" w:sz="0" w:space="0" w:color="auto"/>
        <w:bottom w:val="none" w:sz="0" w:space="0" w:color="auto"/>
        <w:right w:val="none" w:sz="0" w:space="0" w:color="auto"/>
      </w:divBdr>
      <w:divsChild>
        <w:div w:id="350112954">
          <w:marLeft w:val="0"/>
          <w:marRight w:val="0"/>
          <w:marTop w:val="0"/>
          <w:marBottom w:val="0"/>
          <w:divBdr>
            <w:top w:val="none" w:sz="0" w:space="0" w:color="auto"/>
            <w:left w:val="none" w:sz="0" w:space="0" w:color="auto"/>
            <w:bottom w:val="none" w:sz="0" w:space="0" w:color="auto"/>
            <w:right w:val="none" w:sz="0" w:space="0" w:color="auto"/>
          </w:divBdr>
        </w:div>
      </w:divsChild>
    </w:div>
    <w:div w:id="639386024">
      <w:bodyDiv w:val="1"/>
      <w:marLeft w:val="0"/>
      <w:marRight w:val="0"/>
      <w:marTop w:val="0"/>
      <w:marBottom w:val="0"/>
      <w:divBdr>
        <w:top w:val="none" w:sz="0" w:space="0" w:color="auto"/>
        <w:left w:val="none" w:sz="0" w:space="0" w:color="auto"/>
        <w:bottom w:val="none" w:sz="0" w:space="0" w:color="auto"/>
        <w:right w:val="none" w:sz="0" w:space="0" w:color="auto"/>
      </w:divBdr>
      <w:divsChild>
        <w:div w:id="485752953">
          <w:marLeft w:val="0"/>
          <w:marRight w:val="0"/>
          <w:marTop w:val="0"/>
          <w:marBottom w:val="0"/>
          <w:divBdr>
            <w:top w:val="none" w:sz="0" w:space="0" w:color="auto"/>
            <w:left w:val="none" w:sz="0" w:space="0" w:color="auto"/>
            <w:bottom w:val="none" w:sz="0" w:space="0" w:color="auto"/>
            <w:right w:val="none" w:sz="0" w:space="0" w:color="auto"/>
          </w:divBdr>
        </w:div>
      </w:divsChild>
    </w:div>
    <w:div w:id="649871753">
      <w:bodyDiv w:val="1"/>
      <w:marLeft w:val="0"/>
      <w:marRight w:val="0"/>
      <w:marTop w:val="0"/>
      <w:marBottom w:val="0"/>
      <w:divBdr>
        <w:top w:val="none" w:sz="0" w:space="0" w:color="auto"/>
        <w:left w:val="none" w:sz="0" w:space="0" w:color="auto"/>
        <w:bottom w:val="none" w:sz="0" w:space="0" w:color="auto"/>
        <w:right w:val="none" w:sz="0" w:space="0" w:color="auto"/>
      </w:divBdr>
    </w:div>
    <w:div w:id="674721636">
      <w:bodyDiv w:val="1"/>
      <w:marLeft w:val="0"/>
      <w:marRight w:val="0"/>
      <w:marTop w:val="0"/>
      <w:marBottom w:val="0"/>
      <w:divBdr>
        <w:top w:val="none" w:sz="0" w:space="0" w:color="auto"/>
        <w:left w:val="none" w:sz="0" w:space="0" w:color="auto"/>
        <w:bottom w:val="none" w:sz="0" w:space="0" w:color="auto"/>
        <w:right w:val="none" w:sz="0" w:space="0" w:color="auto"/>
      </w:divBdr>
      <w:divsChild>
        <w:div w:id="2042122967">
          <w:marLeft w:val="0"/>
          <w:marRight w:val="0"/>
          <w:marTop w:val="0"/>
          <w:marBottom w:val="0"/>
          <w:divBdr>
            <w:top w:val="none" w:sz="0" w:space="0" w:color="auto"/>
            <w:left w:val="none" w:sz="0" w:space="0" w:color="auto"/>
            <w:bottom w:val="none" w:sz="0" w:space="0" w:color="auto"/>
            <w:right w:val="none" w:sz="0" w:space="0" w:color="auto"/>
          </w:divBdr>
        </w:div>
      </w:divsChild>
    </w:div>
    <w:div w:id="697008106">
      <w:bodyDiv w:val="1"/>
      <w:marLeft w:val="0"/>
      <w:marRight w:val="0"/>
      <w:marTop w:val="0"/>
      <w:marBottom w:val="0"/>
      <w:divBdr>
        <w:top w:val="none" w:sz="0" w:space="0" w:color="auto"/>
        <w:left w:val="none" w:sz="0" w:space="0" w:color="auto"/>
        <w:bottom w:val="none" w:sz="0" w:space="0" w:color="auto"/>
        <w:right w:val="none" w:sz="0" w:space="0" w:color="auto"/>
      </w:divBdr>
      <w:divsChild>
        <w:div w:id="2065373957">
          <w:marLeft w:val="0"/>
          <w:marRight w:val="0"/>
          <w:marTop w:val="0"/>
          <w:marBottom w:val="0"/>
          <w:divBdr>
            <w:top w:val="none" w:sz="0" w:space="0" w:color="auto"/>
            <w:left w:val="none" w:sz="0" w:space="0" w:color="auto"/>
            <w:bottom w:val="none" w:sz="0" w:space="0" w:color="auto"/>
            <w:right w:val="none" w:sz="0" w:space="0" w:color="auto"/>
          </w:divBdr>
        </w:div>
      </w:divsChild>
    </w:div>
    <w:div w:id="704674263">
      <w:bodyDiv w:val="1"/>
      <w:marLeft w:val="0"/>
      <w:marRight w:val="0"/>
      <w:marTop w:val="0"/>
      <w:marBottom w:val="0"/>
      <w:divBdr>
        <w:top w:val="none" w:sz="0" w:space="0" w:color="auto"/>
        <w:left w:val="none" w:sz="0" w:space="0" w:color="auto"/>
        <w:bottom w:val="none" w:sz="0" w:space="0" w:color="auto"/>
        <w:right w:val="none" w:sz="0" w:space="0" w:color="auto"/>
      </w:divBdr>
      <w:divsChild>
        <w:div w:id="412824697">
          <w:marLeft w:val="0"/>
          <w:marRight w:val="0"/>
          <w:marTop w:val="0"/>
          <w:marBottom w:val="0"/>
          <w:divBdr>
            <w:top w:val="none" w:sz="0" w:space="0" w:color="auto"/>
            <w:left w:val="none" w:sz="0" w:space="0" w:color="auto"/>
            <w:bottom w:val="none" w:sz="0" w:space="0" w:color="auto"/>
            <w:right w:val="none" w:sz="0" w:space="0" w:color="auto"/>
          </w:divBdr>
        </w:div>
        <w:div w:id="483352811">
          <w:marLeft w:val="0"/>
          <w:marRight w:val="0"/>
          <w:marTop w:val="0"/>
          <w:marBottom w:val="0"/>
          <w:divBdr>
            <w:top w:val="none" w:sz="0" w:space="0" w:color="auto"/>
            <w:left w:val="none" w:sz="0" w:space="0" w:color="auto"/>
            <w:bottom w:val="none" w:sz="0" w:space="0" w:color="auto"/>
            <w:right w:val="none" w:sz="0" w:space="0" w:color="auto"/>
          </w:divBdr>
        </w:div>
        <w:div w:id="675380769">
          <w:marLeft w:val="0"/>
          <w:marRight w:val="0"/>
          <w:marTop w:val="0"/>
          <w:marBottom w:val="0"/>
          <w:divBdr>
            <w:top w:val="none" w:sz="0" w:space="0" w:color="auto"/>
            <w:left w:val="none" w:sz="0" w:space="0" w:color="auto"/>
            <w:bottom w:val="none" w:sz="0" w:space="0" w:color="auto"/>
            <w:right w:val="none" w:sz="0" w:space="0" w:color="auto"/>
          </w:divBdr>
        </w:div>
        <w:div w:id="751046868">
          <w:marLeft w:val="0"/>
          <w:marRight w:val="0"/>
          <w:marTop w:val="0"/>
          <w:marBottom w:val="0"/>
          <w:divBdr>
            <w:top w:val="none" w:sz="0" w:space="0" w:color="auto"/>
            <w:left w:val="none" w:sz="0" w:space="0" w:color="auto"/>
            <w:bottom w:val="none" w:sz="0" w:space="0" w:color="auto"/>
            <w:right w:val="none" w:sz="0" w:space="0" w:color="auto"/>
          </w:divBdr>
        </w:div>
        <w:div w:id="1813214500">
          <w:marLeft w:val="0"/>
          <w:marRight w:val="0"/>
          <w:marTop w:val="0"/>
          <w:marBottom w:val="0"/>
          <w:divBdr>
            <w:top w:val="none" w:sz="0" w:space="0" w:color="auto"/>
            <w:left w:val="none" w:sz="0" w:space="0" w:color="auto"/>
            <w:bottom w:val="none" w:sz="0" w:space="0" w:color="auto"/>
            <w:right w:val="none" w:sz="0" w:space="0" w:color="auto"/>
          </w:divBdr>
        </w:div>
      </w:divsChild>
    </w:div>
    <w:div w:id="708529926">
      <w:bodyDiv w:val="1"/>
      <w:marLeft w:val="0"/>
      <w:marRight w:val="0"/>
      <w:marTop w:val="0"/>
      <w:marBottom w:val="0"/>
      <w:divBdr>
        <w:top w:val="none" w:sz="0" w:space="0" w:color="auto"/>
        <w:left w:val="none" w:sz="0" w:space="0" w:color="auto"/>
        <w:bottom w:val="none" w:sz="0" w:space="0" w:color="auto"/>
        <w:right w:val="none" w:sz="0" w:space="0" w:color="auto"/>
      </w:divBdr>
    </w:div>
    <w:div w:id="709496814">
      <w:bodyDiv w:val="1"/>
      <w:marLeft w:val="0"/>
      <w:marRight w:val="0"/>
      <w:marTop w:val="0"/>
      <w:marBottom w:val="0"/>
      <w:divBdr>
        <w:top w:val="none" w:sz="0" w:space="0" w:color="auto"/>
        <w:left w:val="none" w:sz="0" w:space="0" w:color="auto"/>
        <w:bottom w:val="none" w:sz="0" w:space="0" w:color="auto"/>
        <w:right w:val="none" w:sz="0" w:space="0" w:color="auto"/>
      </w:divBdr>
    </w:div>
    <w:div w:id="715280383">
      <w:bodyDiv w:val="1"/>
      <w:marLeft w:val="0"/>
      <w:marRight w:val="0"/>
      <w:marTop w:val="0"/>
      <w:marBottom w:val="0"/>
      <w:divBdr>
        <w:top w:val="none" w:sz="0" w:space="0" w:color="auto"/>
        <w:left w:val="none" w:sz="0" w:space="0" w:color="auto"/>
        <w:bottom w:val="none" w:sz="0" w:space="0" w:color="auto"/>
        <w:right w:val="none" w:sz="0" w:space="0" w:color="auto"/>
      </w:divBdr>
      <w:divsChild>
        <w:div w:id="983658378">
          <w:marLeft w:val="0"/>
          <w:marRight w:val="0"/>
          <w:marTop w:val="0"/>
          <w:marBottom w:val="0"/>
          <w:divBdr>
            <w:top w:val="none" w:sz="0" w:space="0" w:color="auto"/>
            <w:left w:val="none" w:sz="0" w:space="0" w:color="auto"/>
            <w:bottom w:val="none" w:sz="0" w:space="0" w:color="auto"/>
            <w:right w:val="none" w:sz="0" w:space="0" w:color="auto"/>
          </w:divBdr>
        </w:div>
      </w:divsChild>
    </w:div>
    <w:div w:id="751388601">
      <w:bodyDiv w:val="1"/>
      <w:marLeft w:val="0"/>
      <w:marRight w:val="0"/>
      <w:marTop w:val="0"/>
      <w:marBottom w:val="0"/>
      <w:divBdr>
        <w:top w:val="none" w:sz="0" w:space="0" w:color="auto"/>
        <w:left w:val="none" w:sz="0" w:space="0" w:color="auto"/>
        <w:bottom w:val="none" w:sz="0" w:space="0" w:color="auto"/>
        <w:right w:val="none" w:sz="0" w:space="0" w:color="auto"/>
      </w:divBdr>
    </w:div>
    <w:div w:id="753746262">
      <w:bodyDiv w:val="1"/>
      <w:marLeft w:val="0"/>
      <w:marRight w:val="0"/>
      <w:marTop w:val="0"/>
      <w:marBottom w:val="0"/>
      <w:divBdr>
        <w:top w:val="none" w:sz="0" w:space="0" w:color="auto"/>
        <w:left w:val="none" w:sz="0" w:space="0" w:color="auto"/>
        <w:bottom w:val="none" w:sz="0" w:space="0" w:color="auto"/>
        <w:right w:val="none" w:sz="0" w:space="0" w:color="auto"/>
      </w:divBdr>
    </w:div>
    <w:div w:id="780077650">
      <w:bodyDiv w:val="1"/>
      <w:marLeft w:val="0"/>
      <w:marRight w:val="0"/>
      <w:marTop w:val="0"/>
      <w:marBottom w:val="0"/>
      <w:divBdr>
        <w:top w:val="none" w:sz="0" w:space="0" w:color="auto"/>
        <w:left w:val="none" w:sz="0" w:space="0" w:color="auto"/>
        <w:bottom w:val="none" w:sz="0" w:space="0" w:color="auto"/>
        <w:right w:val="none" w:sz="0" w:space="0" w:color="auto"/>
      </w:divBdr>
      <w:divsChild>
        <w:div w:id="1348368827">
          <w:marLeft w:val="0"/>
          <w:marRight w:val="0"/>
          <w:marTop w:val="0"/>
          <w:marBottom w:val="0"/>
          <w:divBdr>
            <w:top w:val="none" w:sz="0" w:space="0" w:color="auto"/>
            <w:left w:val="none" w:sz="0" w:space="0" w:color="auto"/>
            <w:bottom w:val="none" w:sz="0" w:space="0" w:color="auto"/>
            <w:right w:val="none" w:sz="0" w:space="0" w:color="auto"/>
          </w:divBdr>
        </w:div>
      </w:divsChild>
    </w:div>
    <w:div w:id="782923160">
      <w:bodyDiv w:val="1"/>
      <w:marLeft w:val="0"/>
      <w:marRight w:val="0"/>
      <w:marTop w:val="0"/>
      <w:marBottom w:val="0"/>
      <w:divBdr>
        <w:top w:val="none" w:sz="0" w:space="0" w:color="auto"/>
        <w:left w:val="none" w:sz="0" w:space="0" w:color="auto"/>
        <w:bottom w:val="none" w:sz="0" w:space="0" w:color="auto"/>
        <w:right w:val="none" w:sz="0" w:space="0" w:color="auto"/>
      </w:divBdr>
      <w:divsChild>
        <w:div w:id="1245339249">
          <w:marLeft w:val="0"/>
          <w:marRight w:val="0"/>
          <w:marTop w:val="0"/>
          <w:marBottom w:val="0"/>
          <w:divBdr>
            <w:top w:val="none" w:sz="0" w:space="0" w:color="auto"/>
            <w:left w:val="none" w:sz="0" w:space="0" w:color="auto"/>
            <w:bottom w:val="none" w:sz="0" w:space="0" w:color="auto"/>
            <w:right w:val="none" w:sz="0" w:space="0" w:color="auto"/>
          </w:divBdr>
        </w:div>
      </w:divsChild>
    </w:div>
    <w:div w:id="787507625">
      <w:bodyDiv w:val="1"/>
      <w:marLeft w:val="0"/>
      <w:marRight w:val="0"/>
      <w:marTop w:val="0"/>
      <w:marBottom w:val="0"/>
      <w:divBdr>
        <w:top w:val="none" w:sz="0" w:space="0" w:color="auto"/>
        <w:left w:val="none" w:sz="0" w:space="0" w:color="auto"/>
        <w:bottom w:val="none" w:sz="0" w:space="0" w:color="auto"/>
        <w:right w:val="none" w:sz="0" w:space="0" w:color="auto"/>
      </w:divBdr>
      <w:divsChild>
        <w:div w:id="1273824031">
          <w:marLeft w:val="0"/>
          <w:marRight w:val="0"/>
          <w:marTop w:val="0"/>
          <w:marBottom w:val="0"/>
          <w:divBdr>
            <w:top w:val="none" w:sz="0" w:space="0" w:color="auto"/>
            <w:left w:val="none" w:sz="0" w:space="0" w:color="auto"/>
            <w:bottom w:val="none" w:sz="0" w:space="0" w:color="auto"/>
            <w:right w:val="none" w:sz="0" w:space="0" w:color="auto"/>
          </w:divBdr>
        </w:div>
      </w:divsChild>
    </w:div>
    <w:div w:id="796220823">
      <w:bodyDiv w:val="1"/>
      <w:marLeft w:val="0"/>
      <w:marRight w:val="0"/>
      <w:marTop w:val="0"/>
      <w:marBottom w:val="0"/>
      <w:divBdr>
        <w:top w:val="none" w:sz="0" w:space="0" w:color="auto"/>
        <w:left w:val="none" w:sz="0" w:space="0" w:color="auto"/>
        <w:bottom w:val="none" w:sz="0" w:space="0" w:color="auto"/>
        <w:right w:val="none" w:sz="0" w:space="0" w:color="auto"/>
      </w:divBdr>
    </w:div>
    <w:div w:id="802620704">
      <w:bodyDiv w:val="1"/>
      <w:marLeft w:val="0"/>
      <w:marRight w:val="0"/>
      <w:marTop w:val="0"/>
      <w:marBottom w:val="0"/>
      <w:divBdr>
        <w:top w:val="none" w:sz="0" w:space="0" w:color="auto"/>
        <w:left w:val="none" w:sz="0" w:space="0" w:color="auto"/>
        <w:bottom w:val="none" w:sz="0" w:space="0" w:color="auto"/>
        <w:right w:val="none" w:sz="0" w:space="0" w:color="auto"/>
      </w:divBdr>
    </w:div>
    <w:div w:id="808860894">
      <w:bodyDiv w:val="1"/>
      <w:marLeft w:val="0"/>
      <w:marRight w:val="0"/>
      <w:marTop w:val="0"/>
      <w:marBottom w:val="0"/>
      <w:divBdr>
        <w:top w:val="none" w:sz="0" w:space="0" w:color="auto"/>
        <w:left w:val="none" w:sz="0" w:space="0" w:color="auto"/>
        <w:bottom w:val="none" w:sz="0" w:space="0" w:color="auto"/>
        <w:right w:val="none" w:sz="0" w:space="0" w:color="auto"/>
      </w:divBdr>
      <w:divsChild>
        <w:div w:id="934019750">
          <w:marLeft w:val="0"/>
          <w:marRight w:val="0"/>
          <w:marTop w:val="0"/>
          <w:marBottom w:val="0"/>
          <w:divBdr>
            <w:top w:val="none" w:sz="0" w:space="0" w:color="auto"/>
            <w:left w:val="none" w:sz="0" w:space="0" w:color="auto"/>
            <w:bottom w:val="none" w:sz="0" w:space="0" w:color="auto"/>
            <w:right w:val="none" w:sz="0" w:space="0" w:color="auto"/>
          </w:divBdr>
        </w:div>
      </w:divsChild>
    </w:div>
    <w:div w:id="813833970">
      <w:bodyDiv w:val="1"/>
      <w:marLeft w:val="0"/>
      <w:marRight w:val="0"/>
      <w:marTop w:val="0"/>
      <w:marBottom w:val="0"/>
      <w:divBdr>
        <w:top w:val="none" w:sz="0" w:space="0" w:color="auto"/>
        <w:left w:val="none" w:sz="0" w:space="0" w:color="auto"/>
        <w:bottom w:val="none" w:sz="0" w:space="0" w:color="auto"/>
        <w:right w:val="none" w:sz="0" w:space="0" w:color="auto"/>
      </w:divBdr>
    </w:div>
    <w:div w:id="814682857">
      <w:bodyDiv w:val="1"/>
      <w:marLeft w:val="0"/>
      <w:marRight w:val="0"/>
      <w:marTop w:val="0"/>
      <w:marBottom w:val="0"/>
      <w:divBdr>
        <w:top w:val="none" w:sz="0" w:space="0" w:color="auto"/>
        <w:left w:val="none" w:sz="0" w:space="0" w:color="auto"/>
        <w:bottom w:val="none" w:sz="0" w:space="0" w:color="auto"/>
        <w:right w:val="none" w:sz="0" w:space="0" w:color="auto"/>
      </w:divBdr>
    </w:div>
    <w:div w:id="841748365">
      <w:bodyDiv w:val="1"/>
      <w:marLeft w:val="0"/>
      <w:marRight w:val="0"/>
      <w:marTop w:val="0"/>
      <w:marBottom w:val="0"/>
      <w:divBdr>
        <w:top w:val="none" w:sz="0" w:space="0" w:color="auto"/>
        <w:left w:val="none" w:sz="0" w:space="0" w:color="auto"/>
        <w:bottom w:val="none" w:sz="0" w:space="0" w:color="auto"/>
        <w:right w:val="none" w:sz="0" w:space="0" w:color="auto"/>
      </w:divBdr>
    </w:div>
    <w:div w:id="916551947">
      <w:bodyDiv w:val="1"/>
      <w:marLeft w:val="0"/>
      <w:marRight w:val="0"/>
      <w:marTop w:val="0"/>
      <w:marBottom w:val="0"/>
      <w:divBdr>
        <w:top w:val="none" w:sz="0" w:space="0" w:color="auto"/>
        <w:left w:val="none" w:sz="0" w:space="0" w:color="auto"/>
        <w:bottom w:val="none" w:sz="0" w:space="0" w:color="auto"/>
        <w:right w:val="none" w:sz="0" w:space="0" w:color="auto"/>
      </w:divBdr>
      <w:divsChild>
        <w:div w:id="543642558">
          <w:marLeft w:val="0"/>
          <w:marRight w:val="0"/>
          <w:marTop w:val="0"/>
          <w:marBottom w:val="0"/>
          <w:divBdr>
            <w:top w:val="none" w:sz="0" w:space="0" w:color="auto"/>
            <w:left w:val="none" w:sz="0" w:space="0" w:color="auto"/>
            <w:bottom w:val="none" w:sz="0" w:space="0" w:color="auto"/>
            <w:right w:val="none" w:sz="0" w:space="0" w:color="auto"/>
          </w:divBdr>
        </w:div>
      </w:divsChild>
    </w:div>
    <w:div w:id="941884286">
      <w:bodyDiv w:val="1"/>
      <w:marLeft w:val="0"/>
      <w:marRight w:val="0"/>
      <w:marTop w:val="0"/>
      <w:marBottom w:val="0"/>
      <w:divBdr>
        <w:top w:val="none" w:sz="0" w:space="0" w:color="auto"/>
        <w:left w:val="none" w:sz="0" w:space="0" w:color="auto"/>
        <w:bottom w:val="none" w:sz="0" w:space="0" w:color="auto"/>
        <w:right w:val="none" w:sz="0" w:space="0" w:color="auto"/>
      </w:divBdr>
    </w:div>
    <w:div w:id="942613876">
      <w:bodyDiv w:val="1"/>
      <w:marLeft w:val="0"/>
      <w:marRight w:val="0"/>
      <w:marTop w:val="0"/>
      <w:marBottom w:val="0"/>
      <w:divBdr>
        <w:top w:val="none" w:sz="0" w:space="0" w:color="auto"/>
        <w:left w:val="none" w:sz="0" w:space="0" w:color="auto"/>
        <w:bottom w:val="none" w:sz="0" w:space="0" w:color="auto"/>
        <w:right w:val="none" w:sz="0" w:space="0" w:color="auto"/>
      </w:divBdr>
      <w:divsChild>
        <w:div w:id="92168630">
          <w:marLeft w:val="0"/>
          <w:marRight w:val="0"/>
          <w:marTop w:val="0"/>
          <w:marBottom w:val="0"/>
          <w:divBdr>
            <w:top w:val="none" w:sz="0" w:space="0" w:color="auto"/>
            <w:left w:val="none" w:sz="0" w:space="0" w:color="auto"/>
            <w:bottom w:val="none" w:sz="0" w:space="0" w:color="auto"/>
            <w:right w:val="none" w:sz="0" w:space="0" w:color="auto"/>
          </w:divBdr>
          <w:divsChild>
            <w:div w:id="1734814763">
              <w:marLeft w:val="0"/>
              <w:marRight w:val="0"/>
              <w:marTop w:val="0"/>
              <w:marBottom w:val="0"/>
              <w:divBdr>
                <w:top w:val="none" w:sz="0" w:space="0" w:color="auto"/>
                <w:left w:val="none" w:sz="0" w:space="0" w:color="auto"/>
                <w:bottom w:val="none" w:sz="0" w:space="0" w:color="auto"/>
                <w:right w:val="none" w:sz="0" w:space="0" w:color="auto"/>
              </w:divBdr>
              <w:divsChild>
                <w:div w:id="262153695">
                  <w:marLeft w:val="0"/>
                  <w:marRight w:val="0"/>
                  <w:marTop w:val="0"/>
                  <w:marBottom w:val="0"/>
                  <w:divBdr>
                    <w:top w:val="none" w:sz="0" w:space="0" w:color="auto"/>
                    <w:left w:val="none" w:sz="0" w:space="0" w:color="auto"/>
                    <w:bottom w:val="none" w:sz="0" w:space="0" w:color="auto"/>
                    <w:right w:val="none" w:sz="0" w:space="0" w:color="auto"/>
                  </w:divBdr>
                  <w:divsChild>
                    <w:div w:id="417290810">
                      <w:marLeft w:val="0"/>
                      <w:marRight w:val="0"/>
                      <w:marTop w:val="0"/>
                      <w:marBottom w:val="0"/>
                      <w:divBdr>
                        <w:top w:val="none" w:sz="0" w:space="0" w:color="auto"/>
                        <w:left w:val="none" w:sz="0" w:space="0" w:color="auto"/>
                        <w:bottom w:val="none" w:sz="0" w:space="0" w:color="auto"/>
                        <w:right w:val="none" w:sz="0" w:space="0" w:color="auto"/>
                      </w:divBdr>
                      <w:divsChild>
                        <w:div w:id="15758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898">
      <w:bodyDiv w:val="1"/>
      <w:marLeft w:val="0"/>
      <w:marRight w:val="0"/>
      <w:marTop w:val="0"/>
      <w:marBottom w:val="0"/>
      <w:divBdr>
        <w:top w:val="none" w:sz="0" w:space="0" w:color="auto"/>
        <w:left w:val="none" w:sz="0" w:space="0" w:color="auto"/>
        <w:bottom w:val="none" w:sz="0" w:space="0" w:color="auto"/>
        <w:right w:val="none" w:sz="0" w:space="0" w:color="auto"/>
      </w:divBdr>
    </w:div>
    <w:div w:id="958418099">
      <w:bodyDiv w:val="1"/>
      <w:marLeft w:val="0"/>
      <w:marRight w:val="0"/>
      <w:marTop w:val="0"/>
      <w:marBottom w:val="0"/>
      <w:divBdr>
        <w:top w:val="none" w:sz="0" w:space="0" w:color="auto"/>
        <w:left w:val="none" w:sz="0" w:space="0" w:color="auto"/>
        <w:bottom w:val="none" w:sz="0" w:space="0" w:color="auto"/>
        <w:right w:val="none" w:sz="0" w:space="0" w:color="auto"/>
      </w:divBdr>
    </w:div>
    <w:div w:id="958418976">
      <w:bodyDiv w:val="1"/>
      <w:marLeft w:val="0"/>
      <w:marRight w:val="0"/>
      <w:marTop w:val="0"/>
      <w:marBottom w:val="0"/>
      <w:divBdr>
        <w:top w:val="none" w:sz="0" w:space="0" w:color="auto"/>
        <w:left w:val="none" w:sz="0" w:space="0" w:color="auto"/>
        <w:bottom w:val="none" w:sz="0" w:space="0" w:color="auto"/>
        <w:right w:val="none" w:sz="0" w:space="0" w:color="auto"/>
      </w:divBdr>
    </w:div>
    <w:div w:id="963124121">
      <w:bodyDiv w:val="1"/>
      <w:marLeft w:val="0"/>
      <w:marRight w:val="0"/>
      <w:marTop w:val="0"/>
      <w:marBottom w:val="0"/>
      <w:divBdr>
        <w:top w:val="none" w:sz="0" w:space="0" w:color="auto"/>
        <w:left w:val="none" w:sz="0" w:space="0" w:color="auto"/>
        <w:bottom w:val="none" w:sz="0" w:space="0" w:color="auto"/>
        <w:right w:val="none" w:sz="0" w:space="0" w:color="auto"/>
      </w:divBdr>
    </w:div>
    <w:div w:id="982589221">
      <w:bodyDiv w:val="1"/>
      <w:marLeft w:val="0"/>
      <w:marRight w:val="0"/>
      <w:marTop w:val="0"/>
      <w:marBottom w:val="0"/>
      <w:divBdr>
        <w:top w:val="none" w:sz="0" w:space="0" w:color="auto"/>
        <w:left w:val="none" w:sz="0" w:space="0" w:color="auto"/>
        <w:bottom w:val="none" w:sz="0" w:space="0" w:color="auto"/>
        <w:right w:val="none" w:sz="0" w:space="0" w:color="auto"/>
      </w:divBdr>
    </w:div>
    <w:div w:id="986518507">
      <w:bodyDiv w:val="1"/>
      <w:marLeft w:val="0"/>
      <w:marRight w:val="0"/>
      <w:marTop w:val="0"/>
      <w:marBottom w:val="0"/>
      <w:divBdr>
        <w:top w:val="none" w:sz="0" w:space="0" w:color="auto"/>
        <w:left w:val="none" w:sz="0" w:space="0" w:color="auto"/>
        <w:bottom w:val="none" w:sz="0" w:space="0" w:color="auto"/>
        <w:right w:val="none" w:sz="0" w:space="0" w:color="auto"/>
      </w:divBdr>
      <w:divsChild>
        <w:div w:id="916864660">
          <w:marLeft w:val="0"/>
          <w:marRight w:val="0"/>
          <w:marTop w:val="0"/>
          <w:marBottom w:val="0"/>
          <w:divBdr>
            <w:top w:val="none" w:sz="0" w:space="0" w:color="auto"/>
            <w:left w:val="none" w:sz="0" w:space="0" w:color="auto"/>
            <w:bottom w:val="none" w:sz="0" w:space="0" w:color="auto"/>
            <w:right w:val="none" w:sz="0" w:space="0" w:color="auto"/>
          </w:divBdr>
        </w:div>
      </w:divsChild>
    </w:div>
    <w:div w:id="1001010254">
      <w:bodyDiv w:val="1"/>
      <w:marLeft w:val="0"/>
      <w:marRight w:val="0"/>
      <w:marTop w:val="0"/>
      <w:marBottom w:val="0"/>
      <w:divBdr>
        <w:top w:val="none" w:sz="0" w:space="0" w:color="auto"/>
        <w:left w:val="none" w:sz="0" w:space="0" w:color="auto"/>
        <w:bottom w:val="none" w:sz="0" w:space="0" w:color="auto"/>
        <w:right w:val="none" w:sz="0" w:space="0" w:color="auto"/>
      </w:divBdr>
    </w:div>
    <w:div w:id="1005864394">
      <w:bodyDiv w:val="1"/>
      <w:marLeft w:val="0"/>
      <w:marRight w:val="0"/>
      <w:marTop w:val="0"/>
      <w:marBottom w:val="0"/>
      <w:divBdr>
        <w:top w:val="none" w:sz="0" w:space="0" w:color="auto"/>
        <w:left w:val="none" w:sz="0" w:space="0" w:color="auto"/>
        <w:bottom w:val="none" w:sz="0" w:space="0" w:color="auto"/>
        <w:right w:val="none" w:sz="0" w:space="0" w:color="auto"/>
      </w:divBdr>
    </w:div>
    <w:div w:id="1013342737">
      <w:bodyDiv w:val="1"/>
      <w:marLeft w:val="0"/>
      <w:marRight w:val="0"/>
      <w:marTop w:val="0"/>
      <w:marBottom w:val="0"/>
      <w:divBdr>
        <w:top w:val="none" w:sz="0" w:space="0" w:color="auto"/>
        <w:left w:val="none" w:sz="0" w:space="0" w:color="auto"/>
        <w:bottom w:val="none" w:sz="0" w:space="0" w:color="auto"/>
        <w:right w:val="none" w:sz="0" w:space="0" w:color="auto"/>
      </w:divBdr>
      <w:divsChild>
        <w:div w:id="1653868176">
          <w:marLeft w:val="0"/>
          <w:marRight w:val="0"/>
          <w:marTop w:val="0"/>
          <w:marBottom w:val="0"/>
          <w:divBdr>
            <w:top w:val="none" w:sz="0" w:space="0" w:color="auto"/>
            <w:left w:val="none" w:sz="0" w:space="0" w:color="auto"/>
            <w:bottom w:val="none" w:sz="0" w:space="0" w:color="auto"/>
            <w:right w:val="none" w:sz="0" w:space="0" w:color="auto"/>
          </w:divBdr>
        </w:div>
      </w:divsChild>
    </w:div>
    <w:div w:id="1029260436">
      <w:bodyDiv w:val="1"/>
      <w:marLeft w:val="0"/>
      <w:marRight w:val="0"/>
      <w:marTop w:val="0"/>
      <w:marBottom w:val="0"/>
      <w:divBdr>
        <w:top w:val="none" w:sz="0" w:space="0" w:color="auto"/>
        <w:left w:val="none" w:sz="0" w:space="0" w:color="auto"/>
        <w:bottom w:val="none" w:sz="0" w:space="0" w:color="auto"/>
        <w:right w:val="none" w:sz="0" w:space="0" w:color="auto"/>
      </w:divBdr>
    </w:div>
    <w:div w:id="1038503738">
      <w:bodyDiv w:val="1"/>
      <w:marLeft w:val="0"/>
      <w:marRight w:val="0"/>
      <w:marTop w:val="0"/>
      <w:marBottom w:val="0"/>
      <w:divBdr>
        <w:top w:val="none" w:sz="0" w:space="0" w:color="auto"/>
        <w:left w:val="none" w:sz="0" w:space="0" w:color="auto"/>
        <w:bottom w:val="none" w:sz="0" w:space="0" w:color="auto"/>
        <w:right w:val="none" w:sz="0" w:space="0" w:color="auto"/>
      </w:divBdr>
    </w:div>
    <w:div w:id="1042947290">
      <w:bodyDiv w:val="1"/>
      <w:marLeft w:val="0"/>
      <w:marRight w:val="0"/>
      <w:marTop w:val="0"/>
      <w:marBottom w:val="0"/>
      <w:divBdr>
        <w:top w:val="none" w:sz="0" w:space="0" w:color="auto"/>
        <w:left w:val="none" w:sz="0" w:space="0" w:color="auto"/>
        <w:bottom w:val="none" w:sz="0" w:space="0" w:color="auto"/>
        <w:right w:val="none" w:sz="0" w:space="0" w:color="auto"/>
      </w:divBdr>
      <w:divsChild>
        <w:div w:id="1324553863">
          <w:marLeft w:val="0"/>
          <w:marRight w:val="0"/>
          <w:marTop w:val="0"/>
          <w:marBottom w:val="0"/>
          <w:divBdr>
            <w:top w:val="none" w:sz="0" w:space="0" w:color="auto"/>
            <w:left w:val="none" w:sz="0" w:space="0" w:color="auto"/>
            <w:bottom w:val="none" w:sz="0" w:space="0" w:color="auto"/>
            <w:right w:val="none" w:sz="0" w:space="0" w:color="auto"/>
          </w:divBdr>
        </w:div>
      </w:divsChild>
    </w:div>
    <w:div w:id="1052771638">
      <w:bodyDiv w:val="1"/>
      <w:marLeft w:val="0"/>
      <w:marRight w:val="0"/>
      <w:marTop w:val="0"/>
      <w:marBottom w:val="0"/>
      <w:divBdr>
        <w:top w:val="none" w:sz="0" w:space="0" w:color="auto"/>
        <w:left w:val="none" w:sz="0" w:space="0" w:color="auto"/>
        <w:bottom w:val="none" w:sz="0" w:space="0" w:color="auto"/>
        <w:right w:val="none" w:sz="0" w:space="0" w:color="auto"/>
      </w:divBdr>
      <w:divsChild>
        <w:div w:id="1591163629">
          <w:marLeft w:val="0"/>
          <w:marRight w:val="0"/>
          <w:marTop w:val="0"/>
          <w:marBottom w:val="0"/>
          <w:divBdr>
            <w:top w:val="none" w:sz="0" w:space="0" w:color="auto"/>
            <w:left w:val="none" w:sz="0" w:space="0" w:color="auto"/>
            <w:bottom w:val="none" w:sz="0" w:space="0" w:color="auto"/>
            <w:right w:val="none" w:sz="0" w:space="0" w:color="auto"/>
          </w:divBdr>
        </w:div>
      </w:divsChild>
    </w:div>
    <w:div w:id="1079400450">
      <w:bodyDiv w:val="1"/>
      <w:marLeft w:val="0"/>
      <w:marRight w:val="0"/>
      <w:marTop w:val="0"/>
      <w:marBottom w:val="0"/>
      <w:divBdr>
        <w:top w:val="none" w:sz="0" w:space="0" w:color="auto"/>
        <w:left w:val="none" w:sz="0" w:space="0" w:color="auto"/>
        <w:bottom w:val="none" w:sz="0" w:space="0" w:color="auto"/>
        <w:right w:val="none" w:sz="0" w:space="0" w:color="auto"/>
      </w:divBdr>
    </w:div>
    <w:div w:id="1087269603">
      <w:bodyDiv w:val="1"/>
      <w:marLeft w:val="0"/>
      <w:marRight w:val="0"/>
      <w:marTop w:val="0"/>
      <w:marBottom w:val="0"/>
      <w:divBdr>
        <w:top w:val="none" w:sz="0" w:space="0" w:color="auto"/>
        <w:left w:val="none" w:sz="0" w:space="0" w:color="auto"/>
        <w:bottom w:val="none" w:sz="0" w:space="0" w:color="auto"/>
        <w:right w:val="none" w:sz="0" w:space="0" w:color="auto"/>
      </w:divBdr>
    </w:div>
    <w:div w:id="1090812452">
      <w:bodyDiv w:val="1"/>
      <w:marLeft w:val="0"/>
      <w:marRight w:val="0"/>
      <w:marTop w:val="0"/>
      <w:marBottom w:val="0"/>
      <w:divBdr>
        <w:top w:val="none" w:sz="0" w:space="0" w:color="auto"/>
        <w:left w:val="none" w:sz="0" w:space="0" w:color="auto"/>
        <w:bottom w:val="none" w:sz="0" w:space="0" w:color="auto"/>
        <w:right w:val="none" w:sz="0" w:space="0" w:color="auto"/>
      </w:divBdr>
    </w:div>
    <w:div w:id="1100878066">
      <w:bodyDiv w:val="1"/>
      <w:marLeft w:val="0"/>
      <w:marRight w:val="0"/>
      <w:marTop w:val="0"/>
      <w:marBottom w:val="0"/>
      <w:divBdr>
        <w:top w:val="none" w:sz="0" w:space="0" w:color="auto"/>
        <w:left w:val="none" w:sz="0" w:space="0" w:color="auto"/>
        <w:bottom w:val="none" w:sz="0" w:space="0" w:color="auto"/>
        <w:right w:val="none" w:sz="0" w:space="0" w:color="auto"/>
      </w:divBdr>
    </w:div>
    <w:div w:id="1102729512">
      <w:bodyDiv w:val="1"/>
      <w:marLeft w:val="0"/>
      <w:marRight w:val="0"/>
      <w:marTop w:val="0"/>
      <w:marBottom w:val="0"/>
      <w:divBdr>
        <w:top w:val="none" w:sz="0" w:space="0" w:color="auto"/>
        <w:left w:val="none" w:sz="0" w:space="0" w:color="auto"/>
        <w:bottom w:val="none" w:sz="0" w:space="0" w:color="auto"/>
        <w:right w:val="none" w:sz="0" w:space="0" w:color="auto"/>
      </w:divBdr>
    </w:div>
    <w:div w:id="1104154389">
      <w:bodyDiv w:val="1"/>
      <w:marLeft w:val="0"/>
      <w:marRight w:val="0"/>
      <w:marTop w:val="0"/>
      <w:marBottom w:val="0"/>
      <w:divBdr>
        <w:top w:val="none" w:sz="0" w:space="0" w:color="auto"/>
        <w:left w:val="none" w:sz="0" w:space="0" w:color="auto"/>
        <w:bottom w:val="none" w:sz="0" w:space="0" w:color="auto"/>
        <w:right w:val="none" w:sz="0" w:space="0" w:color="auto"/>
      </w:divBdr>
    </w:div>
    <w:div w:id="1124033140">
      <w:bodyDiv w:val="1"/>
      <w:marLeft w:val="0"/>
      <w:marRight w:val="0"/>
      <w:marTop w:val="0"/>
      <w:marBottom w:val="0"/>
      <w:divBdr>
        <w:top w:val="none" w:sz="0" w:space="0" w:color="auto"/>
        <w:left w:val="none" w:sz="0" w:space="0" w:color="auto"/>
        <w:bottom w:val="none" w:sz="0" w:space="0" w:color="auto"/>
        <w:right w:val="none" w:sz="0" w:space="0" w:color="auto"/>
      </w:divBdr>
    </w:div>
    <w:div w:id="1174492137">
      <w:bodyDiv w:val="1"/>
      <w:marLeft w:val="0"/>
      <w:marRight w:val="0"/>
      <w:marTop w:val="0"/>
      <w:marBottom w:val="0"/>
      <w:divBdr>
        <w:top w:val="none" w:sz="0" w:space="0" w:color="auto"/>
        <w:left w:val="none" w:sz="0" w:space="0" w:color="auto"/>
        <w:bottom w:val="none" w:sz="0" w:space="0" w:color="auto"/>
        <w:right w:val="none" w:sz="0" w:space="0" w:color="auto"/>
      </w:divBdr>
    </w:div>
    <w:div w:id="1179657974">
      <w:bodyDiv w:val="1"/>
      <w:marLeft w:val="0"/>
      <w:marRight w:val="0"/>
      <w:marTop w:val="0"/>
      <w:marBottom w:val="0"/>
      <w:divBdr>
        <w:top w:val="none" w:sz="0" w:space="0" w:color="auto"/>
        <w:left w:val="none" w:sz="0" w:space="0" w:color="auto"/>
        <w:bottom w:val="none" w:sz="0" w:space="0" w:color="auto"/>
        <w:right w:val="none" w:sz="0" w:space="0" w:color="auto"/>
      </w:divBdr>
    </w:div>
    <w:div w:id="1181243400">
      <w:bodyDiv w:val="1"/>
      <w:marLeft w:val="0"/>
      <w:marRight w:val="0"/>
      <w:marTop w:val="0"/>
      <w:marBottom w:val="0"/>
      <w:divBdr>
        <w:top w:val="none" w:sz="0" w:space="0" w:color="auto"/>
        <w:left w:val="none" w:sz="0" w:space="0" w:color="auto"/>
        <w:bottom w:val="none" w:sz="0" w:space="0" w:color="auto"/>
        <w:right w:val="none" w:sz="0" w:space="0" w:color="auto"/>
      </w:divBdr>
    </w:div>
    <w:div w:id="1181430539">
      <w:bodyDiv w:val="1"/>
      <w:marLeft w:val="0"/>
      <w:marRight w:val="0"/>
      <w:marTop w:val="0"/>
      <w:marBottom w:val="0"/>
      <w:divBdr>
        <w:top w:val="none" w:sz="0" w:space="0" w:color="auto"/>
        <w:left w:val="none" w:sz="0" w:space="0" w:color="auto"/>
        <w:bottom w:val="none" w:sz="0" w:space="0" w:color="auto"/>
        <w:right w:val="none" w:sz="0" w:space="0" w:color="auto"/>
      </w:divBdr>
    </w:div>
    <w:div w:id="1202716714">
      <w:bodyDiv w:val="1"/>
      <w:marLeft w:val="0"/>
      <w:marRight w:val="0"/>
      <w:marTop w:val="0"/>
      <w:marBottom w:val="0"/>
      <w:divBdr>
        <w:top w:val="none" w:sz="0" w:space="0" w:color="auto"/>
        <w:left w:val="none" w:sz="0" w:space="0" w:color="auto"/>
        <w:bottom w:val="none" w:sz="0" w:space="0" w:color="auto"/>
        <w:right w:val="none" w:sz="0" w:space="0" w:color="auto"/>
      </w:divBdr>
    </w:div>
    <w:div w:id="1238980238">
      <w:bodyDiv w:val="1"/>
      <w:marLeft w:val="0"/>
      <w:marRight w:val="0"/>
      <w:marTop w:val="0"/>
      <w:marBottom w:val="0"/>
      <w:divBdr>
        <w:top w:val="none" w:sz="0" w:space="0" w:color="auto"/>
        <w:left w:val="none" w:sz="0" w:space="0" w:color="auto"/>
        <w:bottom w:val="none" w:sz="0" w:space="0" w:color="auto"/>
        <w:right w:val="none" w:sz="0" w:space="0" w:color="auto"/>
      </w:divBdr>
    </w:div>
    <w:div w:id="1291397324">
      <w:bodyDiv w:val="1"/>
      <w:marLeft w:val="0"/>
      <w:marRight w:val="0"/>
      <w:marTop w:val="0"/>
      <w:marBottom w:val="0"/>
      <w:divBdr>
        <w:top w:val="none" w:sz="0" w:space="0" w:color="auto"/>
        <w:left w:val="none" w:sz="0" w:space="0" w:color="auto"/>
        <w:bottom w:val="none" w:sz="0" w:space="0" w:color="auto"/>
        <w:right w:val="none" w:sz="0" w:space="0" w:color="auto"/>
      </w:divBdr>
    </w:div>
    <w:div w:id="1303317154">
      <w:bodyDiv w:val="1"/>
      <w:marLeft w:val="0"/>
      <w:marRight w:val="0"/>
      <w:marTop w:val="0"/>
      <w:marBottom w:val="0"/>
      <w:divBdr>
        <w:top w:val="none" w:sz="0" w:space="0" w:color="auto"/>
        <w:left w:val="none" w:sz="0" w:space="0" w:color="auto"/>
        <w:bottom w:val="none" w:sz="0" w:space="0" w:color="auto"/>
        <w:right w:val="none" w:sz="0" w:space="0" w:color="auto"/>
      </w:divBdr>
    </w:div>
    <w:div w:id="1309164178">
      <w:bodyDiv w:val="1"/>
      <w:marLeft w:val="0"/>
      <w:marRight w:val="0"/>
      <w:marTop w:val="0"/>
      <w:marBottom w:val="0"/>
      <w:divBdr>
        <w:top w:val="none" w:sz="0" w:space="0" w:color="auto"/>
        <w:left w:val="none" w:sz="0" w:space="0" w:color="auto"/>
        <w:bottom w:val="none" w:sz="0" w:space="0" w:color="auto"/>
        <w:right w:val="none" w:sz="0" w:space="0" w:color="auto"/>
      </w:divBdr>
    </w:div>
    <w:div w:id="1314487787">
      <w:bodyDiv w:val="1"/>
      <w:marLeft w:val="0"/>
      <w:marRight w:val="0"/>
      <w:marTop w:val="0"/>
      <w:marBottom w:val="0"/>
      <w:divBdr>
        <w:top w:val="none" w:sz="0" w:space="0" w:color="auto"/>
        <w:left w:val="none" w:sz="0" w:space="0" w:color="auto"/>
        <w:bottom w:val="none" w:sz="0" w:space="0" w:color="auto"/>
        <w:right w:val="none" w:sz="0" w:space="0" w:color="auto"/>
      </w:divBdr>
    </w:div>
    <w:div w:id="1321883593">
      <w:bodyDiv w:val="1"/>
      <w:marLeft w:val="0"/>
      <w:marRight w:val="0"/>
      <w:marTop w:val="0"/>
      <w:marBottom w:val="0"/>
      <w:divBdr>
        <w:top w:val="none" w:sz="0" w:space="0" w:color="auto"/>
        <w:left w:val="none" w:sz="0" w:space="0" w:color="auto"/>
        <w:bottom w:val="none" w:sz="0" w:space="0" w:color="auto"/>
        <w:right w:val="none" w:sz="0" w:space="0" w:color="auto"/>
      </w:divBdr>
    </w:div>
    <w:div w:id="1341852102">
      <w:bodyDiv w:val="1"/>
      <w:marLeft w:val="0"/>
      <w:marRight w:val="0"/>
      <w:marTop w:val="0"/>
      <w:marBottom w:val="0"/>
      <w:divBdr>
        <w:top w:val="none" w:sz="0" w:space="0" w:color="auto"/>
        <w:left w:val="none" w:sz="0" w:space="0" w:color="auto"/>
        <w:bottom w:val="none" w:sz="0" w:space="0" w:color="auto"/>
        <w:right w:val="none" w:sz="0" w:space="0" w:color="auto"/>
      </w:divBdr>
    </w:div>
    <w:div w:id="1345866405">
      <w:bodyDiv w:val="1"/>
      <w:marLeft w:val="0"/>
      <w:marRight w:val="0"/>
      <w:marTop w:val="0"/>
      <w:marBottom w:val="0"/>
      <w:divBdr>
        <w:top w:val="none" w:sz="0" w:space="0" w:color="auto"/>
        <w:left w:val="none" w:sz="0" w:space="0" w:color="auto"/>
        <w:bottom w:val="none" w:sz="0" w:space="0" w:color="auto"/>
        <w:right w:val="none" w:sz="0" w:space="0" w:color="auto"/>
      </w:divBdr>
    </w:div>
    <w:div w:id="1357190836">
      <w:bodyDiv w:val="1"/>
      <w:marLeft w:val="0"/>
      <w:marRight w:val="0"/>
      <w:marTop w:val="0"/>
      <w:marBottom w:val="0"/>
      <w:divBdr>
        <w:top w:val="none" w:sz="0" w:space="0" w:color="auto"/>
        <w:left w:val="none" w:sz="0" w:space="0" w:color="auto"/>
        <w:bottom w:val="none" w:sz="0" w:space="0" w:color="auto"/>
        <w:right w:val="none" w:sz="0" w:space="0" w:color="auto"/>
      </w:divBdr>
    </w:div>
    <w:div w:id="1365910215">
      <w:bodyDiv w:val="1"/>
      <w:marLeft w:val="0"/>
      <w:marRight w:val="0"/>
      <w:marTop w:val="0"/>
      <w:marBottom w:val="0"/>
      <w:divBdr>
        <w:top w:val="none" w:sz="0" w:space="0" w:color="auto"/>
        <w:left w:val="none" w:sz="0" w:space="0" w:color="auto"/>
        <w:bottom w:val="none" w:sz="0" w:space="0" w:color="auto"/>
        <w:right w:val="none" w:sz="0" w:space="0" w:color="auto"/>
      </w:divBdr>
    </w:div>
    <w:div w:id="1392729679">
      <w:bodyDiv w:val="1"/>
      <w:marLeft w:val="0"/>
      <w:marRight w:val="0"/>
      <w:marTop w:val="0"/>
      <w:marBottom w:val="0"/>
      <w:divBdr>
        <w:top w:val="none" w:sz="0" w:space="0" w:color="auto"/>
        <w:left w:val="none" w:sz="0" w:space="0" w:color="auto"/>
        <w:bottom w:val="none" w:sz="0" w:space="0" w:color="auto"/>
        <w:right w:val="none" w:sz="0" w:space="0" w:color="auto"/>
      </w:divBdr>
    </w:div>
    <w:div w:id="1394158330">
      <w:bodyDiv w:val="1"/>
      <w:marLeft w:val="0"/>
      <w:marRight w:val="0"/>
      <w:marTop w:val="0"/>
      <w:marBottom w:val="0"/>
      <w:divBdr>
        <w:top w:val="none" w:sz="0" w:space="0" w:color="auto"/>
        <w:left w:val="none" w:sz="0" w:space="0" w:color="auto"/>
        <w:bottom w:val="none" w:sz="0" w:space="0" w:color="auto"/>
        <w:right w:val="none" w:sz="0" w:space="0" w:color="auto"/>
      </w:divBdr>
    </w:div>
    <w:div w:id="1425300090">
      <w:bodyDiv w:val="1"/>
      <w:marLeft w:val="0"/>
      <w:marRight w:val="0"/>
      <w:marTop w:val="0"/>
      <w:marBottom w:val="0"/>
      <w:divBdr>
        <w:top w:val="none" w:sz="0" w:space="0" w:color="auto"/>
        <w:left w:val="none" w:sz="0" w:space="0" w:color="auto"/>
        <w:bottom w:val="none" w:sz="0" w:space="0" w:color="auto"/>
        <w:right w:val="none" w:sz="0" w:space="0" w:color="auto"/>
      </w:divBdr>
    </w:div>
    <w:div w:id="1427118800">
      <w:bodyDiv w:val="1"/>
      <w:marLeft w:val="0"/>
      <w:marRight w:val="0"/>
      <w:marTop w:val="0"/>
      <w:marBottom w:val="0"/>
      <w:divBdr>
        <w:top w:val="none" w:sz="0" w:space="0" w:color="auto"/>
        <w:left w:val="none" w:sz="0" w:space="0" w:color="auto"/>
        <w:bottom w:val="none" w:sz="0" w:space="0" w:color="auto"/>
        <w:right w:val="none" w:sz="0" w:space="0" w:color="auto"/>
      </w:divBdr>
    </w:div>
    <w:div w:id="1430811937">
      <w:bodyDiv w:val="1"/>
      <w:marLeft w:val="0"/>
      <w:marRight w:val="0"/>
      <w:marTop w:val="0"/>
      <w:marBottom w:val="0"/>
      <w:divBdr>
        <w:top w:val="none" w:sz="0" w:space="0" w:color="auto"/>
        <w:left w:val="none" w:sz="0" w:space="0" w:color="auto"/>
        <w:bottom w:val="none" w:sz="0" w:space="0" w:color="auto"/>
        <w:right w:val="none" w:sz="0" w:space="0" w:color="auto"/>
      </w:divBdr>
    </w:div>
    <w:div w:id="1441754101">
      <w:bodyDiv w:val="1"/>
      <w:marLeft w:val="0"/>
      <w:marRight w:val="0"/>
      <w:marTop w:val="0"/>
      <w:marBottom w:val="0"/>
      <w:divBdr>
        <w:top w:val="none" w:sz="0" w:space="0" w:color="auto"/>
        <w:left w:val="none" w:sz="0" w:space="0" w:color="auto"/>
        <w:bottom w:val="none" w:sz="0" w:space="0" w:color="auto"/>
        <w:right w:val="none" w:sz="0" w:space="0" w:color="auto"/>
      </w:divBdr>
    </w:div>
    <w:div w:id="1451708129">
      <w:bodyDiv w:val="1"/>
      <w:marLeft w:val="0"/>
      <w:marRight w:val="0"/>
      <w:marTop w:val="0"/>
      <w:marBottom w:val="0"/>
      <w:divBdr>
        <w:top w:val="none" w:sz="0" w:space="0" w:color="auto"/>
        <w:left w:val="none" w:sz="0" w:space="0" w:color="auto"/>
        <w:bottom w:val="none" w:sz="0" w:space="0" w:color="auto"/>
        <w:right w:val="none" w:sz="0" w:space="0" w:color="auto"/>
      </w:divBdr>
    </w:div>
    <w:div w:id="1481924227">
      <w:bodyDiv w:val="1"/>
      <w:marLeft w:val="0"/>
      <w:marRight w:val="0"/>
      <w:marTop w:val="0"/>
      <w:marBottom w:val="0"/>
      <w:divBdr>
        <w:top w:val="none" w:sz="0" w:space="0" w:color="auto"/>
        <w:left w:val="none" w:sz="0" w:space="0" w:color="auto"/>
        <w:bottom w:val="none" w:sz="0" w:space="0" w:color="auto"/>
        <w:right w:val="none" w:sz="0" w:space="0" w:color="auto"/>
      </w:divBdr>
    </w:div>
    <w:div w:id="1499887199">
      <w:bodyDiv w:val="1"/>
      <w:marLeft w:val="0"/>
      <w:marRight w:val="0"/>
      <w:marTop w:val="0"/>
      <w:marBottom w:val="0"/>
      <w:divBdr>
        <w:top w:val="none" w:sz="0" w:space="0" w:color="auto"/>
        <w:left w:val="none" w:sz="0" w:space="0" w:color="auto"/>
        <w:bottom w:val="none" w:sz="0" w:space="0" w:color="auto"/>
        <w:right w:val="none" w:sz="0" w:space="0" w:color="auto"/>
      </w:divBdr>
    </w:div>
    <w:div w:id="1502037783">
      <w:bodyDiv w:val="1"/>
      <w:marLeft w:val="0"/>
      <w:marRight w:val="0"/>
      <w:marTop w:val="0"/>
      <w:marBottom w:val="0"/>
      <w:divBdr>
        <w:top w:val="none" w:sz="0" w:space="0" w:color="auto"/>
        <w:left w:val="none" w:sz="0" w:space="0" w:color="auto"/>
        <w:bottom w:val="none" w:sz="0" w:space="0" w:color="auto"/>
        <w:right w:val="none" w:sz="0" w:space="0" w:color="auto"/>
      </w:divBdr>
    </w:div>
    <w:div w:id="1532106971">
      <w:bodyDiv w:val="1"/>
      <w:marLeft w:val="0"/>
      <w:marRight w:val="0"/>
      <w:marTop w:val="0"/>
      <w:marBottom w:val="0"/>
      <w:divBdr>
        <w:top w:val="none" w:sz="0" w:space="0" w:color="auto"/>
        <w:left w:val="none" w:sz="0" w:space="0" w:color="auto"/>
        <w:bottom w:val="none" w:sz="0" w:space="0" w:color="auto"/>
        <w:right w:val="none" w:sz="0" w:space="0" w:color="auto"/>
      </w:divBdr>
    </w:div>
    <w:div w:id="1547335768">
      <w:bodyDiv w:val="1"/>
      <w:marLeft w:val="0"/>
      <w:marRight w:val="0"/>
      <w:marTop w:val="0"/>
      <w:marBottom w:val="0"/>
      <w:divBdr>
        <w:top w:val="none" w:sz="0" w:space="0" w:color="auto"/>
        <w:left w:val="none" w:sz="0" w:space="0" w:color="auto"/>
        <w:bottom w:val="none" w:sz="0" w:space="0" w:color="auto"/>
        <w:right w:val="none" w:sz="0" w:space="0" w:color="auto"/>
      </w:divBdr>
    </w:div>
    <w:div w:id="1547640302">
      <w:bodyDiv w:val="1"/>
      <w:marLeft w:val="0"/>
      <w:marRight w:val="0"/>
      <w:marTop w:val="0"/>
      <w:marBottom w:val="0"/>
      <w:divBdr>
        <w:top w:val="none" w:sz="0" w:space="0" w:color="auto"/>
        <w:left w:val="none" w:sz="0" w:space="0" w:color="auto"/>
        <w:bottom w:val="none" w:sz="0" w:space="0" w:color="auto"/>
        <w:right w:val="none" w:sz="0" w:space="0" w:color="auto"/>
      </w:divBdr>
      <w:divsChild>
        <w:div w:id="151602850">
          <w:marLeft w:val="0"/>
          <w:marRight w:val="0"/>
          <w:marTop w:val="0"/>
          <w:marBottom w:val="0"/>
          <w:divBdr>
            <w:top w:val="none" w:sz="0" w:space="0" w:color="auto"/>
            <w:left w:val="none" w:sz="0" w:space="0" w:color="auto"/>
            <w:bottom w:val="none" w:sz="0" w:space="0" w:color="auto"/>
            <w:right w:val="none" w:sz="0" w:space="0" w:color="auto"/>
          </w:divBdr>
        </w:div>
      </w:divsChild>
    </w:div>
    <w:div w:id="1548955099">
      <w:bodyDiv w:val="1"/>
      <w:marLeft w:val="0"/>
      <w:marRight w:val="0"/>
      <w:marTop w:val="0"/>
      <w:marBottom w:val="0"/>
      <w:divBdr>
        <w:top w:val="none" w:sz="0" w:space="0" w:color="auto"/>
        <w:left w:val="none" w:sz="0" w:space="0" w:color="auto"/>
        <w:bottom w:val="none" w:sz="0" w:space="0" w:color="auto"/>
        <w:right w:val="none" w:sz="0" w:space="0" w:color="auto"/>
      </w:divBdr>
    </w:div>
    <w:div w:id="1585651907">
      <w:bodyDiv w:val="1"/>
      <w:marLeft w:val="0"/>
      <w:marRight w:val="0"/>
      <w:marTop w:val="0"/>
      <w:marBottom w:val="0"/>
      <w:divBdr>
        <w:top w:val="none" w:sz="0" w:space="0" w:color="auto"/>
        <w:left w:val="none" w:sz="0" w:space="0" w:color="auto"/>
        <w:bottom w:val="none" w:sz="0" w:space="0" w:color="auto"/>
        <w:right w:val="none" w:sz="0" w:space="0" w:color="auto"/>
      </w:divBdr>
    </w:div>
    <w:div w:id="1595361005">
      <w:bodyDiv w:val="1"/>
      <w:marLeft w:val="0"/>
      <w:marRight w:val="0"/>
      <w:marTop w:val="0"/>
      <w:marBottom w:val="0"/>
      <w:divBdr>
        <w:top w:val="none" w:sz="0" w:space="0" w:color="auto"/>
        <w:left w:val="none" w:sz="0" w:space="0" w:color="auto"/>
        <w:bottom w:val="none" w:sz="0" w:space="0" w:color="auto"/>
        <w:right w:val="none" w:sz="0" w:space="0" w:color="auto"/>
      </w:divBdr>
      <w:divsChild>
        <w:div w:id="526062319">
          <w:marLeft w:val="0"/>
          <w:marRight w:val="0"/>
          <w:marTop w:val="0"/>
          <w:marBottom w:val="0"/>
          <w:divBdr>
            <w:top w:val="none" w:sz="0" w:space="0" w:color="auto"/>
            <w:left w:val="none" w:sz="0" w:space="0" w:color="auto"/>
            <w:bottom w:val="none" w:sz="0" w:space="0" w:color="auto"/>
            <w:right w:val="none" w:sz="0" w:space="0" w:color="auto"/>
          </w:divBdr>
        </w:div>
      </w:divsChild>
    </w:div>
    <w:div w:id="1606183179">
      <w:bodyDiv w:val="1"/>
      <w:marLeft w:val="0"/>
      <w:marRight w:val="0"/>
      <w:marTop w:val="0"/>
      <w:marBottom w:val="0"/>
      <w:divBdr>
        <w:top w:val="none" w:sz="0" w:space="0" w:color="auto"/>
        <w:left w:val="none" w:sz="0" w:space="0" w:color="auto"/>
        <w:bottom w:val="none" w:sz="0" w:space="0" w:color="auto"/>
        <w:right w:val="none" w:sz="0" w:space="0" w:color="auto"/>
      </w:divBdr>
    </w:div>
    <w:div w:id="1613050716">
      <w:bodyDiv w:val="1"/>
      <w:marLeft w:val="0"/>
      <w:marRight w:val="0"/>
      <w:marTop w:val="0"/>
      <w:marBottom w:val="0"/>
      <w:divBdr>
        <w:top w:val="none" w:sz="0" w:space="0" w:color="auto"/>
        <w:left w:val="none" w:sz="0" w:space="0" w:color="auto"/>
        <w:bottom w:val="none" w:sz="0" w:space="0" w:color="auto"/>
        <w:right w:val="none" w:sz="0" w:space="0" w:color="auto"/>
      </w:divBdr>
    </w:div>
    <w:div w:id="1620382189">
      <w:bodyDiv w:val="1"/>
      <w:marLeft w:val="0"/>
      <w:marRight w:val="0"/>
      <w:marTop w:val="0"/>
      <w:marBottom w:val="0"/>
      <w:divBdr>
        <w:top w:val="none" w:sz="0" w:space="0" w:color="auto"/>
        <w:left w:val="none" w:sz="0" w:space="0" w:color="auto"/>
        <w:bottom w:val="none" w:sz="0" w:space="0" w:color="auto"/>
        <w:right w:val="none" w:sz="0" w:space="0" w:color="auto"/>
      </w:divBdr>
    </w:div>
    <w:div w:id="1635410002">
      <w:bodyDiv w:val="1"/>
      <w:marLeft w:val="0"/>
      <w:marRight w:val="0"/>
      <w:marTop w:val="0"/>
      <w:marBottom w:val="0"/>
      <w:divBdr>
        <w:top w:val="none" w:sz="0" w:space="0" w:color="auto"/>
        <w:left w:val="none" w:sz="0" w:space="0" w:color="auto"/>
        <w:bottom w:val="none" w:sz="0" w:space="0" w:color="auto"/>
        <w:right w:val="none" w:sz="0" w:space="0" w:color="auto"/>
      </w:divBdr>
    </w:div>
    <w:div w:id="1651321955">
      <w:bodyDiv w:val="1"/>
      <w:marLeft w:val="0"/>
      <w:marRight w:val="0"/>
      <w:marTop w:val="0"/>
      <w:marBottom w:val="0"/>
      <w:divBdr>
        <w:top w:val="none" w:sz="0" w:space="0" w:color="auto"/>
        <w:left w:val="none" w:sz="0" w:space="0" w:color="auto"/>
        <w:bottom w:val="none" w:sz="0" w:space="0" w:color="auto"/>
        <w:right w:val="none" w:sz="0" w:space="0" w:color="auto"/>
      </w:divBdr>
    </w:div>
    <w:div w:id="1659797116">
      <w:bodyDiv w:val="1"/>
      <w:marLeft w:val="0"/>
      <w:marRight w:val="0"/>
      <w:marTop w:val="0"/>
      <w:marBottom w:val="0"/>
      <w:divBdr>
        <w:top w:val="none" w:sz="0" w:space="0" w:color="auto"/>
        <w:left w:val="none" w:sz="0" w:space="0" w:color="auto"/>
        <w:bottom w:val="none" w:sz="0" w:space="0" w:color="auto"/>
        <w:right w:val="none" w:sz="0" w:space="0" w:color="auto"/>
      </w:divBdr>
      <w:divsChild>
        <w:div w:id="1682509410">
          <w:marLeft w:val="0"/>
          <w:marRight w:val="0"/>
          <w:marTop w:val="0"/>
          <w:marBottom w:val="0"/>
          <w:divBdr>
            <w:top w:val="none" w:sz="0" w:space="0" w:color="auto"/>
            <w:left w:val="none" w:sz="0" w:space="0" w:color="auto"/>
            <w:bottom w:val="none" w:sz="0" w:space="0" w:color="auto"/>
            <w:right w:val="none" w:sz="0" w:space="0" w:color="auto"/>
          </w:divBdr>
        </w:div>
      </w:divsChild>
    </w:div>
    <w:div w:id="1660226421">
      <w:bodyDiv w:val="1"/>
      <w:marLeft w:val="0"/>
      <w:marRight w:val="0"/>
      <w:marTop w:val="0"/>
      <w:marBottom w:val="0"/>
      <w:divBdr>
        <w:top w:val="none" w:sz="0" w:space="0" w:color="auto"/>
        <w:left w:val="none" w:sz="0" w:space="0" w:color="auto"/>
        <w:bottom w:val="none" w:sz="0" w:space="0" w:color="auto"/>
        <w:right w:val="none" w:sz="0" w:space="0" w:color="auto"/>
      </w:divBdr>
    </w:div>
    <w:div w:id="1667707433">
      <w:bodyDiv w:val="1"/>
      <w:marLeft w:val="0"/>
      <w:marRight w:val="0"/>
      <w:marTop w:val="0"/>
      <w:marBottom w:val="0"/>
      <w:divBdr>
        <w:top w:val="none" w:sz="0" w:space="0" w:color="auto"/>
        <w:left w:val="none" w:sz="0" w:space="0" w:color="auto"/>
        <w:bottom w:val="none" w:sz="0" w:space="0" w:color="auto"/>
        <w:right w:val="none" w:sz="0" w:space="0" w:color="auto"/>
      </w:divBdr>
    </w:div>
    <w:div w:id="1670206417">
      <w:bodyDiv w:val="1"/>
      <w:marLeft w:val="0"/>
      <w:marRight w:val="0"/>
      <w:marTop w:val="0"/>
      <w:marBottom w:val="0"/>
      <w:divBdr>
        <w:top w:val="none" w:sz="0" w:space="0" w:color="auto"/>
        <w:left w:val="none" w:sz="0" w:space="0" w:color="auto"/>
        <w:bottom w:val="none" w:sz="0" w:space="0" w:color="auto"/>
        <w:right w:val="none" w:sz="0" w:space="0" w:color="auto"/>
      </w:divBdr>
    </w:div>
    <w:div w:id="1683320151">
      <w:bodyDiv w:val="1"/>
      <w:marLeft w:val="0"/>
      <w:marRight w:val="0"/>
      <w:marTop w:val="0"/>
      <w:marBottom w:val="0"/>
      <w:divBdr>
        <w:top w:val="none" w:sz="0" w:space="0" w:color="auto"/>
        <w:left w:val="none" w:sz="0" w:space="0" w:color="auto"/>
        <w:bottom w:val="none" w:sz="0" w:space="0" w:color="auto"/>
        <w:right w:val="none" w:sz="0" w:space="0" w:color="auto"/>
      </w:divBdr>
    </w:div>
    <w:div w:id="1685549510">
      <w:bodyDiv w:val="1"/>
      <w:marLeft w:val="0"/>
      <w:marRight w:val="0"/>
      <w:marTop w:val="0"/>
      <w:marBottom w:val="0"/>
      <w:divBdr>
        <w:top w:val="none" w:sz="0" w:space="0" w:color="auto"/>
        <w:left w:val="none" w:sz="0" w:space="0" w:color="auto"/>
        <w:bottom w:val="none" w:sz="0" w:space="0" w:color="auto"/>
        <w:right w:val="none" w:sz="0" w:space="0" w:color="auto"/>
      </w:divBdr>
    </w:div>
    <w:div w:id="1694574807">
      <w:bodyDiv w:val="1"/>
      <w:marLeft w:val="0"/>
      <w:marRight w:val="0"/>
      <w:marTop w:val="0"/>
      <w:marBottom w:val="0"/>
      <w:divBdr>
        <w:top w:val="none" w:sz="0" w:space="0" w:color="auto"/>
        <w:left w:val="none" w:sz="0" w:space="0" w:color="auto"/>
        <w:bottom w:val="none" w:sz="0" w:space="0" w:color="auto"/>
        <w:right w:val="none" w:sz="0" w:space="0" w:color="auto"/>
      </w:divBdr>
      <w:divsChild>
        <w:div w:id="1664700747">
          <w:marLeft w:val="0"/>
          <w:marRight w:val="0"/>
          <w:marTop w:val="0"/>
          <w:marBottom w:val="0"/>
          <w:divBdr>
            <w:top w:val="none" w:sz="0" w:space="0" w:color="auto"/>
            <w:left w:val="none" w:sz="0" w:space="0" w:color="auto"/>
            <w:bottom w:val="none" w:sz="0" w:space="0" w:color="auto"/>
            <w:right w:val="none" w:sz="0" w:space="0" w:color="auto"/>
          </w:divBdr>
        </w:div>
      </w:divsChild>
    </w:div>
    <w:div w:id="1695421912">
      <w:bodyDiv w:val="1"/>
      <w:marLeft w:val="0"/>
      <w:marRight w:val="0"/>
      <w:marTop w:val="0"/>
      <w:marBottom w:val="0"/>
      <w:divBdr>
        <w:top w:val="none" w:sz="0" w:space="0" w:color="auto"/>
        <w:left w:val="none" w:sz="0" w:space="0" w:color="auto"/>
        <w:bottom w:val="none" w:sz="0" w:space="0" w:color="auto"/>
        <w:right w:val="none" w:sz="0" w:space="0" w:color="auto"/>
      </w:divBdr>
    </w:div>
    <w:div w:id="1708484579">
      <w:bodyDiv w:val="1"/>
      <w:marLeft w:val="0"/>
      <w:marRight w:val="0"/>
      <w:marTop w:val="0"/>
      <w:marBottom w:val="0"/>
      <w:divBdr>
        <w:top w:val="none" w:sz="0" w:space="0" w:color="auto"/>
        <w:left w:val="none" w:sz="0" w:space="0" w:color="auto"/>
        <w:bottom w:val="none" w:sz="0" w:space="0" w:color="auto"/>
        <w:right w:val="none" w:sz="0" w:space="0" w:color="auto"/>
      </w:divBdr>
    </w:div>
    <w:div w:id="1726175200">
      <w:bodyDiv w:val="1"/>
      <w:marLeft w:val="0"/>
      <w:marRight w:val="0"/>
      <w:marTop w:val="0"/>
      <w:marBottom w:val="0"/>
      <w:divBdr>
        <w:top w:val="none" w:sz="0" w:space="0" w:color="auto"/>
        <w:left w:val="none" w:sz="0" w:space="0" w:color="auto"/>
        <w:bottom w:val="none" w:sz="0" w:space="0" w:color="auto"/>
        <w:right w:val="none" w:sz="0" w:space="0" w:color="auto"/>
      </w:divBdr>
    </w:div>
    <w:div w:id="1746800720">
      <w:bodyDiv w:val="1"/>
      <w:marLeft w:val="0"/>
      <w:marRight w:val="0"/>
      <w:marTop w:val="0"/>
      <w:marBottom w:val="0"/>
      <w:divBdr>
        <w:top w:val="none" w:sz="0" w:space="0" w:color="auto"/>
        <w:left w:val="none" w:sz="0" w:space="0" w:color="auto"/>
        <w:bottom w:val="none" w:sz="0" w:space="0" w:color="auto"/>
        <w:right w:val="none" w:sz="0" w:space="0" w:color="auto"/>
      </w:divBdr>
    </w:div>
    <w:div w:id="1761487565">
      <w:bodyDiv w:val="1"/>
      <w:marLeft w:val="0"/>
      <w:marRight w:val="0"/>
      <w:marTop w:val="0"/>
      <w:marBottom w:val="0"/>
      <w:divBdr>
        <w:top w:val="none" w:sz="0" w:space="0" w:color="auto"/>
        <w:left w:val="none" w:sz="0" w:space="0" w:color="auto"/>
        <w:bottom w:val="none" w:sz="0" w:space="0" w:color="auto"/>
        <w:right w:val="none" w:sz="0" w:space="0" w:color="auto"/>
      </w:divBdr>
    </w:div>
    <w:div w:id="1822116964">
      <w:bodyDiv w:val="1"/>
      <w:marLeft w:val="0"/>
      <w:marRight w:val="0"/>
      <w:marTop w:val="0"/>
      <w:marBottom w:val="0"/>
      <w:divBdr>
        <w:top w:val="none" w:sz="0" w:space="0" w:color="auto"/>
        <w:left w:val="none" w:sz="0" w:space="0" w:color="auto"/>
        <w:bottom w:val="none" w:sz="0" w:space="0" w:color="auto"/>
        <w:right w:val="none" w:sz="0" w:space="0" w:color="auto"/>
      </w:divBdr>
    </w:div>
    <w:div w:id="1835222037">
      <w:bodyDiv w:val="1"/>
      <w:marLeft w:val="0"/>
      <w:marRight w:val="0"/>
      <w:marTop w:val="0"/>
      <w:marBottom w:val="0"/>
      <w:divBdr>
        <w:top w:val="none" w:sz="0" w:space="0" w:color="auto"/>
        <w:left w:val="none" w:sz="0" w:space="0" w:color="auto"/>
        <w:bottom w:val="none" w:sz="0" w:space="0" w:color="auto"/>
        <w:right w:val="none" w:sz="0" w:space="0" w:color="auto"/>
      </w:divBdr>
    </w:div>
    <w:div w:id="1840581883">
      <w:bodyDiv w:val="1"/>
      <w:marLeft w:val="0"/>
      <w:marRight w:val="0"/>
      <w:marTop w:val="0"/>
      <w:marBottom w:val="0"/>
      <w:divBdr>
        <w:top w:val="none" w:sz="0" w:space="0" w:color="auto"/>
        <w:left w:val="none" w:sz="0" w:space="0" w:color="auto"/>
        <w:bottom w:val="none" w:sz="0" w:space="0" w:color="auto"/>
        <w:right w:val="none" w:sz="0" w:space="0" w:color="auto"/>
      </w:divBdr>
      <w:divsChild>
        <w:div w:id="82379643">
          <w:marLeft w:val="0"/>
          <w:marRight w:val="0"/>
          <w:marTop w:val="0"/>
          <w:marBottom w:val="0"/>
          <w:divBdr>
            <w:top w:val="none" w:sz="0" w:space="0" w:color="auto"/>
            <w:left w:val="none" w:sz="0" w:space="0" w:color="auto"/>
            <w:bottom w:val="none" w:sz="0" w:space="0" w:color="auto"/>
            <w:right w:val="none" w:sz="0" w:space="0" w:color="auto"/>
          </w:divBdr>
          <w:divsChild>
            <w:div w:id="902642162">
              <w:marLeft w:val="0"/>
              <w:marRight w:val="0"/>
              <w:marTop w:val="0"/>
              <w:marBottom w:val="0"/>
              <w:divBdr>
                <w:top w:val="none" w:sz="0" w:space="0" w:color="auto"/>
                <w:left w:val="none" w:sz="0" w:space="0" w:color="auto"/>
                <w:bottom w:val="none" w:sz="0" w:space="0" w:color="auto"/>
                <w:right w:val="none" w:sz="0" w:space="0" w:color="auto"/>
              </w:divBdr>
            </w:div>
          </w:divsChild>
        </w:div>
        <w:div w:id="118496235">
          <w:marLeft w:val="0"/>
          <w:marRight w:val="0"/>
          <w:marTop w:val="0"/>
          <w:marBottom w:val="0"/>
          <w:divBdr>
            <w:top w:val="none" w:sz="0" w:space="0" w:color="auto"/>
            <w:left w:val="none" w:sz="0" w:space="0" w:color="auto"/>
            <w:bottom w:val="none" w:sz="0" w:space="0" w:color="auto"/>
            <w:right w:val="none" w:sz="0" w:space="0" w:color="auto"/>
          </w:divBdr>
          <w:divsChild>
            <w:div w:id="1160735541">
              <w:marLeft w:val="0"/>
              <w:marRight w:val="0"/>
              <w:marTop w:val="0"/>
              <w:marBottom w:val="0"/>
              <w:divBdr>
                <w:top w:val="none" w:sz="0" w:space="0" w:color="auto"/>
                <w:left w:val="none" w:sz="0" w:space="0" w:color="auto"/>
                <w:bottom w:val="none" w:sz="0" w:space="0" w:color="auto"/>
                <w:right w:val="none" w:sz="0" w:space="0" w:color="auto"/>
              </w:divBdr>
            </w:div>
          </w:divsChild>
        </w:div>
        <w:div w:id="214707260">
          <w:marLeft w:val="0"/>
          <w:marRight w:val="0"/>
          <w:marTop w:val="0"/>
          <w:marBottom w:val="0"/>
          <w:divBdr>
            <w:top w:val="none" w:sz="0" w:space="0" w:color="auto"/>
            <w:left w:val="none" w:sz="0" w:space="0" w:color="auto"/>
            <w:bottom w:val="none" w:sz="0" w:space="0" w:color="auto"/>
            <w:right w:val="none" w:sz="0" w:space="0" w:color="auto"/>
          </w:divBdr>
          <w:divsChild>
            <w:div w:id="665978053">
              <w:marLeft w:val="0"/>
              <w:marRight w:val="0"/>
              <w:marTop w:val="0"/>
              <w:marBottom w:val="0"/>
              <w:divBdr>
                <w:top w:val="none" w:sz="0" w:space="0" w:color="auto"/>
                <w:left w:val="none" w:sz="0" w:space="0" w:color="auto"/>
                <w:bottom w:val="none" w:sz="0" w:space="0" w:color="auto"/>
                <w:right w:val="none" w:sz="0" w:space="0" w:color="auto"/>
              </w:divBdr>
            </w:div>
          </w:divsChild>
        </w:div>
        <w:div w:id="219093605">
          <w:marLeft w:val="0"/>
          <w:marRight w:val="0"/>
          <w:marTop w:val="0"/>
          <w:marBottom w:val="0"/>
          <w:divBdr>
            <w:top w:val="none" w:sz="0" w:space="0" w:color="auto"/>
            <w:left w:val="none" w:sz="0" w:space="0" w:color="auto"/>
            <w:bottom w:val="none" w:sz="0" w:space="0" w:color="auto"/>
            <w:right w:val="none" w:sz="0" w:space="0" w:color="auto"/>
          </w:divBdr>
          <w:divsChild>
            <w:div w:id="546114271">
              <w:marLeft w:val="0"/>
              <w:marRight w:val="0"/>
              <w:marTop w:val="0"/>
              <w:marBottom w:val="0"/>
              <w:divBdr>
                <w:top w:val="none" w:sz="0" w:space="0" w:color="auto"/>
                <w:left w:val="none" w:sz="0" w:space="0" w:color="auto"/>
                <w:bottom w:val="none" w:sz="0" w:space="0" w:color="auto"/>
                <w:right w:val="none" w:sz="0" w:space="0" w:color="auto"/>
              </w:divBdr>
            </w:div>
          </w:divsChild>
        </w:div>
        <w:div w:id="330766661">
          <w:marLeft w:val="0"/>
          <w:marRight w:val="0"/>
          <w:marTop w:val="0"/>
          <w:marBottom w:val="0"/>
          <w:divBdr>
            <w:top w:val="none" w:sz="0" w:space="0" w:color="auto"/>
            <w:left w:val="none" w:sz="0" w:space="0" w:color="auto"/>
            <w:bottom w:val="none" w:sz="0" w:space="0" w:color="auto"/>
            <w:right w:val="none" w:sz="0" w:space="0" w:color="auto"/>
          </w:divBdr>
          <w:divsChild>
            <w:div w:id="1266576459">
              <w:marLeft w:val="0"/>
              <w:marRight w:val="0"/>
              <w:marTop w:val="0"/>
              <w:marBottom w:val="0"/>
              <w:divBdr>
                <w:top w:val="none" w:sz="0" w:space="0" w:color="auto"/>
                <w:left w:val="none" w:sz="0" w:space="0" w:color="auto"/>
                <w:bottom w:val="none" w:sz="0" w:space="0" w:color="auto"/>
                <w:right w:val="none" w:sz="0" w:space="0" w:color="auto"/>
              </w:divBdr>
            </w:div>
          </w:divsChild>
        </w:div>
        <w:div w:id="356081351">
          <w:marLeft w:val="0"/>
          <w:marRight w:val="0"/>
          <w:marTop w:val="0"/>
          <w:marBottom w:val="0"/>
          <w:divBdr>
            <w:top w:val="none" w:sz="0" w:space="0" w:color="auto"/>
            <w:left w:val="none" w:sz="0" w:space="0" w:color="auto"/>
            <w:bottom w:val="none" w:sz="0" w:space="0" w:color="auto"/>
            <w:right w:val="none" w:sz="0" w:space="0" w:color="auto"/>
          </w:divBdr>
          <w:divsChild>
            <w:div w:id="996685765">
              <w:marLeft w:val="0"/>
              <w:marRight w:val="0"/>
              <w:marTop w:val="0"/>
              <w:marBottom w:val="0"/>
              <w:divBdr>
                <w:top w:val="none" w:sz="0" w:space="0" w:color="auto"/>
                <w:left w:val="none" w:sz="0" w:space="0" w:color="auto"/>
                <w:bottom w:val="none" w:sz="0" w:space="0" w:color="auto"/>
                <w:right w:val="none" w:sz="0" w:space="0" w:color="auto"/>
              </w:divBdr>
            </w:div>
          </w:divsChild>
        </w:div>
        <w:div w:id="367030496">
          <w:marLeft w:val="0"/>
          <w:marRight w:val="0"/>
          <w:marTop w:val="0"/>
          <w:marBottom w:val="0"/>
          <w:divBdr>
            <w:top w:val="none" w:sz="0" w:space="0" w:color="auto"/>
            <w:left w:val="none" w:sz="0" w:space="0" w:color="auto"/>
            <w:bottom w:val="none" w:sz="0" w:space="0" w:color="auto"/>
            <w:right w:val="none" w:sz="0" w:space="0" w:color="auto"/>
          </w:divBdr>
          <w:divsChild>
            <w:div w:id="475034269">
              <w:marLeft w:val="0"/>
              <w:marRight w:val="0"/>
              <w:marTop w:val="0"/>
              <w:marBottom w:val="0"/>
              <w:divBdr>
                <w:top w:val="none" w:sz="0" w:space="0" w:color="auto"/>
                <w:left w:val="none" w:sz="0" w:space="0" w:color="auto"/>
                <w:bottom w:val="none" w:sz="0" w:space="0" w:color="auto"/>
                <w:right w:val="none" w:sz="0" w:space="0" w:color="auto"/>
              </w:divBdr>
            </w:div>
          </w:divsChild>
        </w:div>
        <w:div w:id="416563276">
          <w:marLeft w:val="0"/>
          <w:marRight w:val="0"/>
          <w:marTop w:val="0"/>
          <w:marBottom w:val="0"/>
          <w:divBdr>
            <w:top w:val="none" w:sz="0" w:space="0" w:color="auto"/>
            <w:left w:val="none" w:sz="0" w:space="0" w:color="auto"/>
            <w:bottom w:val="none" w:sz="0" w:space="0" w:color="auto"/>
            <w:right w:val="none" w:sz="0" w:space="0" w:color="auto"/>
          </w:divBdr>
          <w:divsChild>
            <w:div w:id="468475821">
              <w:marLeft w:val="0"/>
              <w:marRight w:val="0"/>
              <w:marTop w:val="0"/>
              <w:marBottom w:val="0"/>
              <w:divBdr>
                <w:top w:val="none" w:sz="0" w:space="0" w:color="auto"/>
                <w:left w:val="none" w:sz="0" w:space="0" w:color="auto"/>
                <w:bottom w:val="none" w:sz="0" w:space="0" w:color="auto"/>
                <w:right w:val="none" w:sz="0" w:space="0" w:color="auto"/>
              </w:divBdr>
            </w:div>
          </w:divsChild>
        </w:div>
        <w:div w:id="647133351">
          <w:marLeft w:val="0"/>
          <w:marRight w:val="0"/>
          <w:marTop w:val="0"/>
          <w:marBottom w:val="0"/>
          <w:divBdr>
            <w:top w:val="none" w:sz="0" w:space="0" w:color="auto"/>
            <w:left w:val="none" w:sz="0" w:space="0" w:color="auto"/>
            <w:bottom w:val="none" w:sz="0" w:space="0" w:color="auto"/>
            <w:right w:val="none" w:sz="0" w:space="0" w:color="auto"/>
          </w:divBdr>
          <w:divsChild>
            <w:div w:id="414863460">
              <w:marLeft w:val="0"/>
              <w:marRight w:val="0"/>
              <w:marTop w:val="0"/>
              <w:marBottom w:val="0"/>
              <w:divBdr>
                <w:top w:val="none" w:sz="0" w:space="0" w:color="auto"/>
                <w:left w:val="none" w:sz="0" w:space="0" w:color="auto"/>
                <w:bottom w:val="none" w:sz="0" w:space="0" w:color="auto"/>
                <w:right w:val="none" w:sz="0" w:space="0" w:color="auto"/>
              </w:divBdr>
            </w:div>
          </w:divsChild>
        </w:div>
        <w:div w:id="679506817">
          <w:marLeft w:val="0"/>
          <w:marRight w:val="0"/>
          <w:marTop w:val="0"/>
          <w:marBottom w:val="0"/>
          <w:divBdr>
            <w:top w:val="none" w:sz="0" w:space="0" w:color="auto"/>
            <w:left w:val="none" w:sz="0" w:space="0" w:color="auto"/>
            <w:bottom w:val="none" w:sz="0" w:space="0" w:color="auto"/>
            <w:right w:val="none" w:sz="0" w:space="0" w:color="auto"/>
          </w:divBdr>
          <w:divsChild>
            <w:div w:id="1678733374">
              <w:marLeft w:val="0"/>
              <w:marRight w:val="0"/>
              <w:marTop w:val="0"/>
              <w:marBottom w:val="0"/>
              <w:divBdr>
                <w:top w:val="none" w:sz="0" w:space="0" w:color="auto"/>
                <w:left w:val="none" w:sz="0" w:space="0" w:color="auto"/>
                <w:bottom w:val="none" w:sz="0" w:space="0" w:color="auto"/>
                <w:right w:val="none" w:sz="0" w:space="0" w:color="auto"/>
              </w:divBdr>
            </w:div>
          </w:divsChild>
        </w:div>
        <w:div w:id="716008520">
          <w:marLeft w:val="0"/>
          <w:marRight w:val="0"/>
          <w:marTop w:val="0"/>
          <w:marBottom w:val="0"/>
          <w:divBdr>
            <w:top w:val="none" w:sz="0" w:space="0" w:color="auto"/>
            <w:left w:val="none" w:sz="0" w:space="0" w:color="auto"/>
            <w:bottom w:val="none" w:sz="0" w:space="0" w:color="auto"/>
            <w:right w:val="none" w:sz="0" w:space="0" w:color="auto"/>
          </w:divBdr>
          <w:divsChild>
            <w:div w:id="1253080301">
              <w:marLeft w:val="0"/>
              <w:marRight w:val="0"/>
              <w:marTop w:val="0"/>
              <w:marBottom w:val="0"/>
              <w:divBdr>
                <w:top w:val="none" w:sz="0" w:space="0" w:color="auto"/>
                <w:left w:val="none" w:sz="0" w:space="0" w:color="auto"/>
                <w:bottom w:val="none" w:sz="0" w:space="0" w:color="auto"/>
                <w:right w:val="none" w:sz="0" w:space="0" w:color="auto"/>
              </w:divBdr>
            </w:div>
          </w:divsChild>
        </w:div>
        <w:div w:id="717700668">
          <w:marLeft w:val="0"/>
          <w:marRight w:val="0"/>
          <w:marTop w:val="0"/>
          <w:marBottom w:val="0"/>
          <w:divBdr>
            <w:top w:val="none" w:sz="0" w:space="0" w:color="auto"/>
            <w:left w:val="none" w:sz="0" w:space="0" w:color="auto"/>
            <w:bottom w:val="none" w:sz="0" w:space="0" w:color="auto"/>
            <w:right w:val="none" w:sz="0" w:space="0" w:color="auto"/>
          </w:divBdr>
          <w:divsChild>
            <w:div w:id="1743212948">
              <w:marLeft w:val="0"/>
              <w:marRight w:val="0"/>
              <w:marTop w:val="0"/>
              <w:marBottom w:val="0"/>
              <w:divBdr>
                <w:top w:val="none" w:sz="0" w:space="0" w:color="auto"/>
                <w:left w:val="none" w:sz="0" w:space="0" w:color="auto"/>
                <w:bottom w:val="none" w:sz="0" w:space="0" w:color="auto"/>
                <w:right w:val="none" w:sz="0" w:space="0" w:color="auto"/>
              </w:divBdr>
            </w:div>
          </w:divsChild>
        </w:div>
        <w:div w:id="766003713">
          <w:marLeft w:val="0"/>
          <w:marRight w:val="0"/>
          <w:marTop w:val="0"/>
          <w:marBottom w:val="0"/>
          <w:divBdr>
            <w:top w:val="none" w:sz="0" w:space="0" w:color="auto"/>
            <w:left w:val="none" w:sz="0" w:space="0" w:color="auto"/>
            <w:bottom w:val="none" w:sz="0" w:space="0" w:color="auto"/>
            <w:right w:val="none" w:sz="0" w:space="0" w:color="auto"/>
          </w:divBdr>
          <w:divsChild>
            <w:div w:id="137842845">
              <w:marLeft w:val="0"/>
              <w:marRight w:val="0"/>
              <w:marTop w:val="0"/>
              <w:marBottom w:val="0"/>
              <w:divBdr>
                <w:top w:val="none" w:sz="0" w:space="0" w:color="auto"/>
                <w:left w:val="none" w:sz="0" w:space="0" w:color="auto"/>
                <w:bottom w:val="none" w:sz="0" w:space="0" w:color="auto"/>
                <w:right w:val="none" w:sz="0" w:space="0" w:color="auto"/>
              </w:divBdr>
            </w:div>
          </w:divsChild>
        </w:div>
        <w:div w:id="813641608">
          <w:marLeft w:val="0"/>
          <w:marRight w:val="0"/>
          <w:marTop w:val="0"/>
          <w:marBottom w:val="0"/>
          <w:divBdr>
            <w:top w:val="none" w:sz="0" w:space="0" w:color="auto"/>
            <w:left w:val="none" w:sz="0" w:space="0" w:color="auto"/>
            <w:bottom w:val="none" w:sz="0" w:space="0" w:color="auto"/>
            <w:right w:val="none" w:sz="0" w:space="0" w:color="auto"/>
          </w:divBdr>
          <w:divsChild>
            <w:div w:id="908425032">
              <w:marLeft w:val="0"/>
              <w:marRight w:val="0"/>
              <w:marTop w:val="0"/>
              <w:marBottom w:val="0"/>
              <w:divBdr>
                <w:top w:val="none" w:sz="0" w:space="0" w:color="auto"/>
                <w:left w:val="none" w:sz="0" w:space="0" w:color="auto"/>
                <w:bottom w:val="none" w:sz="0" w:space="0" w:color="auto"/>
                <w:right w:val="none" w:sz="0" w:space="0" w:color="auto"/>
              </w:divBdr>
            </w:div>
          </w:divsChild>
        </w:div>
        <w:div w:id="874922716">
          <w:marLeft w:val="0"/>
          <w:marRight w:val="0"/>
          <w:marTop w:val="0"/>
          <w:marBottom w:val="0"/>
          <w:divBdr>
            <w:top w:val="none" w:sz="0" w:space="0" w:color="auto"/>
            <w:left w:val="none" w:sz="0" w:space="0" w:color="auto"/>
            <w:bottom w:val="none" w:sz="0" w:space="0" w:color="auto"/>
            <w:right w:val="none" w:sz="0" w:space="0" w:color="auto"/>
          </w:divBdr>
          <w:divsChild>
            <w:div w:id="798493491">
              <w:marLeft w:val="0"/>
              <w:marRight w:val="0"/>
              <w:marTop w:val="0"/>
              <w:marBottom w:val="0"/>
              <w:divBdr>
                <w:top w:val="none" w:sz="0" w:space="0" w:color="auto"/>
                <w:left w:val="none" w:sz="0" w:space="0" w:color="auto"/>
                <w:bottom w:val="none" w:sz="0" w:space="0" w:color="auto"/>
                <w:right w:val="none" w:sz="0" w:space="0" w:color="auto"/>
              </w:divBdr>
            </w:div>
          </w:divsChild>
        </w:div>
        <w:div w:id="993604542">
          <w:marLeft w:val="0"/>
          <w:marRight w:val="0"/>
          <w:marTop w:val="0"/>
          <w:marBottom w:val="0"/>
          <w:divBdr>
            <w:top w:val="none" w:sz="0" w:space="0" w:color="auto"/>
            <w:left w:val="none" w:sz="0" w:space="0" w:color="auto"/>
            <w:bottom w:val="none" w:sz="0" w:space="0" w:color="auto"/>
            <w:right w:val="none" w:sz="0" w:space="0" w:color="auto"/>
          </w:divBdr>
          <w:divsChild>
            <w:div w:id="1678266849">
              <w:marLeft w:val="0"/>
              <w:marRight w:val="0"/>
              <w:marTop w:val="0"/>
              <w:marBottom w:val="0"/>
              <w:divBdr>
                <w:top w:val="none" w:sz="0" w:space="0" w:color="auto"/>
                <w:left w:val="none" w:sz="0" w:space="0" w:color="auto"/>
                <w:bottom w:val="none" w:sz="0" w:space="0" w:color="auto"/>
                <w:right w:val="none" w:sz="0" w:space="0" w:color="auto"/>
              </w:divBdr>
            </w:div>
          </w:divsChild>
        </w:div>
        <w:div w:id="1026099483">
          <w:marLeft w:val="0"/>
          <w:marRight w:val="0"/>
          <w:marTop w:val="0"/>
          <w:marBottom w:val="0"/>
          <w:divBdr>
            <w:top w:val="none" w:sz="0" w:space="0" w:color="auto"/>
            <w:left w:val="none" w:sz="0" w:space="0" w:color="auto"/>
            <w:bottom w:val="none" w:sz="0" w:space="0" w:color="auto"/>
            <w:right w:val="none" w:sz="0" w:space="0" w:color="auto"/>
          </w:divBdr>
          <w:divsChild>
            <w:div w:id="564754799">
              <w:marLeft w:val="0"/>
              <w:marRight w:val="0"/>
              <w:marTop w:val="0"/>
              <w:marBottom w:val="0"/>
              <w:divBdr>
                <w:top w:val="none" w:sz="0" w:space="0" w:color="auto"/>
                <w:left w:val="none" w:sz="0" w:space="0" w:color="auto"/>
                <w:bottom w:val="none" w:sz="0" w:space="0" w:color="auto"/>
                <w:right w:val="none" w:sz="0" w:space="0" w:color="auto"/>
              </w:divBdr>
            </w:div>
          </w:divsChild>
        </w:div>
        <w:div w:id="1081025993">
          <w:marLeft w:val="0"/>
          <w:marRight w:val="0"/>
          <w:marTop w:val="0"/>
          <w:marBottom w:val="0"/>
          <w:divBdr>
            <w:top w:val="none" w:sz="0" w:space="0" w:color="auto"/>
            <w:left w:val="none" w:sz="0" w:space="0" w:color="auto"/>
            <w:bottom w:val="none" w:sz="0" w:space="0" w:color="auto"/>
            <w:right w:val="none" w:sz="0" w:space="0" w:color="auto"/>
          </w:divBdr>
          <w:divsChild>
            <w:div w:id="1171139372">
              <w:marLeft w:val="0"/>
              <w:marRight w:val="0"/>
              <w:marTop w:val="0"/>
              <w:marBottom w:val="0"/>
              <w:divBdr>
                <w:top w:val="none" w:sz="0" w:space="0" w:color="auto"/>
                <w:left w:val="none" w:sz="0" w:space="0" w:color="auto"/>
                <w:bottom w:val="none" w:sz="0" w:space="0" w:color="auto"/>
                <w:right w:val="none" w:sz="0" w:space="0" w:color="auto"/>
              </w:divBdr>
            </w:div>
          </w:divsChild>
        </w:div>
        <w:div w:id="1108544477">
          <w:marLeft w:val="0"/>
          <w:marRight w:val="0"/>
          <w:marTop w:val="0"/>
          <w:marBottom w:val="0"/>
          <w:divBdr>
            <w:top w:val="none" w:sz="0" w:space="0" w:color="auto"/>
            <w:left w:val="none" w:sz="0" w:space="0" w:color="auto"/>
            <w:bottom w:val="none" w:sz="0" w:space="0" w:color="auto"/>
            <w:right w:val="none" w:sz="0" w:space="0" w:color="auto"/>
          </w:divBdr>
          <w:divsChild>
            <w:div w:id="409893351">
              <w:marLeft w:val="0"/>
              <w:marRight w:val="0"/>
              <w:marTop w:val="0"/>
              <w:marBottom w:val="0"/>
              <w:divBdr>
                <w:top w:val="none" w:sz="0" w:space="0" w:color="auto"/>
                <w:left w:val="none" w:sz="0" w:space="0" w:color="auto"/>
                <w:bottom w:val="none" w:sz="0" w:space="0" w:color="auto"/>
                <w:right w:val="none" w:sz="0" w:space="0" w:color="auto"/>
              </w:divBdr>
            </w:div>
          </w:divsChild>
        </w:div>
        <w:div w:id="1285382158">
          <w:marLeft w:val="0"/>
          <w:marRight w:val="0"/>
          <w:marTop w:val="0"/>
          <w:marBottom w:val="0"/>
          <w:divBdr>
            <w:top w:val="none" w:sz="0" w:space="0" w:color="auto"/>
            <w:left w:val="none" w:sz="0" w:space="0" w:color="auto"/>
            <w:bottom w:val="none" w:sz="0" w:space="0" w:color="auto"/>
            <w:right w:val="none" w:sz="0" w:space="0" w:color="auto"/>
          </w:divBdr>
          <w:divsChild>
            <w:div w:id="1609849821">
              <w:marLeft w:val="0"/>
              <w:marRight w:val="0"/>
              <w:marTop w:val="0"/>
              <w:marBottom w:val="0"/>
              <w:divBdr>
                <w:top w:val="none" w:sz="0" w:space="0" w:color="auto"/>
                <w:left w:val="none" w:sz="0" w:space="0" w:color="auto"/>
                <w:bottom w:val="none" w:sz="0" w:space="0" w:color="auto"/>
                <w:right w:val="none" w:sz="0" w:space="0" w:color="auto"/>
              </w:divBdr>
            </w:div>
          </w:divsChild>
        </w:div>
        <w:div w:id="1386834469">
          <w:marLeft w:val="0"/>
          <w:marRight w:val="0"/>
          <w:marTop w:val="0"/>
          <w:marBottom w:val="0"/>
          <w:divBdr>
            <w:top w:val="none" w:sz="0" w:space="0" w:color="auto"/>
            <w:left w:val="none" w:sz="0" w:space="0" w:color="auto"/>
            <w:bottom w:val="none" w:sz="0" w:space="0" w:color="auto"/>
            <w:right w:val="none" w:sz="0" w:space="0" w:color="auto"/>
          </w:divBdr>
          <w:divsChild>
            <w:div w:id="908732798">
              <w:marLeft w:val="0"/>
              <w:marRight w:val="0"/>
              <w:marTop w:val="0"/>
              <w:marBottom w:val="0"/>
              <w:divBdr>
                <w:top w:val="none" w:sz="0" w:space="0" w:color="auto"/>
                <w:left w:val="none" w:sz="0" w:space="0" w:color="auto"/>
                <w:bottom w:val="none" w:sz="0" w:space="0" w:color="auto"/>
                <w:right w:val="none" w:sz="0" w:space="0" w:color="auto"/>
              </w:divBdr>
            </w:div>
          </w:divsChild>
        </w:div>
        <w:div w:id="1428772626">
          <w:marLeft w:val="0"/>
          <w:marRight w:val="0"/>
          <w:marTop w:val="0"/>
          <w:marBottom w:val="0"/>
          <w:divBdr>
            <w:top w:val="none" w:sz="0" w:space="0" w:color="auto"/>
            <w:left w:val="none" w:sz="0" w:space="0" w:color="auto"/>
            <w:bottom w:val="none" w:sz="0" w:space="0" w:color="auto"/>
            <w:right w:val="none" w:sz="0" w:space="0" w:color="auto"/>
          </w:divBdr>
          <w:divsChild>
            <w:div w:id="1634948378">
              <w:marLeft w:val="0"/>
              <w:marRight w:val="0"/>
              <w:marTop w:val="0"/>
              <w:marBottom w:val="0"/>
              <w:divBdr>
                <w:top w:val="none" w:sz="0" w:space="0" w:color="auto"/>
                <w:left w:val="none" w:sz="0" w:space="0" w:color="auto"/>
                <w:bottom w:val="none" w:sz="0" w:space="0" w:color="auto"/>
                <w:right w:val="none" w:sz="0" w:space="0" w:color="auto"/>
              </w:divBdr>
            </w:div>
          </w:divsChild>
        </w:div>
        <w:div w:id="1523518593">
          <w:marLeft w:val="0"/>
          <w:marRight w:val="0"/>
          <w:marTop w:val="0"/>
          <w:marBottom w:val="0"/>
          <w:divBdr>
            <w:top w:val="none" w:sz="0" w:space="0" w:color="auto"/>
            <w:left w:val="none" w:sz="0" w:space="0" w:color="auto"/>
            <w:bottom w:val="none" w:sz="0" w:space="0" w:color="auto"/>
            <w:right w:val="none" w:sz="0" w:space="0" w:color="auto"/>
          </w:divBdr>
          <w:divsChild>
            <w:div w:id="1692753712">
              <w:marLeft w:val="0"/>
              <w:marRight w:val="0"/>
              <w:marTop w:val="0"/>
              <w:marBottom w:val="0"/>
              <w:divBdr>
                <w:top w:val="none" w:sz="0" w:space="0" w:color="auto"/>
                <w:left w:val="none" w:sz="0" w:space="0" w:color="auto"/>
                <w:bottom w:val="none" w:sz="0" w:space="0" w:color="auto"/>
                <w:right w:val="none" w:sz="0" w:space="0" w:color="auto"/>
              </w:divBdr>
            </w:div>
          </w:divsChild>
        </w:div>
        <w:div w:id="1599368895">
          <w:marLeft w:val="0"/>
          <w:marRight w:val="0"/>
          <w:marTop w:val="0"/>
          <w:marBottom w:val="0"/>
          <w:divBdr>
            <w:top w:val="none" w:sz="0" w:space="0" w:color="auto"/>
            <w:left w:val="none" w:sz="0" w:space="0" w:color="auto"/>
            <w:bottom w:val="none" w:sz="0" w:space="0" w:color="auto"/>
            <w:right w:val="none" w:sz="0" w:space="0" w:color="auto"/>
          </w:divBdr>
          <w:divsChild>
            <w:div w:id="513882068">
              <w:marLeft w:val="0"/>
              <w:marRight w:val="0"/>
              <w:marTop w:val="0"/>
              <w:marBottom w:val="0"/>
              <w:divBdr>
                <w:top w:val="none" w:sz="0" w:space="0" w:color="auto"/>
                <w:left w:val="none" w:sz="0" w:space="0" w:color="auto"/>
                <w:bottom w:val="none" w:sz="0" w:space="0" w:color="auto"/>
                <w:right w:val="none" w:sz="0" w:space="0" w:color="auto"/>
              </w:divBdr>
            </w:div>
          </w:divsChild>
        </w:div>
        <w:div w:id="1674912536">
          <w:marLeft w:val="0"/>
          <w:marRight w:val="0"/>
          <w:marTop w:val="0"/>
          <w:marBottom w:val="0"/>
          <w:divBdr>
            <w:top w:val="none" w:sz="0" w:space="0" w:color="auto"/>
            <w:left w:val="none" w:sz="0" w:space="0" w:color="auto"/>
            <w:bottom w:val="none" w:sz="0" w:space="0" w:color="auto"/>
            <w:right w:val="none" w:sz="0" w:space="0" w:color="auto"/>
          </w:divBdr>
          <w:divsChild>
            <w:div w:id="2036540338">
              <w:marLeft w:val="0"/>
              <w:marRight w:val="0"/>
              <w:marTop w:val="0"/>
              <w:marBottom w:val="0"/>
              <w:divBdr>
                <w:top w:val="none" w:sz="0" w:space="0" w:color="auto"/>
                <w:left w:val="none" w:sz="0" w:space="0" w:color="auto"/>
                <w:bottom w:val="none" w:sz="0" w:space="0" w:color="auto"/>
                <w:right w:val="none" w:sz="0" w:space="0" w:color="auto"/>
              </w:divBdr>
            </w:div>
          </w:divsChild>
        </w:div>
        <w:div w:id="1695422965">
          <w:marLeft w:val="0"/>
          <w:marRight w:val="0"/>
          <w:marTop w:val="0"/>
          <w:marBottom w:val="0"/>
          <w:divBdr>
            <w:top w:val="none" w:sz="0" w:space="0" w:color="auto"/>
            <w:left w:val="none" w:sz="0" w:space="0" w:color="auto"/>
            <w:bottom w:val="none" w:sz="0" w:space="0" w:color="auto"/>
            <w:right w:val="none" w:sz="0" w:space="0" w:color="auto"/>
          </w:divBdr>
          <w:divsChild>
            <w:div w:id="6833403">
              <w:marLeft w:val="0"/>
              <w:marRight w:val="0"/>
              <w:marTop w:val="0"/>
              <w:marBottom w:val="0"/>
              <w:divBdr>
                <w:top w:val="none" w:sz="0" w:space="0" w:color="auto"/>
                <w:left w:val="none" w:sz="0" w:space="0" w:color="auto"/>
                <w:bottom w:val="none" w:sz="0" w:space="0" w:color="auto"/>
                <w:right w:val="none" w:sz="0" w:space="0" w:color="auto"/>
              </w:divBdr>
            </w:div>
          </w:divsChild>
        </w:div>
        <w:div w:id="1861356671">
          <w:marLeft w:val="0"/>
          <w:marRight w:val="0"/>
          <w:marTop w:val="0"/>
          <w:marBottom w:val="0"/>
          <w:divBdr>
            <w:top w:val="none" w:sz="0" w:space="0" w:color="auto"/>
            <w:left w:val="none" w:sz="0" w:space="0" w:color="auto"/>
            <w:bottom w:val="none" w:sz="0" w:space="0" w:color="auto"/>
            <w:right w:val="none" w:sz="0" w:space="0" w:color="auto"/>
          </w:divBdr>
          <w:divsChild>
            <w:div w:id="748774737">
              <w:marLeft w:val="0"/>
              <w:marRight w:val="0"/>
              <w:marTop w:val="0"/>
              <w:marBottom w:val="0"/>
              <w:divBdr>
                <w:top w:val="none" w:sz="0" w:space="0" w:color="auto"/>
                <w:left w:val="none" w:sz="0" w:space="0" w:color="auto"/>
                <w:bottom w:val="none" w:sz="0" w:space="0" w:color="auto"/>
                <w:right w:val="none" w:sz="0" w:space="0" w:color="auto"/>
              </w:divBdr>
            </w:div>
          </w:divsChild>
        </w:div>
        <w:div w:id="1867863225">
          <w:marLeft w:val="0"/>
          <w:marRight w:val="0"/>
          <w:marTop w:val="0"/>
          <w:marBottom w:val="0"/>
          <w:divBdr>
            <w:top w:val="none" w:sz="0" w:space="0" w:color="auto"/>
            <w:left w:val="none" w:sz="0" w:space="0" w:color="auto"/>
            <w:bottom w:val="none" w:sz="0" w:space="0" w:color="auto"/>
            <w:right w:val="none" w:sz="0" w:space="0" w:color="auto"/>
          </w:divBdr>
          <w:divsChild>
            <w:div w:id="93944253">
              <w:marLeft w:val="0"/>
              <w:marRight w:val="0"/>
              <w:marTop w:val="0"/>
              <w:marBottom w:val="0"/>
              <w:divBdr>
                <w:top w:val="none" w:sz="0" w:space="0" w:color="auto"/>
                <w:left w:val="none" w:sz="0" w:space="0" w:color="auto"/>
                <w:bottom w:val="none" w:sz="0" w:space="0" w:color="auto"/>
                <w:right w:val="none" w:sz="0" w:space="0" w:color="auto"/>
              </w:divBdr>
            </w:div>
          </w:divsChild>
        </w:div>
        <w:div w:id="2014067584">
          <w:marLeft w:val="0"/>
          <w:marRight w:val="0"/>
          <w:marTop w:val="0"/>
          <w:marBottom w:val="0"/>
          <w:divBdr>
            <w:top w:val="none" w:sz="0" w:space="0" w:color="auto"/>
            <w:left w:val="none" w:sz="0" w:space="0" w:color="auto"/>
            <w:bottom w:val="none" w:sz="0" w:space="0" w:color="auto"/>
            <w:right w:val="none" w:sz="0" w:space="0" w:color="auto"/>
          </w:divBdr>
          <w:divsChild>
            <w:div w:id="2018190995">
              <w:marLeft w:val="0"/>
              <w:marRight w:val="0"/>
              <w:marTop w:val="0"/>
              <w:marBottom w:val="0"/>
              <w:divBdr>
                <w:top w:val="none" w:sz="0" w:space="0" w:color="auto"/>
                <w:left w:val="none" w:sz="0" w:space="0" w:color="auto"/>
                <w:bottom w:val="none" w:sz="0" w:space="0" w:color="auto"/>
                <w:right w:val="none" w:sz="0" w:space="0" w:color="auto"/>
              </w:divBdr>
            </w:div>
          </w:divsChild>
        </w:div>
        <w:div w:id="2085637739">
          <w:marLeft w:val="0"/>
          <w:marRight w:val="0"/>
          <w:marTop w:val="0"/>
          <w:marBottom w:val="0"/>
          <w:divBdr>
            <w:top w:val="none" w:sz="0" w:space="0" w:color="auto"/>
            <w:left w:val="none" w:sz="0" w:space="0" w:color="auto"/>
            <w:bottom w:val="none" w:sz="0" w:space="0" w:color="auto"/>
            <w:right w:val="none" w:sz="0" w:space="0" w:color="auto"/>
          </w:divBdr>
          <w:divsChild>
            <w:div w:id="1384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645">
      <w:bodyDiv w:val="1"/>
      <w:marLeft w:val="0"/>
      <w:marRight w:val="0"/>
      <w:marTop w:val="0"/>
      <w:marBottom w:val="0"/>
      <w:divBdr>
        <w:top w:val="none" w:sz="0" w:space="0" w:color="auto"/>
        <w:left w:val="none" w:sz="0" w:space="0" w:color="auto"/>
        <w:bottom w:val="none" w:sz="0" w:space="0" w:color="auto"/>
        <w:right w:val="none" w:sz="0" w:space="0" w:color="auto"/>
      </w:divBdr>
    </w:div>
    <w:div w:id="1865436002">
      <w:bodyDiv w:val="1"/>
      <w:marLeft w:val="0"/>
      <w:marRight w:val="0"/>
      <w:marTop w:val="0"/>
      <w:marBottom w:val="0"/>
      <w:divBdr>
        <w:top w:val="none" w:sz="0" w:space="0" w:color="auto"/>
        <w:left w:val="none" w:sz="0" w:space="0" w:color="auto"/>
        <w:bottom w:val="none" w:sz="0" w:space="0" w:color="auto"/>
        <w:right w:val="none" w:sz="0" w:space="0" w:color="auto"/>
      </w:divBdr>
    </w:div>
    <w:div w:id="1868980506">
      <w:bodyDiv w:val="1"/>
      <w:marLeft w:val="0"/>
      <w:marRight w:val="0"/>
      <w:marTop w:val="0"/>
      <w:marBottom w:val="0"/>
      <w:divBdr>
        <w:top w:val="none" w:sz="0" w:space="0" w:color="auto"/>
        <w:left w:val="none" w:sz="0" w:space="0" w:color="auto"/>
        <w:bottom w:val="none" w:sz="0" w:space="0" w:color="auto"/>
        <w:right w:val="none" w:sz="0" w:space="0" w:color="auto"/>
      </w:divBdr>
    </w:div>
    <w:div w:id="1881629586">
      <w:bodyDiv w:val="1"/>
      <w:marLeft w:val="0"/>
      <w:marRight w:val="0"/>
      <w:marTop w:val="0"/>
      <w:marBottom w:val="0"/>
      <w:divBdr>
        <w:top w:val="none" w:sz="0" w:space="0" w:color="auto"/>
        <w:left w:val="none" w:sz="0" w:space="0" w:color="auto"/>
        <w:bottom w:val="none" w:sz="0" w:space="0" w:color="auto"/>
        <w:right w:val="none" w:sz="0" w:space="0" w:color="auto"/>
      </w:divBdr>
    </w:div>
    <w:div w:id="1912544343">
      <w:bodyDiv w:val="1"/>
      <w:marLeft w:val="0"/>
      <w:marRight w:val="0"/>
      <w:marTop w:val="0"/>
      <w:marBottom w:val="0"/>
      <w:divBdr>
        <w:top w:val="none" w:sz="0" w:space="0" w:color="auto"/>
        <w:left w:val="none" w:sz="0" w:space="0" w:color="auto"/>
        <w:bottom w:val="none" w:sz="0" w:space="0" w:color="auto"/>
        <w:right w:val="none" w:sz="0" w:space="0" w:color="auto"/>
      </w:divBdr>
    </w:div>
    <w:div w:id="1914116544">
      <w:bodyDiv w:val="1"/>
      <w:marLeft w:val="0"/>
      <w:marRight w:val="0"/>
      <w:marTop w:val="0"/>
      <w:marBottom w:val="0"/>
      <w:divBdr>
        <w:top w:val="none" w:sz="0" w:space="0" w:color="auto"/>
        <w:left w:val="none" w:sz="0" w:space="0" w:color="auto"/>
        <w:bottom w:val="none" w:sz="0" w:space="0" w:color="auto"/>
        <w:right w:val="none" w:sz="0" w:space="0" w:color="auto"/>
      </w:divBdr>
    </w:div>
    <w:div w:id="1929191767">
      <w:bodyDiv w:val="1"/>
      <w:marLeft w:val="0"/>
      <w:marRight w:val="0"/>
      <w:marTop w:val="0"/>
      <w:marBottom w:val="0"/>
      <w:divBdr>
        <w:top w:val="none" w:sz="0" w:space="0" w:color="auto"/>
        <w:left w:val="none" w:sz="0" w:space="0" w:color="auto"/>
        <w:bottom w:val="none" w:sz="0" w:space="0" w:color="auto"/>
        <w:right w:val="none" w:sz="0" w:space="0" w:color="auto"/>
      </w:divBdr>
    </w:div>
    <w:div w:id="1937444247">
      <w:bodyDiv w:val="1"/>
      <w:marLeft w:val="0"/>
      <w:marRight w:val="0"/>
      <w:marTop w:val="0"/>
      <w:marBottom w:val="0"/>
      <w:divBdr>
        <w:top w:val="none" w:sz="0" w:space="0" w:color="auto"/>
        <w:left w:val="none" w:sz="0" w:space="0" w:color="auto"/>
        <w:bottom w:val="none" w:sz="0" w:space="0" w:color="auto"/>
        <w:right w:val="none" w:sz="0" w:space="0" w:color="auto"/>
      </w:divBdr>
    </w:div>
    <w:div w:id="1963803620">
      <w:bodyDiv w:val="1"/>
      <w:marLeft w:val="0"/>
      <w:marRight w:val="0"/>
      <w:marTop w:val="0"/>
      <w:marBottom w:val="0"/>
      <w:divBdr>
        <w:top w:val="none" w:sz="0" w:space="0" w:color="auto"/>
        <w:left w:val="none" w:sz="0" w:space="0" w:color="auto"/>
        <w:bottom w:val="none" w:sz="0" w:space="0" w:color="auto"/>
        <w:right w:val="none" w:sz="0" w:space="0" w:color="auto"/>
      </w:divBdr>
    </w:div>
    <w:div w:id="1965034457">
      <w:bodyDiv w:val="1"/>
      <w:marLeft w:val="0"/>
      <w:marRight w:val="0"/>
      <w:marTop w:val="0"/>
      <w:marBottom w:val="0"/>
      <w:divBdr>
        <w:top w:val="none" w:sz="0" w:space="0" w:color="auto"/>
        <w:left w:val="none" w:sz="0" w:space="0" w:color="auto"/>
        <w:bottom w:val="none" w:sz="0" w:space="0" w:color="auto"/>
        <w:right w:val="none" w:sz="0" w:space="0" w:color="auto"/>
      </w:divBdr>
    </w:div>
    <w:div w:id="1988585124">
      <w:bodyDiv w:val="1"/>
      <w:marLeft w:val="0"/>
      <w:marRight w:val="0"/>
      <w:marTop w:val="0"/>
      <w:marBottom w:val="0"/>
      <w:divBdr>
        <w:top w:val="none" w:sz="0" w:space="0" w:color="auto"/>
        <w:left w:val="none" w:sz="0" w:space="0" w:color="auto"/>
        <w:bottom w:val="none" w:sz="0" w:space="0" w:color="auto"/>
        <w:right w:val="none" w:sz="0" w:space="0" w:color="auto"/>
      </w:divBdr>
    </w:div>
    <w:div w:id="1997025235">
      <w:bodyDiv w:val="1"/>
      <w:marLeft w:val="0"/>
      <w:marRight w:val="0"/>
      <w:marTop w:val="0"/>
      <w:marBottom w:val="0"/>
      <w:divBdr>
        <w:top w:val="none" w:sz="0" w:space="0" w:color="auto"/>
        <w:left w:val="none" w:sz="0" w:space="0" w:color="auto"/>
        <w:bottom w:val="none" w:sz="0" w:space="0" w:color="auto"/>
        <w:right w:val="none" w:sz="0" w:space="0" w:color="auto"/>
      </w:divBdr>
    </w:div>
    <w:div w:id="2006392758">
      <w:bodyDiv w:val="1"/>
      <w:marLeft w:val="0"/>
      <w:marRight w:val="0"/>
      <w:marTop w:val="0"/>
      <w:marBottom w:val="0"/>
      <w:divBdr>
        <w:top w:val="none" w:sz="0" w:space="0" w:color="auto"/>
        <w:left w:val="none" w:sz="0" w:space="0" w:color="auto"/>
        <w:bottom w:val="none" w:sz="0" w:space="0" w:color="auto"/>
        <w:right w:val="none" w:sz="0" w:space="0" w:color="auto"/>
      </w:divBdr>
    </w:div>
    <w:div w:id="2007895584">
      <w:bodyDiv w:val="1"/>
      <w:marLeft w:val="0"/>
      <w:marRight w:val="0"/>
      <w:marTop w:val="0"/>
      <w:marBottom w:val="0"/>
      <w:divBdr>
        <w:top w:val="none" w:sz="0" w:space="0" w:color="auto"/>
        <w:left w:val="none" w:sz="0" w:space="0" w:color="auto"/>
        <w:bottom w:val="none" w:sz="0" w:space="0" w:color="auto"/>
        <w:right w:val="none" w:sz="0" w:space="0" w:color="auto"/>
      </w:divBdr>
    </w:div>
    <w:div w:id="2013559597">
      <w:bodyDiv w:val="1"/>
      <w:marLeft w:val="0"/>
      <w:marRight w:val="0"/>
      <w:marTop w:val="0"/>
      <w:marBottom w:val="0"/>
      <w:divBdr>
        <w:top w:val="none" w:sz="0" w:space="0" w:color="auto"/>
        <w:left w:val="none" w:sz="0" w:space="0" w:color="auto"/>
        <w:bottom w:val="none" w:sz="0" w:space="0" w:color="auto"/>
        <w:right w:val="none" w:sz="0" w:space="0" w:color="auto"/>
      </w:divBdr>
    </w:div>
    <w:div w:id="2019113849">
      <w:bodyDiv w:val="1"/>
      <w:marLeft w:val="0"/>
      <w:marRight w:val="0"/>
      <w:marTop w:val="0"/>
      <w:marBottom w:val="0"/>
      <w:divBdr>
        <w:top w:val="none" w:sz="0" w:space="0" w:color="auto"/>
        <w:left w:val="none" w:sz="0" w:space="0" w:color="auto"/>
        <w:bottom w:val="none" w:sz="0" w:space="0" w:color="auto"/>
        <w:right w:val="none" w:sz="0" w:space="0" w:color="auto"/>
      </w:divBdr>
    </w:div>
    <w:div w:id="2019959181">
      <w:bodyDiv w:val="1"/>
      <w:marLeft w:val="0"/>
      <w:marRight w:val="0"/>
      <w:marTop w:val="0"/>
      <w:marBottom w:val="0"/>
      <w:divBdr>
        <w:top w:val="none" w:sz="0" w:space="0" w:color="auto"/>
        <w:left w:val="none" w:sz="0" w:space="0" w:color="auto"/>
        <w:bottom w:val="none" w:sz="0" w:space="0" w:color="auto"/>
        <w:right w:val="none" w:sz="0" w:space="0" w:color="auto"/>
      </w:divBdr>
    </w:div>
    <w:div w:id="2038698669">
      <w:bodyDiv w:val="1"/>
      <w:marLeft w:val="0"/>
      <w:marRight w:val="0"/>
      <w:marTop w:val="0"/>
      <w:marBottom w:val="0"/>
      <w:divBdr>
        <w:top w:val="none" w:sz="0" w:space="0" w:color="auto"/>
        <w:left w:val="none" w:sz="0" w:space="0" w:color="auto"/>
        <w:bottom w:val="none" w:sz="0" w:space="0" w:color="auto"/>
        <w:right w:val="none" w:sz="0" w:space="0" w:color="auto"/>
      </w:divBdr>
      <w:divsChild>
        <w:div w:id="1677145762">
          <w:marLeft w:val="0"/>
          <w:marRight w:val="0"/>
          <w:marTop w:val="0"/>
          <w:marBottom w:val="0"/>
          <w:divBdr>
            <w:top w:val="none" w:sz="0" w:space="0" w:color="auto"/>
            <w:left w:val="none" w:sz="0" w:space="0" w:color="auto"/>
            <w:bottom w:val="none" w:sz="0" w:space="0" w:color="auto"/>
            <w:right w:val="none" w:sz="0" w:space="0" w:color="auto"/>
          </w:divBdr>
        </w:div>
      </w:divsChild>
    </w:div>
    <w:div w:id="2068990394">
      <w:bodyDiv w:val="1"/>
      <w:marLeft w:val="0"/>
      <w:marRight w:val="0"/>
      <w:marTop w:val="0"/>
      <w:marBottom w:val="0"/>
      <w:divBdr>
        <w:top w:val="none" w:sz="0" w:space="0" w:color="auto"/>
        <w:left w:val="none" w:sz="0" w:space="0" w:color="auto"/>
        <w:bottom w:val="none" w:sz="0" w:space="0" w:color="auto"/>
        <w:right w:val="none" w:sz="0" w:space="0" w:color="auto"/>
      </w:divBdr>
    </w:div>
    <w:div w:id="2078016450">
      <w:bodyDiv w:val="1"/>
      <w:marLeft w:val="0"/>
      <w:marRight w:val="0"/>
      <w:marTop w:val="0"/>
      <w:marBottom w:val="0"/>
      <w:divBdr>
        <w:top w:val="none" w:sz="0" w:space="0" w:color="auto"/>
        <w:left w:val="none" w:sz="0" w:space="0" w:color="auto"/>
        <w:bottom w:val="none" w:sz="0" w:space="0" w:color="auto"/>
        <w:right w:val="none" w:sz="0" w:space="0" w:color="auto"/>
      </w:divBdr>
    </w:div>
    <w:div w:id="2083217063">
      <w:bodyDiv w:val="1"/>
      <w:marLeft w:val="0"/>
      <w:marRight w:val="0"/>
      <w:marTop w:val="0"/>
      <w:marBottom w:val="0"/>
      <w:divBdr>
        <w:top w:val="none" w:sz="0" w:space="0" w:color="auto"/>
        <w:left w:val="none" w:sz="0" w:space="0" w:color="auto"/>
        <w:bottom w:val="none" w:sz="0" w:space="0" w:color="auto"/>
        <w:right w:val="none" w:sz="0" w:space="0" w:color="auto"/>
      </w:divBdr>
    </w:div>
    <w:div w:id="2092700634">
      <w:bodyDiv w:val="1"/>
      <w:marLeft w:val="0"/>
      <w:marRight w:val="0"/>
      <w:marTop w:val="0"/>
      <w:marBottom w:val="0"/>
      <w:divBdr>
        <w:top w:val="none" w:sz="0" w:space="0" w:color="auto"/>
        <w:left w:val="none" w:sz="0" w:space="0" w:color="auto"/>
        <w:bottom w:val="none" w:sz="0" w:space="0" w:color="auto"/>
        <w:right w:val="none" w:sz="0" w:space="0" w:color="auto"/>
      </w:divBdr>
    </w:div>
    <w:div w:id="211983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edlegg.hkdir.no/TRHU/2023/tabell/V3.30" TargetMode="External"/><Relationship Id="rId21" Type="http://schemas.openxmlformats.org/officeDocument/2006/relationships/hyperlink" Target="https://vedlegg.hkdir.no/TRHU/2023/tabell/V2.9" TargetMode="External"/><Relationship Id="rId42" Type="http://schemas.openxmlformats.org/officeDocument/2006/relationships/hyperlink" Target="https://vedlegg.hkdir.no/TRHU/2023/tabell/V2.31" TargetMode="External"/><Relationship Id="rId63" Type="http://schemas.openxmlformats.org/officeDocument/2006/relationships/chart" Target="charts/chart17.xml"/><Relationship Id="rId84" Type="http://schemas.openxmlformats.org/officeDocument/2006/relationships/hyperlink" Target="https://vedlegg.hkdir.no/TRHU/2023/tabell/V3.1" TargetMode="External"/><Relationship Id="rId138" Type="http://schemas.openxmlformats.org/officeDocument/2006/relationships/hyperlink" Target="https://vedlegg.hkdir.no/TRHU/2023/tabell/V4.19" TargetMode="External"/><Relationship Id="rId159" Type="http://schemas.openxmlformats.org/officeDocument/2006/relationships/hyperlink" Target="https://www.forskningsradet.no/indikatorrapporten/" TargetMode="External"/><Relationship Id="rId170" Type="http://schemas.openxmlformats.org/officeDocument/2006/relationships/hyperlink" Target="https://www.regjeringen.no/contentassets/aee30e4b7d3241d5bd89db69fe38f7ba/no/pdfs/stm201620170016000dddpdfs.pdf" TargetMode="External"/><Relationship Id="rId107" Type="http://schemas.openxmlformats.org/officeDocument/2006/relationships/chart" Target="charts/chart33.xml"/><Relationship Id="rId11" Type="http://schemas.openxmlformats.org/officeDocument/2006/relationships/endnotes" Target="endnotes.xml"/><Relationship Id="rId32" Type="http://schemas.openxmlformats.org/officeDocument/2006/relationships/hyperlink" Target="https://vedlegg.hkdir.no/TRHU/2023/tabell/V2.34" TargetMode="External"/><Relationship Id="rId53" Type="http://schemas.openxmlformats.org/officeDocument/2006/relationships/chart" Target="charts/chart12.xml"/><Relationship Id="rId74" Type="http://schemas.openxmlformats.org/officeDocument/2006/relationships/hyperlink" Target="https://vedlegg.hkdir.no/TRHU/2023/tabell/V2.56" TargetMode="External"/><Relationship Id="rId128" Type="http://schemas.openxmlformats.org/officeDocument/2006/relationships/hyperlink" Target="https://vedlegg.hkdir.no/TRHU/2023/tabell/V3.45" TargetMode="External"/><Relationship Id="rId149" Type="http://schemas.openxmlformats.org/officeDocument/2006/relationships/hyperlink" Target="https://vedlegg.hkdir.no/TRHU/2023/tabell/V4.31" TargetMode="External"/><Relationship Id="rId5" Type="http://schemas.openxmlformats.org/officeDocument/2006/relationships/customXml" Target="../customXml/item5.xml"/><Relationship Id="rId95" Type="http://schemas.openxmlformats.org/officeDocument/2006/relationships/hyperlink" Target="https://vedlegg.hkdir.no/TRHU/2023/tabell/V3.16" TargetMode="External"/><Relationship Id="rId160" Type="http://schemas.openxmlformats.org/officeDocument/2006/relationships/hyperlink" Target="https://dbh.hkdir.no/datainnhold/kodeverk/stillingskoder" TargetMode="External"/><Relationship Id="rId181" Type="http://schemas.openxmlformats.org/officeDocument/2006/relationships/hyperlink" Target="https://www.uutilsynet.no/webdirektivet-wad/eus-webdirektiv-wad/265" TargetMode="External"/><Relationship Id="rId22" Type="http://schemas.openxmlformats.org/officeDocument/2006/relationships/chart" Target="charts/chart2.xml"/><Relationship Id="rId43" Type="http://schemas.openxmlformats.org/officeDocument/2006/relationships/chart" Target="charts/chart9.xml"/><Relationship Id="rId64" Type="http://schemas.openxmlformats.org/officeDocument/2006/relationships/hyperlink" Target="https://vedlegg.hkdir.no/TRHU/2023/tabell/V2.47" TargetMode="External"/><Relationship Id="rId118" Type="http://schemas.openxmlformats.org/officeDocument/2006/relationships/hyperlink" Target="https://vedlegg.hkdir.no/TRHU/2023/tabell/V3.31" TargetMode="External"/><Relationship Id="rId139" Type="http://schemas.openxmlformats.org/officeDocument/2006/relationships/hyperlink" Target="https://vedlegg.hkdir.no/TRHU/2023/tabell/V4.17" TargetMode="External"/><Relationship Id="rId85" Type="http://schemas.openxmlformats.org/officeDocument/2006/relationships/hyperlink" Target="https://dbh.hkdir.no/tall-og-statistikk/statistikk-meny/doktorgrader/statistikk-side/9.6/param?visningId=220&amp;visKode=false&amp;admdebug=false&amp;columns=arstall&amp;hier=insttype%219%21instkode%219%21fakkode%219%21ufakkode%219%21progkode&amp;formel=939&amp;index=1&amp;sti=&amp;param=arstall%3D2022%218%212021%218%212020%218%212019%218%212018%218%212017%218%212016%218%212015%218%212014%218%212013%219%21nye%3D1&amp;binInst=1101" TargetMode="External"/><Relationship Id="rId150" Type="http://schemas.openxmlformats.org/officeDocument/2006/relationships/hyperlink" Target="https://vedlegg.hkdir.no/TRHU/2023/tabell/V4.28" TargetMode="External"/><Relationship Id="rId171" Type="http://schemas.openxmlformats.org/officeDocument/2006/relationships/hyperlink" Target="https://www.nokut.no/globalassets/nokut/rapporter/ua/2022/sluttrapport-fra-nokuts-evaluering-av-lektorutdanning-for-trinn-813_15-2022.pdf" TargetMode="External"/><Relationship Id="rId12" Type="http://schemas.openxmlformats.org/officeDocument/2006/relationships/hyperlink" Target="https://vedlegg.hkdir.no/TRHU/2023" TargetMode="External"/><Relationship Id="rId33" Type="http://schemas.openxmlformats.org/officeDocument/2006/relationships/chart" Target="charts/chart5.xml"/><Relationship Id="rId108" Type="http://schemas.openxmlformats.org/officeDocument/2006/relationships/chart" Target="charts/chart34.xml"/><Relationship Id="rId129" Type="http://schemas.openxmlformats.org/officeDocument/2006/relationships/hyperlink" Target="https://vedlegg.hkdir.no/TRHU/2023/tabell/V3.46" TargetMode="External"/><Relationship Id="rId54" Type="http://schemas.openxmlformats.org/officeDocument/2006/relationships/hyperlink" Target="https://lovdata.no/dokument/NL/lov/2021-05-21-42" TargetMode="External"/><Relationship Id="rId75" Type="http://schemas.openxmlformats.org/officeDocument/2006/relationships/hyperlink" Target="https://vedlegg.hkdir.no/TRHU/2023/tabell/V2.57" TargetMode="External"/><Relationship Id="rId96" Type="http://schemas.openxmlformats.org/officeDocument/2006/relationships/chart" Target="charts/chart27.xml"/><Relationship Id="rId140" Type="http://schemas.openxmlformats.org/officeDocument/2006/relationships/hyperlink" Target="https://vedlegg.hkdir.no/TRHU/2023/tabell/V4.18" TargetMode="External"/><Relationship Id="rId161" Type="http://schemas.openxmlformats.org/officeDocument/2006/relationships/hyperlink" Target="https://nifu.brage.unit.no/nifu-xmlui/handle/11250/2997301" TargetMode="External"/><Relationship Id="rId182" Type="http://schemas.openxmlformats.org/officeDocument/2006/relationships/hyperlink" Target="https://nifu.brage.unit.no/nifu-xmlui/handle/11250/2831574" TargetMode="External"/><Relationship Id="rId6" Type="http://schemas.openxmlformats.org/officeDocument/2006/relationships/numbering" Target="numbering.xml"/><Relationship Id="rId23" Type="http://schemas.openxmlformats.org/officeDocument/2006/relationships/chart" Target="charts/chart3.xml"/><Relationship Id="rId119" Type="http://schemas.openxmlformats.org/officeDocument/2006/relationships/hyperlink" Target="https://vedlegg.hkdir.no/TRHU/2023/tabell/V3.32" TargetMode="External"/><Relationship Id="rId44" Type="http://schemas.openxmlformats.org/officeDocument/2006/relationships/hyperlink" Target="https://vedlegg.hkdir.no/TRHU/2023/tabell/V2.31" TargetMode="External"/><Relationship Id="rId65" Type="http://schemas.openxmlformats.org/officeDocument/2006/relationships/hyperlink" Target="https://vedlegg.hkdir.no/TRHU/2023/tabell/V2.46" TargetMode="External"/><Relationship Id="rId86" Type="http://schemas.openxmlformats.org/officeDocument/2006/relationships/chart" Target="charts/chart22.xml"/><Relationship Id="rId130" Type="http://schemas.openxmlformats.org/officeDocument/2006/relationships/hyperlink" Target="https://vedlegg.hkdir.no/TRHU/2023/tabell/V4.1" TargetMode="External"/><Relationship Id="rId151" Type="http://schemas.openxmlformats.org/officeDocument/2006/relationships/hyperlink" Target="https://vedlegg.hkdir.no/TRHU/2023/tabell/V4.28" TargetMode="External"/><Relationship Id="rId172" Type="http://schemas.openxmlformats.org/officeDocument/2006/relationships/hyperlink" Target="https://www.nokut.no/globalassets/studiebarometeret/2023/hoyere-utdanning/studiebarometeret-2022_hovedtendenser_2-2023.pdf" TargetMode="External"/><Relationship Id="rId13" Type="http://schemas.openxmlformats.org/officeDocument/2006/relationships/hyperlink" Target="https://vedlegg.hkdir.no/TRHU/2023/tabell/V2.4" TargetMode="External"/><Relationship Id="rId18" Type="http://schemas.openxmlformats.org/officeDocument/2006/relationships/hyperlink" Target="https://vedlegg.hkdir.no/TRHU/2023/tabell/V2.7" TargetMode="External"/><Relationship Id="rId39" Type="http://schemas.openxmlformats.org/officeDocument/2006/relationships/hyperlink" Target="https://vedlegg.hkdir.no/TRHU/2023/tabell/V2.26" TargetMode="External"/><Relationship Id="rId109" Type="http://schemas.openxmlformats.org/officeDocument/2006/relationships/chart" Target="charts/chart35.xml"/><Relationship Id="rId34" Type="http://schemas.openxmlformats.org/officeDocument/2006/relationships/hyperlink" Target="https://vedlegg.hkdir.no/TRHU/2023/tabell/V2.22" TargetMode="External"/><Relationship Id="rId50" Type="http://schemas.openxmlformats.org/officeDocument/2006/relationships/chart" Target="charts/chart11.xml"/><Relationship Id="rId55" Type="http://schemas.openxmlformats.org/officeDocument/2006/relationships/hyperlink" Target="https://lovdata.no/dokument/NL/lov/2021-05-21-42" TargetMode="External"/><Relationship Id="rId76" Type="http://schemas.openxmlformats.org/officeDocument/2006/relationships/hyperlink" Target="https://vedlegg.hkdir.no/TRHU/2023/tabell/V2.51" TargetMode="External"/><Relationship Id="rId97" Type="http://schemas.openxmlformats.org/officeDocument/2006/relationships/hyperlink" Target="https://vedlegg.hkdir.no/TRHU/2023/tabell/V3.15" TargetMode="External"/><Relationship Id="rId104" Type="http://schemas.openxmlformats.org/officeDocument/2006/relationships/chart" Target="charts/chart32.xml"/><Relationship Id="rId120" Type="http://schemas.openxmlformats.org/officeDocument/2006/relationships/hyperlink" Target="https://vedlegg.hkdir.no/TRHU/2023/tabell/V3.33" TargetMode="External"/><Relationship Id="rId125" Type="http://schemas.openxmlformats.org/officeDocument/2006/relationships/hyperlink" Target="https://vedlegg.hkdir.no/TRHU/2023/tabell/V3.42" TargetMode="External"/><Relationship Id="rId141" Type="http://schemas.openxmlformats.org/officeDocument/2006/relationships/hyperlink" Target="https://vedlegg.hkdir.no/TRHU/2023/tabell/V4.19" TargetMode="External"/><Relationship Id="rId146" Type="http://schemas.openxmlformats.org/officeDocument/2006/relationships/hyperlink" Target="https://vedlegg.hkdir.no/TRHU/2023/tabell/V4.28" TargetMode="External"/><Relationship Id="rId167" Type="http://schemas.openxmlformats.org/officeDocument/2006/relationships/hyperlink" Target="https://www.ssb.no/utdanning/hoyere-utdanning/artikler/kvalifiserte-sokere-uten-tilbud-om-studieplass" TargetMode="External"/><Relationship Id="rId7" Type="http://schemas.openxmlformats.org/officeDocument/2006/relationships/styles" Target="styles.xml"/><Relationship Id="rId71" Type="http://schemas.openxmlformats.org/officeDocument/2006/relationships/hyperlink" Target="https://vedlegg.hkdir.no/TRHU/2023/tabell/V2.59" TargetMode="External"/><Relationship Id="rId92" Type="http://schemas.openxmlformats.org/officeDocument/2006/relationships/hyperlink" Target="https://www.nupi.no/publikasjoner/cristin-pub/utfordrende-kunnskapssamarbeid-etiske-og-sikkerhetsrelaterte-utfordringer-som-forskere-og-kunnskapsinstitusjoner-i-norge-moeter-i-internasjonale-sa" TargetMode="External"/><Relationship Id="rId162" Type="http://schemas.openxmlformats.org/officeDocument/2006/relationships/hyperlink" Target="https://www.inn.no/om-hogskolen/kvalitetssystem-for-utdanning/dokumentasjon/kvalitetsrapport-for-utdanning/2021_kvalitetsrapport_hinn.pdf" TargetMode="External"/><Relationship Id="rId183" Type="http://schemas.openxmlformats.org/officeDocument/2006/relationships/footer" Target="footer1.xml"/><Relationship Id="Re9ec077eb1134dd0" Type="http://schemas.microsoft.com/office/2019/09/relationships/intelligence" Target="intelligence.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hyperlink" Target="https://vedlegg.hkdir.no/TRHU/2023/tabell/V2.9" TargetMode="External"/><Relationship Id="rId40" Type="http://schemas.openxmlformats.org/officeDocument/2006/relationships/chart" Target="charts/chart7.xml"/><Relationship Id="rId45" Type="http://schemas.openxmlformats.org/officeDocument/2006/relationships/chart" Target="charts/chart10.xml"/><Relationship Id="rId66" Type="http://schemas.openxmlformats.org/officeDocument/2006/relationships/hyperlink" Target="https://vedlegg.hkdir.no/TRHU/2023/tabell/V2.48" TargetMode="External"/><Relationship Id="rId87" Type="http://schemas.openxmlformats.org/officeDocument/2006/relationships/chart" Target="charts/chart23.xml"/><Relationship Id="rId110" Type="http://schemas.openxmlformats.org/officeDocument/2006/relationships/hyperlink" Target="https://vedlegg.hkdir.no/TRHU/2023/tabell/V3.27" TargetMode="External"/><Relationship Id="rId115" Type="http://schemas.openxmlformats.org/officeDocument/2006/relationships/chart" Target="charts/chart37.xml"/><Relationship Id="rId131" Type="http://schemas.openxmlformats.org/officeDocument/2006/relationships/chart" Target="charts/chart39.xml"/><Relationship Id="rId136" Type="http://schemas.openxmlformats.org/officeDocument/2006/relationships/chart" Target="charts/chart41.xml"/><Relationship Id="rId157" Type="http://schemas.openxmlformats.org/officeDocument/2006/relationships/hyperlink" Target="https://www.regjeringen.no/contentassets/58a8bb9fecac4dd6aaf9ead1a6e3c1cd/strategi-forskning-web_uu.pdf" TargetMode="External"/><Relationship Id="rId178" Type="http://schemas.openxmlformats.org/officeDocument/2006/relationships/hyperlink" Target="https://nifu.brage.unit.no/nifu-xmlui/handle/11250/2737339" TargetMode="External"/><Relationship Id="rId61" Type="http://schemas.openxmlformats.org/officeDocument/2006/relationships/chart" Target="charts/chart16.xml"/><Relationship Id="rId82" Type="http://schemas.openxmlformats.org/officeDocument/2006/relationships/hyperlink" Target="https://vedlegg.hkdir.no/TRHU/2023/tabell/V2.49" TargetMode="External"/><Relationship Id="rId152" Type="http://schemas.openxmlformats.org/officeDocument/2006/relationships/hyperlink" Target="https://vedlegg.hkdir.no/TRHU/2023/tabell/V4.33" TargetMode="External"/><Relationship Id="rId173" Type="http://schemas.openxmlformats.org/officeDocument/2006/relationships/hyperlink" Target="https://www.nupi.no/publikasjoner/cristin-pub/utfordrende-kunnskapssamarbeid-etiske-og-sikkerhetsrelaterte-utfordringer-som-forskere-og-kunnskapsinstitusjoner-i-norge-moeter-i-internasjonale-sa" TargetMode="External"/><Relationship Id="rId19" Type="http://schemas.openxmlformats.org/officeDocument/2006/relationships/hyperlink" Target="https://vedlegg.hkdir.no/TRHU/2023/tabell/V2.8" TargetMode="External"/><Relationship Id="rId14" Type="http://schemas.openxmlformats.org/officeDocument/2006/relationships/hyperlink" Target="https://vedlegg.hkdir.no/TRHU/2023/tabell/V2.5" TargetMode="External"/><Relationship Id="rId30" Type="http://schemas.openxmlformats.org/officeDocument/2006/relationships/hyperlink" Target="https://vedlegg.hkdir.no/TRHU/2023/tabell/V2.19" TargetMode="External"/><Relationship Id="rId35" Type="http://schemas.openxmlformats.org/officeDocument/2006/relationships/chart" Target="charts/chart6.xml"/><Relationship Id="rId56" Type="http://schemas.openxmlformats.org/officeDocument/2006/relationships/chart" Target="charts/chart13.xml"/><Relationship Id="rId77" Type="http://schemas.openxmlformats.org/officeDocument/2006/relationships/chart" Target="charts/chart20.xml"/><Relationship Id="rId100" Type="http://schemas.openxmlformats.org/officeDocument/2006/relationships/chart" Target="charts/chart30.xml"/><Relationship Id="rId105" Type="http://schemas.openxmlformats.org/officeDocument/2006/relationships/hyperlink" Target="https://vedlegg.hkdir.no/TRHU/2023/tabell/V4.1" TargetMode="External"/><Relationship Id="rId126" Type="http://schemas.openxmlformats.org/officeDocument/2006/relationships/hyperlink" Target="https://vedlegg.hkdir.no/TRHU/2023/tabell/V3.43" TargetMode="External"/><Relationship Id="rId147" Type="http://schemas.openxmlformats.org/officeDocument/2006/relationships/hyperlink" Target="https://vedlegg.hkdir.no/TRHU/2023/tabell/V4.29" TargetMode="External"/><Relationship Id="rId168" Type="http://schemas.openxmlformats.org/officeDocument/2006/relationships/hyperlink" Target="https://lovdata.no/dokument/LTI/lov/2021-05-21-42" TargetMode="External"/><Relationship Id="rId8" Type="http://schemas.openxmlformats.org/officeDocument/2006/relationships/settings" Target="settings.xml"/><Relationship Id="rId51" Type="http://schemas.openxmlformats.org/officeDocument/2006/relationships/hyperlink" Target="https://vedlegg.hkdir.no/TRHU/2023/tabell/V2.38" TargetMode="External"/><Relationship Id="rId72" Type="http://schemas.openxmlformats.org/officeDocument/2006/relationships/hyperlink" Target="https://vedlegg.hkdir.no/TRHU/2023/tabell/V2.60" TargetMode="External"/><Relationship Id="rId93" Type="http://schemas.openxmlformats.org/officeDocument/2006/relationships/chart" Target="charts/chart25.xml"/><Relationship Id="rId98" Type="http://schemas.openxmlformats.org/officeDocument/2006/relationships/chart" Target="charts/chart28.xml"/><Relationship Id="rId121" Type="http://schemas.openxmlformats.org/officeDocument/2006/relationships/hyperlink" Target="https://vedlegg.hkdir.no/TRHU/2023/tabell/V3.25" TargetMode="External"/><Relationship Id="rId142" Type="http://schemas.openxmlformats.org/officeDocument/2006/relationships/chart" Target="charts/chart43.xml"/><Relationship Id="rId163" Type="http://schemas.openxmlformats.org/officeDocument/2006/relationships/hyperlink" Target="https://dbh.hkdir.no/tall-og-statistikk/aars-rapporter/statistikk-side/18.1?undermeny=statistikk_dokumenter&amp;tabellId=621" TargetMode="Externa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vedlegg.hkdir.no/TRHU/2023/tabell/V2.12" TargetMode="External"/><Relationship Id="rId46" Type="http://schemas.openxmlformats.org/officeDocument/2006/relationships/hyperlink" Target="https://vedlegg.hkdir.no/TRHU/2023/tabell/V2.31" TargetMode="External"/><Relationship Id="rId67" Type="http://schemas.openxmlformats.org/officeDocument/2006/relationships/hyperlink" Target="https://vedlegg.hkdir.no/TRHU/2023/tabell/V2.45" TargetMode="External"/><Relationship Id="rId116" Type="http://schemas.openxmlformats.org/officeDocument/2006/relationships/hyperlink" Target="https://vedlegg.hkdir.no/TRHU/2023/tabell/V3.29" TargetMode="External"/><Relationship Id="rId137" Type="http://schemas.openxmlformats.org/officeDocument/2006/relationships/chart" Target="charts/chart42.xml"/><Relationship Id="rId158" Type="http://schemas.openxmlformats.org/officeDocument/2006/relationships/hyperlink" Target="https://doi.org/doi/10.2777/06090" TargetMode="External"/><Relationship Id="rId20" Type="http://schemas.openxmlformats.org/officeDocument/2006/relationships/hyperlink" Target="https://vedlegg.hkdir.no/TRHU/2023/tabell/V2.9" TargetMode="External"/><Relationship Id="rId41" Type="http://schemas.openxmlformats.org/officeDocument/2006/relationships/chart" Target="charts/chart8.xml"/><Relationship Id="rId62" Type="http://schemas.openxmlformats.org/officeDocument/2006/relationships/hyperlink" Target="https://vedlegg.hkdir.no/TRHU/2023/tabell/V2.47" TargetMode="External"/><Relationship Id="rId83" Type="http://schemas.openxmlformats.org/officeDocument/2006/relationships/hyperlink" Target="https://vedlegg.hkdir.no/TRHU/2023/tabell/V2.55" TargetMode="External"/><Relationship Id="rId88" Type="http://schemas.openxmlformats.org/officeDocument/2006/relationships/chart" Target="charts/chart24.xml"/><Relationship Id="rId111" Type="http://schemas.openxmlformats.org/officeDocument/2006/relationships/hyperlink" Target="https://vedlegg.hkdir.no/TRHU/2023/tabell/V3.23" TargetMode="External"/><Relationship Id="rId132" Type="http://schemas.openxmlformats.org/officeDocument/2006/relationships/hyperlink" Target="https://vedlegg.hkdir.no/TRHU/2023/tabell/V4.3" TargetMode="External"/><Relationship Id="rId153" Type="http://schemas.openxmlformats.org/officeDocument/2006/relationships/hyperlink" Target="https://vedlegg.hkdir.no/TRHU/2023/tabell/V4.32" TargetMode="External"/><Relationship Id="rId174" Type="http://schemas.openxmlformats.org/officeDocument/2006/relationships/hyperlink" Target="https://www.oecd-ilibrary.org/docserver/3197152b-en.pdf?expires=1682492344&amp;id=id&amp;accname=guest&amp;checksum=DA0DEA2F06ECE694F656E268BC9834A2" TargetMode="External"/><Relationship Id="rId179" Type="http://schemas.openxmlformats.org/officeDocument/2006/relationships/hyperlink" Target="https://www.ssb.no/statbank/table/13594/" TargetMode="External"/><Relationship Id="rId15" Type="http://schemas.openxmlformats.org/officeDocument/2006/relationships/hyperlink" Target="https://vedlegg.hkdir.no/TRHU/2023/tabell/V2.6" TargetMode="External"/><Relationship Id="rId36" Type="http://schemas.openxmlformats.org/officeDocument/2006/relationships/hyperlink" Target="https://vedlegg.hkdir.no/TRHU/2023/tabell/V2.24" TargetMode="External"/><Relationship Id="rId57" Type="http://schemas.openxmlformats.org/officeDocument/2006/relationships/hyperlink" Target="https://vedlegg.hkdir.no/TRHU/2023/tabell/V2.10" TargetMode="External"/><Relationship Id="rId106" Type="http://schemas.openxmlformats.org/officeDocument/2006/relationships/hyperlink" Target="https://vedlegg.hkdir.no/TRHU/2023/tabell/V3.23" TargetMode="External"/><Relationship Id="rId127" Type="http://schemas.openxmlformats.org/officeDocument/2006/relationships/hyperlink" Target="https://vedlegg.hkdir.no/TRHU/2023/tabell/V3.44" TargetMode="External"/><Relationship Id="rId10" Type="http://schemas.openxmlformats.org/officeDocument/2006/relationships/footnotes" Target="footnotes.xml"/><Relationship Id="rId31" Type="http://schemas.openxmlformats.org/officeDocument/2006/relationships/hyperlink" Target="https://vedlegg.hkdir.no/TRHU/2023/tabell/V2.18" TargetMode="External"/><Relationship Id="rId52" Type="http://schemas.openxmlformats.org/officeDocument/2006/relationships/hyperlink" Target="https://vedlegg.hkdir.no/TRHU/2023/tabell/V2.39" TargetMode="External"/><Relationship Id="rId73" Type="http://schemas.openxmlformats.org/officeDocument/2006/relationships/chart" Target="charts/chart19.xml"/><Relationship Id="rId78" Type="http://schemas.openxmlformats.org/officeDocument/2006/relationships/hyperlink" Target="https://vedlegg.hkdir.no/TRHU/2023/tabell/V2.53" TargetMode="External"/><Relationship Id="rId94" Type="http://schemas.openxmlformats.org/officeDocument/2006/relationships/chart" Target="charts/chart26.xml"/><Relationship Id="rId99" Type="http://schemas.openxmlformats.org/officeDocument/2006/relationships/chart" Target="charts/chart29.xml"/><Relationship Id="rId101" Type="http://schemas.openxmlformats.org/officeDocument/2006/relationships/hyperlink" Target="https://vedlegg.hkdir.no/TRHU/2023/tabell/V3.19" TargetMode="External"/><Relationship Id="rId122" Type="http://schemas.openxmlformats.org/officeDocument/2006/relationships/hyperlink" Target="https://vedlegg.hkdir.no/TRHU/2023/tabell/V3.24" TargetMode="External"/><Relationship Id="rId143" Type="http://schemas.openxmlformats.org/officeDocument/2006/relationships/chart" Target="charts/chart44.xml"/><Relationship Id="rId148" Type="http://schemas.openxmlformats.org/officeDocument/2006/relationships/hyperlink" Target="https://vedlegg.hkdir.no/TRHU/2023/tabell/V4.30" TargetMode="External"/><Relationship Id="rId164" Type="http://schemas.openxmlformats.org/officeDocument/2006/relationships/hyperlink" Target="https://www.regjeringen.no/contentassets/b5b57900ef6b4542b8b2d70b2c46b658/212540-kd-strategi-erasmus-web.pdf" TargetMode="External"/><Relationship Id="rId169" Type="http://schemas.openxmlformats.org/officeDocument/2006/relationships/hyperlink" Target="https://khrono.no/norge-gruses-av-nordiske-naboer-i-jakten-pa-prestisjemidler-til-grunnforskning/772202"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stipendiat.no/2023/01/16-12-22-pressemelding-fra-stipendiatorganisasjonene-i-norge-sin/" TargetMode="External"/><Relationship Id="rId26" Type="http://schemas.openxmlformats.org/officeDocument/2006/relationships/hyperlink" Target="https://www.uutilsynet.no/webdirektivet-wad/eus-webdirektiv-wad/265" TargetMode="External"/><Relationship Id="rId47" Type="http://schemas.openxmlformats.org/officeDocument/2006/relationships/hyperlink" Target="https://www.nokut.no/globalassets/nokut/rapporter/ua/2022/sluttrapport-fra-nokuts-evaluering-av-lektorutdanning-for-trinn-813_15-2022.pdf" TargetMode="External"/><Relationship Id="rId68" Type="http://schemas.openxmlformats.org/officeDocument/2006/relationships/hyperlink" Target="http://www.statistikk.diku.no" TargetMode="External"/><Relationship Id="rId89" Type="http://schemas.openxmlformats.org/officeDocument/2006/relationships/hyperlink" Target="https://vedlegg.hkdir.no/TRHU/2023/tabell/V3.4" TargetMode="External"/><Relationship Id="rId112" Type="http://schemas.openxmlformats.org/officeDocument/2006/relationships/chart" Target="charts/chart36.xml"/><Relationship Id="rId133" Type="http://schemas.openxmlformats.org/officeDocument/2006/relationships/chart" Target="charts/chart40.xml"/><Relationship Id="rId154" Type="http://schemas.openxmlformats.org/officeDocument/2006/relationships/hyperlink" Target="https://proba.no/rapport/analyse-av-ekstern-finansiering-og-midlertidighet-i-universitetsog-hoyskolesektoren/" TargetMode="External"/><Relationship Id="rId175" Type="http://schemas.openxmlformats.org/officeDocument/2006/relationships/hyperlink" Target="https://data.oecd.org/students/international-student-mobility.htm" TargetMode="External"/><Relationship Id="rId16" Type="http://schemas.openxmlformats.org/officeDocument/2006/relationships/chart" Target="charts/chart1.xml"/><Relationship Id="rId37" Type="http://schemas.openxmlformats.org/officeDocument/2006/relationships/hyperlink" Target="https://vedlegg.hkdir.no/TRHU/2023/tabell/V2.29" TargetMode="External"/><Relationship Id="rId58" Type="http://schemas.openxmlformats.org/officeDocument/2006/relationships/hyperlink" Target="https://vedlegg.hkdir.no/TRHU/2023/tabell/V2.16" TargetMode="External"/><Relationship Id="rId79" Type="http://schemas.openxmlformats.org/officeDocument/2006/relationships/hyperlink" Target="https://vedlegg.hkdir.no/TRHU/2023/tabell/V2.52" TargetMode="External"/><Relationship Id="rId102" Type="http://schemas.openxmlformats.org/officeDocument/2006/relationships/hyperlink" Target="https://vedlegg.hkdir.no/TRHU/2023/tabell/V3.22" TargetMode="External"/><Relationship Id="rId123" Type="http://schemas.openxmlformats.org/officeDocument/2006/relationships/chart" Target="charts/chart38.xml"/><Relationship Id="rId144" Type="http://schemas.openxmlformats.org/officeDocument/2006/relationships/hyperlink" Target="https://vedlegg.hkdir.no/TRHU/2023/tabell/V4.23" TargetMode="External"/><Relationship Id="rId90" Type="http://schemas.openxmlformats.org/officeDocument/2006/relationships/hyperlink" Target="https://vedlegg.hkdir.no/TRHU/2023/tabell/V3.5" TargetMode="External"/><Relationship Id="rId165" Type="http://schemas.openxmlformats.org/officeDocument/2006/relationships/hyperlink" Target="https://www.regjeringen.no/contentassets/58a8bb9fecac4dd6aaf9ead1a6e3c1cd/strategi-forskning-web_uu.pdf" TargetMode="External"/><Relationship Id="rId186" Type="http://schemas.openxmlformats.org/officeDocument/2006/relationships/glossaryDocument" Target="glossary/document.xml"/><Relationship Id="rId27" Type="http://schemas.openxmlformats.org/officeDocument/2006/relationships/hyperlink" Target="https://www.uutilsynet.no/webdirektivet-wad/eus-webdirektiv-wad/265" TargetMode="External"/><Relationship Id="rId48" Type="http://schemas.openxmlformats.org/officeDocument/2006/relationships/hyperlink" Target="https://www.nokut.no/globalassets/nokut/rapporter/ua/2022/sluttrapport-fra-nokuts-evaluering-av-lektorutdanning-for-trinn-813_15-2022.pdf" TargetMode="External"/><Relationship Id="rId69" Type="http://schemas.openxmlformats.org/officeDocument/2006/relationships/chart" Target="charts/chart18.xml"/><Relationship Id="rId113" Type="http://schemas.openxmlformats.org/officeDocument/2006/relationships/hyperlink" Target="https://vedlegg.hkdir.no/TRHU/2023/tabell/V3.28" TargetMode="External"/><Relationship Id="rId134" Type="http://schemas.openxmlformats.org/officeDocument/2006/relationships/hyperlink" Target="https://vedlegg.hkdir.no/TRHU/2023/tabell/V4.14" TargetMode="External"/><Relationship Id="rId80" Type="http://schemas.openxmlformats.org/officeDocument/2006/relationships/hyperlink" Target="https://vedlegg.hkdir.no/TRHU/2023/tabell/V2.54" TargetMode="External"/><Relationship Id="rId155" Type="http://schemas.openxmlformats.org/officeDocument/2006/relationships/hyperlink" Target="https://www.regjeringen.no/contentassets/58a8bb9fecac4dd6aaf9ead1a6e3c1cd/strategi-forskning-web_uu.pdf" TargetMode="External"/><Relationship Id="rId176" Type="http://schemas.openxmlformats.org/officeDocument/2006/relationships/hyperlink" Target="https://www.regjeringen.no/no/dep/kd/org/styrer-rad-og-utvalg/styrer-ved-universiteter-og-hoyskoler/id568047/" TargetMode="External"/><Relationship Id="rId17" Type="http://schemas.openxmlformats.org/officeDocument/2006/relationships/hyperlink" Target="https://vedlegg.hkdir.no/TRHU/2023/tabell/V2.7" TargetMode="External"/><Relationship Id="rId38" Type="http://schemas.openxmlformats.org/officeDocument/2006/relationships/hyperlink" Target="https://vedlegg.hkdir.no/TRHU/2023/tabell/V2.25" TargetMode="External"/><Relationship Id="rId59" Type="http://schemas.openxmlformats.org/officeDocument/2006/relationships/chart" Target="charts/chart14.xml"/><Relationship Id="rId103" Type="http://schemas.openxmlformats.org/officeDocument/2006/relationships/chart" Target="charts/chart31.xml"/><Relationship Id="rId124" Type="http://schemas.openxmlformats.org/officeDocument/2006/relationships/hyperlink" Target="https://vedlegg.hkdir.no/TRHU/2023/tabell/V3.24" TargetMode="External"/><Relationship Id="rId70" Type="http://schemas.openxmlformats.org/officeDocument/2006/relationships/hyperlink" Target="https://vedlegg.hkdir.no/TRHU/2023/tabell/V2.58" TargetMode="External"/><Relationship Id="rId91" Type="http://schemas.openxmlformats.org/officeDocument/2006/relationships/hyperlink" Target="https://www.nupi.no/publikasjoner/cristin-pub/utfordrende-kunnskapssamarbeid-etiske-og-sikkerhetsrelaterte-utfordringer-som-forskere-og-kunnskapsinstitusjoner-i-norge-moeter-i-internasjonale-sa" TargetMode="External"/><Relationship Id="rId145" Type="http://schemas.openxmlformats.org/officeDocument/2006/relationships/chart" Target="charts/chart45.xml"/><Relationship Id="rId166" Type="http://schemas.openxmlformats.org/officeDocument/2006/relationships/hyperlink" Target="https://www.regjeringen.no/no/dokumenter/horing-studieavgift-for-studenter-fra-land-utenfor-eos-omradet-eller-sveits-mm.-endringer-i-universitets-og-hoyskoleloven/id2933263/"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vedlegg.hkdir.no/TRHU/2023/tabell/V4.17" TargetMode="External"/><Relationship Id="rId49" Type="http://schemas.openxmlformats.org/officeDocument/2006/relationships/hyperlink" Target="https://vedlegg.hkdir.no/TRHU/2023/tabell/V2.39" TargetMode="External"/><Relationship Id="rId114" Type="http://schemas.openxmlformats.org/officeDocument/2006/relationships/image" Target="media/image1.png"/><Relationship Id="rId60" Type="http://schemas.openxmlformats.org/officeDocument/2006/relationships/chart" Target="charts/chart15.xml"/><Relationship Id="rId81" Type="http://schemas.openxmlformats.org/officeDocument/2006/relationships/chart" Target="charts/chart21.xml"/><Relationship Id="rId135" Type="http://schemas.openxmlformats.org/officeDocument/2006/relationships/hyperlink" Target="https://vedlegg.hkdir.no/TRHU/2023/tabell/V4.15" TargetMode="External"/><Relationship Id="rId156" Type="http://schemas.openxmlformats.org/officeDocument/2006/relationships/hyperlink" Target="https://proba.no/rapport/analyse-av-ekstern-finansiering-og-midlertidighet-i-universitetsog-hoyskolesektoren/" TargetMode="External"/><Relationship Id="rId177" Type="http://schemas.openxmlformats.org/officeDocument/2006/relationships/hyperlink" Target="https://dbh.hkdir.no/tall-og-statistikk/aars-rapporter/statistikk-side/18.1?undermeny=statistikk_dokumenter&amp;tabellId=621"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dbh.hkdir.no/datainnhold/institusjoner/institusjonsendring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bh.hkdir.no/tall-og-statistikk/statistikk-meny/kjonn/statistikk-side/28.2/param?visningId=21&amp;visKode=false&amp;admdebug=false&amp;columns=arstall&amp;hier=insttype%219%21instkode%219%21fakkode%219%21ufakkode%219%21st_kode&amp;formel=329%218%21401%218%21354&amp;index=1&amp;sti=&amp;param=arstall%3D2022%218%212021%218%212020%218%212019%218%212018%219%21stillingstype%3D1%219%21dep_id%3D1%219%21st_kode%3D1532%218%211012%218%211013%218%211404%218%211483&amp;binInst=1101" TargetMode="External"/><Relationship Id="rId1" Type="http://schemas.openxmlformats.org/officeDocument/2006/relationships/hyperlink" Target="https://dbh.hkdir.no/tall-og-statistikk/statistikk-meny/tilsatte/statistikk-side/11.1/param?visningId=21&amp;visKode=false&amp;admdebug=true&amp;columns=arstall&amp;formel=349!8!348&amp;hier=insttype!9!instkode!9!fakkode!9!ufakkode!9!st_kode&amp;binInst=1101&amp;sti=&amp;index=1&amp;param=arstall%3D2022!8!2021!8!2020!8!2019!8!2018!9!dep_id%3D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regneark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regneark10.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regneark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regneark12.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regneark13.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regneark14.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regneark15.xlsx"/><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3/Data/DBH/figurer_13mars2023_skrivebeskytt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regneark16.xlsx"/></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regneark17.xlsx"/><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regneark18.xlsx"/><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7.xml"/><Relationship Id="rId1" Type="http://schemas.microsoft.com/office/2011/relationships/chartStyle" Target="style17.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regneark1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regneark2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regneark2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regneark22.xlsx"/><Relationship Id="rId1" Type="http://schemas.openxmlformats.org/officeDocument/2006/relationships/themeOverride" Target="../theme/themeOverride2.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regneark23.xlsx"/><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regneark24.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3/Data/SSB/SSB%20annet%20enn%20leveranse/NFR%20andel%20FoU%20per%20institusjon.xlsx" TargetMode="External"/><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regneark2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regneark26.xlsx"/></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regneark2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regneark3.xlsx"/></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regneark28.xlsx"/><Relationship Id="rId2" Type="http://schemas.microsoft.com/office/2011/relationships/chartColorStyle" Target="colors25.xml"/><Relationship Id="rId1" Type="http://schemas.microsoft.com/office/2011/relationships/chartStyle" Target="style25.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regneark29.xlsx"/></Relationships>
</file>

<file path=word/charts/_rels/chart43.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3/Data/DBH/tabeller_laga_16januar2023.xlsx" TargetMode="External"/><Relationship Id="rId2" Type="http://schemas.microsoft.com/office/2011/relationships/chartColorStyle" Target="colors26.xml"/><Relationship Id="rId1" Type="http://schemas.microsoft.com/office/2011/relationships/chartStyle" Target="style26.xml"/></Relationships>
</file>

<file path=word/charts/_rels/chart44.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3/Data/DBH/ORIGINAL%20SKRIVEBESK%20tabeller_laga_16januar2023.xlsx" TargetMode="External"/><Relationship Id="rId2" Type="http://schemas.microsoft.com/office/2011/relationships/chartColorStyle" Target="colors27.xml"/><Relationship Id="rId1" Type="http://schemas.microsoft.com/office/2011/relationships/chartStyle" Target="style27.xml"/></Relationships>
</file>

<file path=word/charts/_rels/chart45.xml.rels><?xml version="1.0" encoding="UTF-8" standalone="yes"?>
<Relationships xmlns="http://schemas.openxmlformats.org/package/2006/relationships"><Relationship Id="rId1" Type="http://schemas.openxmlformats.org/officeDocument/2006/relationships/oleObject" Target="https://hkdirektoratet.sharepoint.com/sites/Tilstandsrapport-hoy-utd/Shared%20Documents/TRHU2023/Data/DBH/ORIGINAL%20SKRIVEBESK%20tabeller_laga_16januar2023.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regneark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regneark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Studenter!$A$282:$B$282</c:f>
              <c:strCache>
                <c:ptCount val="2"/>
                <c:pt idx="0">
                  <c:v>Studenter i alt</c:v>
                </c:pt>
              </c:strCache>
            </c:strRef>
          </c:tx>
          <c:spPr>
            <a:solidFill>
              <a:schemeClr val="accent1"/>
            </a:solidFill>
            <a:ln>
              <a:noFill/>
            </a:ln>
            <a:effectLst/>
          </c:spPr>
          <c:invertIfNegative val="0"/>
          <c:cat>
            <c:numRef>
              <c:f>Studenter!$C$281:$L$281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Studenter!$C$282:$L$282</c:f>
              <c:numCache>
                <c:formatCode>#,##0</c:formatCode>
                <c:ptCount val="10"/>
                <c:pt idx="0">
                  <c:v>253317</c:v>
                </c:pt>
                <c:pt idx="1">
                  <c:v>255588</c:v>
                </c:pt>
                <c:pt idx="2">
                  <c:v>266428</c:v>
                </c:pt>
                <c:pt idx="3">
                  <c:v>273227</c:v>
                </c:pt>
                <c:pt idx="4">
                  <c:v>277637</c:v>
                </c:pt>
                <c:pt idx="5">
                  <c:v>278334</c:v>
                </c:pt>
                <c:pt idx="6">
                  <c:v>281702</c:v>
                </c:pt>
                <c:pt idx="7">
                  <c:v>292834</c:v>
                </c:pt>
                <c:pt idx="8">
                  <c:v>304885</c:v>
                </c:pt>
                <c:pt idx="9">
                  <c:v>297775</c:v>
                </c:pt>
              </c:numCache>
            </c:numRef>
          </c:val>
          <c:extLst>
            <c:ext xmlns:c16="http://schemas.microsoft.com/office/drawing/2014/chart" uri="{C3380CC4-5D6E-409C-BE32-E72D297353CC}">
              <c16:uniqueId val="{00000000-FFD8-4761-9275-D81306A3CDBC}"/>
            </c:ext>
          </c:extLst>
        </c:ser>
        <c:dLbls>
          <c:showLegendKey val="0"/>
          <c:showVal val="0"/>
          <c:showCatName val="0"/>
          <c:showSerName val="0"/>
          <c:showPercent val="0"/>
          <c:showBubbleSize val="0"/>
        </c:dLbls>
        <c:gapWidth val="219"/>
        <c:overlap val="-27"/>
        <c:axId val="1365542719"/>
        <c:axId val="1343993263"/>
      </c:barChart>
      <c:catAx>
        <c:axId val="136554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3993263"/>
        <c:crosses val="autoZero"/>
        <c:auto val="1"/>
        <c:lblAlgn val="ctr"/>
        <c:lblOffset val="100"/>
        <c:noMultiLvlLbl val="0"/>
      </c:catAx>
      <c:valAx>
        <c:axId val="1343993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6554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'Figur 2.9'!$A$4:$A$10</c:f>
              <c:strCache>
                <c:ptCount val="7"/>
                <c:pt idx="0">
                  <c:v>Yrkesfaglærerutd.</c:v>
                </c:pt>
                <c:pt idx="1">
                  <c:v>PPU og PPU-Y</c:v>
                </c:pt>
                <c:pt idx="2">
                  <c:v>Integrert lektorutd.</c:v>
                </c:pt>
                <c:pt idx="3">
                  <c:v>GLU 5-10</c:v>
                </c:pt>
                <c:pt idx="4">
                  <c:v>GLU 1-7</c:v>
                </c:pt>
                <c:pt idx="5">
                  <c:v>Faglærerutd.</c:v>
                </c:pt>
                <c:pt idx="6">
                  <c:v>Barnehagelærerutd.</c:v>
                </c:pt>
              </c:strCache>
            </c:strRef>
          </c:cat>
          <c:val>
            <c:numRef>
              <c:f>'Figur 2.9'!$D$4:$D$10</c:f>
              <c:numCache>
                <c:formatCode>General</c:formatCode>
                <c:ptCount val="7"/>
                <c:pt idx="0">
                  <c:v>0.80710999999999999</c:v>
                </c:pt>
                <c:pt idx="1">
                  <c:v>0.72643000000000002</c:v>
                </c:pt>
                <c:pt idx="2">
                  <c:v>2.2633100000000002</c:v>
                </c:pt>
                <c:pt idx="3">
                  <c:v>1.2465200000000001</c:v>
                </c:pt>
                <c:pt idx="4">
                  <c:v>0.73897999999999997</c:v>
                </c:pt>
                <c:pt idx="5">
                  <c:v>0.81020000000000003</c:v>
                </c:pt>
                <c:pt idx="6">
                  <c:v>1.26522</c:v>
                </c:pt>
              </c:numCache>
            </c:numRef>
          </c:val>
          <c:extLst>
            <c:ext xmlns:c16="http://schemas.microsoft.com/office/drawing/2014/chart" uri="{C3380CC4-5D6E-409C-BE32-E72D297353CC}">
              <c16:uniqueId val="{00000000-E3F7-4DC2-89A1-84594CF81A5E}"/>
            </c:ext>
          </c:extLst>
        </c:ser>
        <c:dLbls>
          <c:showLegendKey val="0"/>
          <c:showVal val="0"/>
          <c:showCatName val="0"/>
          <c:showSerName val="0"/>
          <c:showPercent val="0"/>
          <c:showBubbleSize val="0"/>
        </c:dLbls>
        <c:gapWidth val="150"/>
        <c:axId val="102134272"/>
        <c:axId val="107079360"/>
      </c:barChart>
      <c:scatterChart>
        <c:scatterStyle val="lineMarker"/>
        <c:varyColors val="0"/>
        <c:ser>
          <c:idx val="1"/>
          <c:order val="1"/>
          <c:spPr>
            <a:ln w="28575">
              <a:solidFill>
                <a:schemeClr val="tx1"/>
              </a:solidFill>
              <a:prstDash val="dash"/>
            </a:ln>
          </c:spPr>
          <c:marker>
            <c:symbol val="none"/>
          </c:marker>
          <c:xVal>
            <c:numRef>
              <c:f>'Figur 2.9'!$C$17:$C$18</c:f>
              <c:numCache>
                <c:formatCode>General</c:formatCode>
                <c:ptCount val="2"/>
                <c:pt idx="0">
                  <c:v>1</c:v>
                </c:pt>
                <c:pt idx="1">
                  <c:v>1</c:v>
                </c:pt>
              </c:numCache>
            </c:numRef>
          </c:xVal>
          <c:yVal>
            <c:numRef>
              <c:f>'Figur 2.9'!$D$17:$D$18</c:f>
              <c:numCache>
                <c:formatCode>General</c:formatCode>
                <c:ptCount val="2"/>
                <c:pt idx="0">
                  <c:v>0</c:v>
                </c:pt>
                <c:pt idx="1">
                  <c:v>1</c:v>
                </c:pt>
              </c:numCache>
            </c:numRef>
          </c:yVal>
          <c:smooth val="0"/>
          <c:extLst>
            <c:ext xmlns:c16="http://schemas.microsoft.com/office/drawing/2014/chart" uri="{C3380CC4-5D6E-409C-BE32-E72D297353CC}">
              <c16:uniqueId val="{00000001-E3F7-4DC2-89A1-84594CF81A5E}"/>
            </c:ext>
          </c:extLst>
        </c:ser>
        <c:dLbls>
          <c:showLegendKey val="0"/>
          <c:showVal val="0"/>
          <c:showCatName val="0"/>
          <c:showSerName val="0"/>
          <c:showPercent val="0"/>
          <c:showBubbleSize val="0"/>
        </c:dLbls>
        <c:axId val="107080512"/>
        <c:axId val="107079936"/>
      </c:scatterChart>
      <c:catAx>
        <c:axId val="102134272"/>
        <c:scaling>
          <c:orientation val="minMax"/>
        </c:scaling>
        <c:delete val="0"/>
        <c:axPos val="l"/>
        <c:numFmt formatCode="General" sourceLinked="1"/>
        <c:majorTickMark val="none"/>
        <c:minorTickMark val="none"/>
        <c:tickLblPos val="nextTo"/>
        <c:spPr>
          <a:ln>
            <a:noFill/>
          </a:ln>
        </c:spPr>
        <c:crossAx val="107079360"/>
        <c:crosses val="autoZero"/>
        <c:auto val="1"/>
        <c:lblAlgn val="ctr"/>
        <c:lblOffset val="100"/>
        <c:noMultiLvlLbl val="0"/>
      </c:catAx>
      <c:valAx>
        <c:axId val="107079360"/>
        <c:scaling>
          <c:orientation val="minMax"/>
          <c:max val="2.5"/>
        </c:scaling>
        <c:delete val="0"/>
        <c:axPos val="b"/>
        <c:majorGridlines>
          <c:spPr>
            <a:ln>
              <a:solidFill>
                <a:schemeClr val="accent3">
                  <a:lumMod val="40000"/>
                  <a:lumOff val="60000"/>
                </a:schemeClr>
              </a:solidFill>
            </a:ln>
          </c:spPr>
        </c:majorGridlines>
        <c:numFmt formatCode="0%" sourceLinked="0"/>
        <c:majorTickMark val="out"/>
        <c:minorTickMark val="none"/>
        <c:tickLblPos val="nextTo"/>
        <c:spPr>
          <a:ln>
            <a:noFill/>
          </a:ln>
        </c:spPr>
        <c:crossAx val="102134272"/>
        <c:crosses val="autoZero"/>
        <c:crossBetween val="between"/>
      </c:valAx>
      <c:valAx>
        <c:axId val="107079936"/>
        <c:scaling>
          <c:orientation val="minMax"/>
          <c:max val="0.8"/>
          <c:min val="0.1"/>
        </c:scaling>
        <c:delete val="1"/>
        <c:axPos val="r"/>
        <c:numFmt formatCode="General" sourceLinked="1"/>
        <c:majorTickMark val="out"/>
        <c:minorTickMark val="none"/>
        <c:tickLblPos val="nextTo"/>
        <c:crossAx val="107080512"/>
        <c:crosses val="max"/>
        <c:crossBetween val="midCat"/>
      </c:valAx>
      <c:valAx>
        <c:axId val="107080512"/>
        <c:scaling>
          <c:orientation val="minMax"/>
        </c:scaling>
        <c:delete val="1"/>
        <c:axPos val="b"/>
        <c:numFmt formatCode="General" sourceLinked="1"/>
        <c:majorTickMark val="out"/>
        <c:minorTickMark val="none"/>
        <c:tickLblPos val="nextTo"/>
        <c:crossAx val="107079936"/>
        <c:crosses val="autoZero"/>
        <c:crossBetween val="midCat"/>
      </c:valAx>
    </c:plotArea>
    <c:plotVisOnly val="1"/>
    <c:dispBlanksAs val="gap"/>
    <c:showDLblsOverMax val="0"/>
  </c:chart>
  <c:spPr>
    <a:ln>
      <a:solidFill>
        <a:schemeClr val="accent3">
          <a:lumMod val="40000"/>
          <a:lumOff val="60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5"/>
            <c:invertIfNegative val="0"/>
            <c:bubble3D val="0"/>
            <c:spPr>
              <a:solidFill>
                <a:schemeClr val="accent2"/>
              </a:solidFill>
              <a:ln>
                <a:noFill/>
              </a:ln>
              <a:effectLst/>
            </c:spPr>
            <c:extLst>
              <c:ext xmlns:c16="http://schemas.microsoft.com/office/drawing/2014/chart" uri="{C3380CC4-5D6E-409C-BE32-E72D297353CC}">
                <c16:uniqueId val="{00000001-3492-4532-8E37-CD19A7967CBE}"/>
              </c:ext>
            </c:extLst>
          </c:dPt>
          <c:dLbls>
            <c:dLbl>
              <c:idx val="3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2-4532-8E37-CD19A7967CB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 2.10'!$A$4:$B$39</c:f>
              <c:multiLvlStrCache>
                <c:ptCount val="36"/>
                <c:lvl>
                  <c:pt idx="0">
                    <c:v>SH</c:v>
                  </c:pt>
                  <c:pt idx="1">
                    <c:v>NLA</c:v>
                  </c:pt>
                  <c:pt idx="2">
                    <c:v>RS</c:v>
                  </c:pt>
                  <c:pt idx="3">
                    <c:v>HVO</c:v>
                  </c:pt>
                  <c:pt idx="4">
                    <c:v>FIH</c:v>
                  </c:pt>
                  <c:pt idx="5">
                    <c:v>ATH</c:v>
                  </c:pt>
                  <c:pt idx="6">
                    <c:v>HK</c:v>
                  </c:pt>
                  <c:pt idx="7">
                    <c:v>HINN</c:v>
                  </c:pt>
                  <c:pt idx="8">
                    <c:v>HVL</c:v>
                  </c:pt>
                  <c:pt idx="9">
                    <c:v>HiØ</c:v>
                  </c:pt>
                  <c:pt idx="10">
                    <c:v>BDM</c:v>
                  </c:pt>
                  <c:pt idx="11">
                    <c:v>DMMH</c:v>
                  </c:pt>
                  <c:pt idx="12">
                    <c:v>HLT</c:v>
                  </c:pt>
                  <c:pt idx="13">
                    <c:v>LDH</c:v>
                  </c:pt>
                  <c:pt idx="14">
                    <c:v>BAS</c:v>
                  </c:pt>
                  <c:pt idx="15">
                    <c:v>MF</c:v>
                  </c:pt>
                  <c:pt idx="16">
                    <c:v>NMH</c:v>
                  </c:pt>
                  <c:pt idx="17">
                    <c:v>NIH</c:v>
                  </c:pt>
                  <c:pt idx="18">
                    <c:v>BI</c:v>
                  </c:pt>
                  <c:pt idx="19">
                    <c:v>HiM</c:v>
                  </c:pt>
                  <c:pt idx="20">
                    <c:v>VID</c:v>
                  </c:pt>
                  <c:pt idx="21">
                    <c:v>NHH</c:v>
                  </c:pt>
                  <c:pt idx="22">
                    <c:v>KHiO</c:v>
                  </c:pt>
                  <c:pt idx="23">
                    <c:v>AHO</c:v>
                  </c:pt>
                  <c:pt idx="24">
                    <c:v>NU</c:v>
                  </c:pt>
                  <c:pt idx="25">
                    <c:v>USN</c:v>
                  </c:pt>
                  <c:pt idx="26">
                    <c:v>OsloMet</c:v>
                  </c:pt>
                  <c:pt idx="27">
                    <c:v>UiA</c:v>
                  </c:pt>
                  <c:pt idx="28">
                    <c:v>UiS</c:v>
                  </c:pt>
                  <c:pt idx="29">
                    <c:v>UiB</c:v>
                  </c:pt>
                  <c:pt idx="30">
                    <c:v>UiO</c:v>
                  </c:pt>
                  <c:pt idx="31">
                    <c:v>UiT</c:v>
                  </c:pt>
                  <c:pt idx="32">
                    <c:v>NTNU</c:v>
                  </c:pt>
                  <c:pt idx="33">
                    <c:v>NMBU</c:v>
                  </c:pt>
                  <c:pt idx="35">
                    <c:v>Gjennomsnitt</c:v>
                  </c:pt>
                </c:lvl>
                <c:lvl>
                  <c:pt idx="0">
                    <c:v>Høyskoler</c:v>
                  </c:pt>
                  <c:pt idx="15">
                    <c:v>Vitenskapelige høyskoler</c:v>
                  </c:pt>
                  <c:pt idx="24">
                    <c:v>Universiteter</c:v>
                  </c:pt>
                  <c:pt idx="34">
                    <c:v>    </c:v>
                  </c:pt>
                </c:lvl>
              </c:multiLvlStrCache>
            </c:multiLvlStrRef>
          </c:cat>
          <c:val>
            <c:numRef>
              <c:f>'Figur 2.10'!$C$4:$C$39</c:f>
              <c:numCache>
                <c:formatCode>General</c:formatCode>
                <c:ptCount val="36"/>
                <c:pt idx="0">
                  <c:v>24.33333</c:v>
                </c:pt>
                <c:pt idx="1">
                  <c:v>25.36082</c:v>
                </c:pt>
                <c:pt idx="2">
                  <c:v>27.75</c:v>
                </c:pt>
                <c:pt idx="3">
                  <c:v>28.54252</c:v>
                </c:pt>
                <c:pt idx="4">
                  <c:v>29.953489999999999</c:v>
                </c:pt>
                <c:pt idx="5">
                  <c:v>30.35294</c:v>
                </c:pt>
                <c:pt idx="6">
                  <c:v>30.369679999999999</c:v>
                </c:pt>
                <c:pt idx="7">
                  <c:v>31.165109999999999</c:v>
                </c:pt>
                <c:pt idx="8">
                  <c:v>31.60557</c:v>
                </c:pt>
                <c:pt idx="9">
                  <c:v>32.486159999999998</c:v>
                </c:pt>
                <c:pt idx="10">
                  <c:v>32.5</c:v>
                </c:pt>
                <c:pt idx="11">
                  <c:v>32.622219999999999</c:v>
                </c:pt>
                <c:pt idx="12">
                  <c:v>32.863639999999997</c:v>
                </c:pt>
                <c:pt idx="13">
                  <c:v>39.648940000000003</c:v>
                </c:pt>
                <c:pt idx="14">
                  <c:v>52.136360000000003</c:v>
                </c:pt>
                <c:pt idx="15">
                  <c:v>28.247060000000001</c:v>
                </c:pt>
                <c:pt idx="16">
                  <c:v>31.673469999999998</c:v>
                </c:pt>
                <c:pt idx="17">
                  <c:v>31.822579999999999</c:v>
                </c:pt>
                <c:pt idx="18">
                  <c:v>33.089820000000003</c:v>
                </c:pt>
                <c:pt idx="19">
                  <c:v>33.138500000000001</c:v>
                </c:pt>
                <c:pt idx="20">
                  <c:v>35.368920000000003</c:v>
                </c:pt>
                <c:pt idx="21">
                  <c:v>37.876449999999998</c:v>
                </c:pt>
                <c:pt idx="22">
                  <c:v>43.808819999999997</c:v>
                </c:pt>
                <c:pt idx="23">
                  <c:v>46.1</c:v>
                </c:pt>
                <c:pt idx="24">
                  <c:v>31.60791</c:v>
                </c:pt>
                <c:pt idx="25">
                  <c:v>32.278120000000001</c:v>
                </c:pt>
                <c:pt idx="26">
                  <c:v>32.283880000000003</c:v>
                </c:pt>
                <c:pt idx="27">
                  <c:v>33.007480000000001</c:v>
                </c:pt>
                <c:pt idx="28">
                  <c:v>33.732109999999999</c:v>
                </c:pt>
                <c:pt idx="29">
                  <c:v>33.961599999999997</c:v>
                </c:pt>
                <c:pt idx="30">
                  <c:v>34.105640000000001</c:v>
                </c:pt>
                <c:pt idx="31">
                  <c:v>34.753619999999998</c:v>
                </c:pt>
                <c:pt idx="32">
                  <c:v>36.171779999999998</c:v>
                </c:pt>
                <c:pt idx="33">
                  <c:v>36.844549999999998</c:v>
                </c:pt>
                <c:pt idx="35">
                  <c:v>33.5</c:v>
                </c:pt>
              </c:numCache>
            </c:numRef>
          </c:val>
          <c:extLst>
            <c:ext xmlns:c16="http://schemas.microsoft.com/office/drawing/2014/chart" uri="{C3380CC4-5D6E-409C-BE32-E72D297353CC}">
              <c16:uniqueId val="{00000002-3492-4532-8E37-CD19A7967CBE}"/>
            </c:ext>
          </c:extLst>
        </c:ser>
        <c:dLbls>
          <c:showLegendKey val="0"/>
          <c:showVal val="0"/>
          <c:showCatName val="0"/>
          <c:showSerName val="0"/>
          <c:showPercent val="0"/>
          <c:showBubbleSize val="0"/>
        </c:dLbls>
        <c:gapWidth val="182"/>
        <c:axId val="1371579088"/>
        <c:axId val="1371579920"/>
      </c:barChart>
      <c:catAx>
        <c:axId val="1371579088"/>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920"/>
        <c:crosses val="autoZero"/>
        <c:auto val="1"/>
        <c:lblAlgn val="ctr"/>
        <c:lblOffset val="100"/>
        <c:noMultiLvlLbl val="0"/>
      </c:catAx>
      <c:valAx>
        <c:axId val="1371579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b-NO"/>
              <a:t>Jeg er,</a:t>
            </a:r>
            <a:r>
              <a:rPr lang="nb-NO" baseline="0"/>
              <a:t> alt i alt, tilfreds med studieprogrammet jeg går på</a:t>
            </a:r>
            <a:endParaRPr lang="nb-NO"/>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solidFill>
              <a:schemeClr val="accent1"/>
            </a:solidFill>
            <a:ln>
              <a:noFill/>
            </a:ln>
            <a:effectLst/>
          </c:spPr>
          <c:invertIfNegative val="0"/>
          <c:dPt>
            <c:idx val="35"/>
            <c:invertIfNegative val="0"/>
            <c:bubble3D val="0"/>
            <c:spPr>
              <a:solidFill>
                <a:schemeClr val="accent2"/>
              </a:solidFill>
              <a:ln>
                <a:noFill/>
              </a:ln>
              <a:effectLst/>
            </c:spPr>
            <c:extLst>
              <c:ext xmlns:c16="http://schemas.microsoft.com/office/drawing/2014/chart" uri="{C3380CC4-5D6E-409C-BE32-E72D297353CC}">
                <c16:uniqueId val="{00000001-20A3-436F-9483-709A276F9938}"/>
              </c:ext>
            </c:extLst>
          </c:dPt>
          <c:dLbls>
            <c:dLbl>
              <c:idx val="3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A3-436F-9483-709A276F993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 2.11'!$A$4:$B$39</c:f>
              <c:multiLvlStrCache>
                <c:ptCount val="36"/>
                <c:lvl>
                  <c:pt idx="0">
                    <c:v>DMMH</c:v>
                  </c:pt>
                  <c:pt idx="1">
                    <c:v>HVL</c:v>
                  </c:pt>
                  <c:pt idx="2">
                    <c:v>HINN</c:v>
                  </c:pt>
                  <c:pt idx="3">
                    <c:v>BDM</c:v>
                  </c:pt>
                  <c:pt idx="4">
                    <c:v>SH</c:v>
                  </c:pt>
                  <c:pt idx="5">
                    <c:v>NLA</c:v>
                  </c:pt>
                  <c:pt idx="6">
                    <c:v>HK</c:v>
                  </c:pt>
                  <c:pt idx="7">
                    <c:v>HiØ</c:v>
                  </c:pt>
                  <c:pt idx="8">
                    <c:v>HVO</c:v>
                  </c:pt>
                  <c:pt idx="9">
                    <c:v>ATH</c:v>
                  </c:pt>
                  <c:pt idx="10">
                    <c:v>FIH</c:v>
                  </c:pt>
                  <c:pt idx="11">
                    <c:v>LDH</c:v>
                  </c:pt>
                  <c:pt idx="12">
                    <c:v>RS</c:v>
                  </c:pt>
                  <c:pt idx="13">
                    <c:v>HLT</c:v>
                  </c:pt>
                  <c:pt idx="14">
                    <c:v>BAS</c:v>
                  </c:pt>
                  <c:pt idx="15">
                    <c:v>HiM</c:v>
                  </c:pt>
                  <c:pt idx="16">
                    <c:v>VID</c:v>
                  </c:pt>
                  <c:pt idx="17">
                    <c:v>BI</c:v>
                  </c:pt>
                  <c:pt idx="18">
                    <c:v>KHiO</c:v>
                  </c:pt>
                  <c:pt idx="19">
                    <c:v>NHH</c:v>
                  </c:pt>
                  <c:pt idx="20">
                    <c:v>NIH</c:v>
                  </c:pt>
                  <c:pt idx="21">
                    <c:v>MF</c:v>
                  </c:pt>
                  <c:pt idx="22">
                    <c:v>NMH</c:v>
                  </c:pt>
                  <c:pt idx="23">
                    <c:v>AHO</c:v>
                  </c:pt>
                  <c:pt idx="24">
                    <c:v>OsloMet</c:v>
                  </c:pt>
                  <c:pt idx="25">
                    <c:v>NU</c:v>
                  </c:pt>
                  <c:pt idx="26">
                    <c:v>UiS</c:v>
                  </c:pt>
                  <c:pt idx="27">
                    <c:v>USN</c:v>
                  </c:pt>
                  <c:pt idx="28">
                    <c:v>UiT</c:v>
                  </c:pt>
                  <c:pt idx="29">
                    <c:v>UiB</c:v>
                  </c:pt>
                  <c:pt idx="30">
                    <c:v>NTNU</c:v>
                  </c:pt>
                  <c:pt idx="31">
                    <c:v>UiA</c:v>
                  </c:pt>
                  <c:pt idx="32">
                    <c:v>UiO</c:v>
                  </c:pt>
                  <c:pt idx="33">
                    <c:v>NMBU</c:v>
                  </c:pt>
                  <c:pt idx="35">
                    <c:v>Gjennomsnitt</c:v>
                  </c:pt>
                </c:lvl>
                <c:lvl>
                  <c:pt idx="0">
                    <c:v>Høyskoler</c:v>
                  </c:pt>
                  <c:pt idx="15">
                    <c:v>Vitenskapelige høyskoler</c:v>
                  </c:pt>
                  <c:pt idx="24">
                    <c:v>Universiteter</c:v>
                  </c:pt>
                  <c:pt idx="34">
                    <c:v>    </c:v>
                  </c:pt>
                </c:lvl>
              </c:multiLvlStrCache>
            </c:multiLvlStrRef>
          </c:cat>
          <c:val>
            <c:numRef>
              <c:f>'Figur 2.11'!$C$4:$C$39</c:f>
              <c:numCache>
                <c:formatCode>General</c:formatCode>
                <c:ptCount val="36"/>
                <c:pt idx="0">
                  <c:v>3.6040999999999999</c:v>
                </c:pt>
                <c:pt idx="1">
                  <c:v>3.6406399999999999</c:v>
                </c:pt>
                <c:pt idx="2">
                  <c:v>3.6924600000000001</c:v>
                </c:pt>
                <c:pt idx="3">
                  <c:v>3.7272699999999999</c:v>
                </c:pt>
                <c:pt idx="4">
                  <c:v>3.8</c:v>
                </c:pt>
                <c:pt idx="5">
                  <c:v>3.8567200000000001</c:v>
                </c:pt>
                <c:pt idx="6">
                  <c:v>3.90429</c:v>
                </c:pt>
                <c:pt idx="7">
                  <c:v>3.90882</c:v>
                </c:pt>
                <c:pt idx="8">
                  <c:v>3.9521000000000002</c:v>
                </c:pt>
                <c:pt idx="9">
                  <c:v>4</c:v>
                </c:pt>
                <c:pt idx="10">
                  <c:v>4.0566000000000004</c:v>
                </c:pt>
                <c:pt idx="11">
                  <c:v>4.1008399999999998</c:v>
                </c:pt>
                <c:pt idx="12">
                  <c:v>4.19231</c:v>
                </c:pt>
                <c:pt idx="13">
                  <c:v>4.38462</c:v>
                </c:pt>
                <c:pt idx="14">
                  <c:v>4.7727300000000001</c:v>
                </c:pt>
                <c:pt idx="15">
                  <c:v>3.65517</c:v>
                </c:pt>
                <c:pt idx="16">
                  <c:v>3.72</c:v>
                </c:pt>
                <c:pt idx="17">
                  <c:v>3.9111699999999998</c:v>
                </c:pt>
                <c:pt idx="18">
                  <c:v>3.9359000000000002</c:v>
                </c:pt>
                <c:pt idx="19">
                  <c:v>3.9862299999999999</c:v>
                </c:pt>
                <c:pt idx="20">
                  <c:v>3.9937900000000002</c:v>
                </c:pt>
                <c:pt idx="21">
                  <c:v>4.2190500000000002</c:v>
                </c:pt>
                <c:pt idx="22">
                  <c:v>4.2307699999999997</c:v>
                </c:pt>
                <c:pt idx="23">
                  <c:v>4.34694</c:v>
                </c:pt>
                <c:pt idx="24">
                  <c:v>3.6459999999999999</c:v>
                </c:pt>
                <c:pt idx="25">
                  <c:v>3.6865299999999999</c:v>
                </c:pt>
                <c:pt idx="26">
                  <c:v>3.7056</c:v>
                </c:pt>
                <c:pt idx="27">
                  <c:v>3.74071</c:v>
                </c:pt>
                <c:pt idx="28">
                  <c:v>3.7886299999999999</c:v>
                </c:pt>
                <c:pt idx="29">
                  <c:v>3.8387799999999999</c:v>
                </c:pt>
                <c:pt idx="30">
                  <c:v>3.8779599999999999</c:v>
                </c:pt>
                <c:pt idx="31">
                  <c:v>3.9112100000000001</c:v>
                </c:pt>
                <c:pt idx="32">
                  <c:v>3.95133</c:v>
                </c:pt>
                <c:pt idx="33">
                  <c:v>4.1559600000000003</c:v>
                </c:pt>
                <c:pt idx="35">
                  <c:v>3.8</c:v>
                </c:pt>
              </c:numCache>
            </c:numRef>
          </c:val>
          <c:extLst>
            <c:ext xmlns:c16="http://schemas.microsoft.com/office/drawing/2014/chart" uri="{C3380CC4-5D6E-409C-BE32-E72D297353CC}">
              <c16:uniqueId val="{00000002-20A3-436F-9483-709A276F9938}"/>
            </c:ext>
          </c:extLst>
        </c:ser>
        <c:dLbls>
          <c:showLegendKey val="0"/>
          <c:showVal val="0"/>
          <c:showCatName val="0"/>
          <c:showSerName val="0"/>
          <c:showPercent val="0"/>
          <c:showBubbleSize val="0"/>
        </c:dLbls>
        <c:gapWidth val="182"/>
        <c:axId val="1371579088"/>
        <c:axId val="1371579920"/>
      </c:barChart>
      <c:catAx>
        <c:axId val="1371579088"/>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920"/>
        <c:crosses val="autoZero"/>
        <c:auto val="1"/>
        <c:lblAlgn val="ctr"/>
        <c:lblOffset val="100"/>
        <c:noMultiLvlLbl val="0"/>
      </c:catAx>
      <c:valAx>
        <c:axId val="137157992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'[figurer_7mars2023.xlsx]Figur 2.12'!$B$3</c:f>
              <c:strCache>
                <c:ptCount val="1"/>
                <c:pt idx="0">
                  <c:v>Desentralisert undervisning</c:v>
                </c:pt>
              </c:strCache>
            </c:strRef>
          </c:tx>
          <c:cat>
            <c:numRef>
              <c:f>'[figurer_7mars2023.xlsx]Figur 2.12'!$A$4:$A$13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'[figurer_7mars2023.xlsx]Figur 2.12'!$B$4:$B$13</c:f>
              <c:numCache>
                <c:formatCode>General</c:formatCode>
                <c:ptCount val="10"/>
                <c:pt idx="0">
                  <c:v>8575</c:v>
                </c:pt>
                <c:pt idx="1">
                  <c:v>7908</c:v>
                </c:pt>
                <c:pt idx="2">
                  <c:v>8068</c:v>
                </c:pt>
                <c:pt idx="3">
                  <c:v>7136</c:v>
                </c:pt>
                <c:pt idx="4">
                  <c:v>7117</c:v>
                </c:pt>
                <c:pt idx="5">
                  <c:v>6699</c:v>
                </c:pt>
                <c:pt idx="6">
                  <c:v>6594</c:v>
                </c:pt>
                <c:pt idx="7">
                  <c:v>6662</c:v>
                </c:pt>
                <c:pt idx="8">
                  <c:v>5894</c:v>
                </c:pt>
                <c:pt idx="9">
                  <c:v>4792</c:v>
                </c:pt>
              </c:numCache>
            </c:numRef>
          </c:val>
          <c:extLst>
            <c:ext xmlns:c16="http://schemas.microsoft.com/office/drawing/2014/chart" uri="{C3380CC4-5D6E-409C-BE32-E72D297353CC}">
              <c16:uniqueId val="{00000000-7CBB-4512-83CC-F6DA342149D2}"/>
            </c:ext>
          </c:extLst>
        </c:ser>
        <c:ser>
          <c:idx val="1"/>
          <c:order val="1"/>
          <c:tx>
            <c:strRef>
              <c:f>'[figurer_7mars2023.xlsx]Figur 2.12'!$C$3</c:f>
              <c:strCache>
                <c:ptCount val="1"/>
                <c:pt idx="0">
                  <c:v>Nettbasert undervisning</c:v>
                </c:pt>
              </c:strCache>
            </c:strRef>
          </c:tx>
          <c:spPr>
            <a:ln>
              <a:solidFill>
                <a:schemeClr val="accent3">
                  <a:lumMod val="40000"/>
                  <a:lumOff val="60000"/>
                  <a:alpha val="0"/>
                </a:schemeClr>
              </a:solidFill>
            </a:ln>
          </c:spPr>
          <c:cat>
            <c:numRef>
              <c:f>'[figurer_7mars2023.xlsx]Figur 2.12'!$A$4:$A$13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'[figurer_7mars2023.xlsx]Figur 2.12'!$C$4:$C$13</c:f>
              <c:numCache>
                <c:formatCode>General</c:formatCode>
                <c:ptCount val="10"/>
                <c:pt idx="0">
                  <c:v>8174</c:v>
                </c:pt>
                <c:pt idx="1">
                  <c:v>8946</c:v>
                </c:pt>
                <c:pt idx="2">
                  <c:v>10315</c:v>
                </c:pt>
                <c:pt idx="3">
                  <c:v>12508</c:v>
                </c:pt>
                <c:pt idx="4">
                  <c:v>13135</c:v>
                </c:pt>
                <c:pt idx="5">
                  <c:v>14314</c:v>
                </c:pt>
                <c:pt idx="6">
                  <c:v>15051</c:v>
                </c:pt>
                <c:pt idx="7">
                  <c:v>19376</c:v>
                </c:pt>
                <c:pt idx="8">
                  <c:v>22906</c:v>
                </c:pt>
                <c:pt idx="9">
                  <c:v>23144</c:v>
                </c:pt>
              </c:numCache>
            </c:numRef>
          </c:val>
          <c:extLst>
            <c:ext xmlns:c16="http://schemas.microsoft.com/office/drawing/2014/chart" uri="{C3380CC4-5D6E-409C-BE32-E72D297353CC}">
              <c16:uniqueId val="{00000001-7CBB-4512-83CC-F6DA342149D2}"/>
            </c:ext>
          </c:extLst>
        </c:ser>
        <c:dLbls>
          <c:showLegendKey val="0"/>
          <c:showVal val="0"/>
          <c:showCatName val="0"/>
          <c:showSerName val="0"/>
          <c:showPercent val="0"/>
          <c:showBubbleSize val="0"/>
        </c:dLbls>
        <c:axId val="126836224"/>
        <c:axId val="127059648"/>
      </c:areaChart>
      <c:catAx>
        <c:axId val="126836224"/>
        <c:scaling>
          <c:orientation val="minMax"/>
        </c:scaling>
        <c:delete val="0"/>
        <c:axPos val="b"/>
        <c:numFmt formatCode="General" sourceLinked="1"/>
        <c:majorTickMark val="out"/>
        <c:minorTickMark val="none"/>
        <c:tickLblPos val="nextTo"/>
        <c:crossAx val="127059648"/>
        <c:crosses val="autoZero"/>
        <c:auto val="1"/>
        <c:lblAlgn val="ctr"/>
        <c:lblOffset val="100"/>
        <c:noMultiLvlLbl val="0"/>
      </c:catAx>
      <c:valAx>
        <c:axId val="127059648"/>
        <c:scaling>
          <c:orientation val="minMax"/>
          <c:max val="30000"/>
        </c:scaling>
        <c:delete val="0"/>
        <c:axPos val="l"/>
        <c:majorGridlines/>
        <c:numFmt formatCode="#,##0" sourceLinked="0"/>
        <c:majorTickMark val="out"/>
        <c:minorTickMark val="none"/>
        <c:tickLblPos val="nextTo"/>
        <c:crossAx val="126836224"/>
        <c:crosses val="autoZero"/>
        <c:crossBetween val="midCat"/>
        <c:majorUnit val="5000"/>
      </c:valAx>
    </c:plotArea>
    <c:legend>
      <c:legendPos val="b"/>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'Ark1'!$B$1</c:f>
              <c:strCache>
                <c:ptCount val="1"/>
                <c:pt idx="0">
                  <c:v>Aldri</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EDDB-4206-875C-D58603BF31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Digitale læringsplattformer (f. eks. Canvas, Blackboard, ItsLearning, MedEasy)</c:v>
                </c:pt>
                <c:pt idx="1">
                  <c:v>Fagrelevant bruk av programvare (f. eks. Excel, Stata, R, Python, Sibelius, Adobe)</c:v>
                </c:pt>
                <c:pt idx="2">
                  <c:v>Studentaktiviserende verktøy mellom student og underviser (f. eks. Quizlet, Kahoot, Mentimeter)</c:v>
                </c:pt>
                <c:pt idx="3">
                  <c:v>Samhandlingsverktøy mellom studenter (f. eks. Google Drive/Docs, GitHub, Discord)</c:v>
                </c:pt>
                <c:pt idx="4">
                  <c:v>Verktøy som simulerer praksissituasjon eller lignende (f. eks. VR-teknologi, medisinske treningsdukker, språkteknologi)</c:v>
                </c:pt>
                <c:pt idx="5">
                  <c:v>Undervisning i digitalt format (f. eks. podcast, streaming, videopptak)</c:v>
                </c:pt>
              </c:strCache>
            </c:strRef>
          </c:cat>
          <c:val>
            <c:numRef>
              <c:f>'Ark1'!$B$2:$B$7</c:f>
              <c:numCache>
                <c:formatCode>0%</c:formatCode>
                <c:ptCount val="6"/>
                <c:pt idx="0">
                  <c:v>0.02</c:v>
                </c:pt>
                <c:pt idx="1">
                  <c:v>0.24</c:v>
                </c:pt>
                <c:pt idx="2">
                  <c:v>0.21</c:v>
                </c:pt>
                <c:pt idx="3">
                  <c:v>0.11</c:v>
                </c:pt>
                <c:pt idx="4">
                  <c:v>0.68</c:v>
                </c:pt>
                <c:pt idx="5">
                  <c:v>0.13</c:v>
                </c:pt>
              </c:numCache>
            </c:numRef>
          </c:val>
          <c:extLst>
            <c:ext xmlns:c16="http://schemas.microsoft.com/office/drawing/2014/chart" uri="{C3380CC4-5D6E-409C-BE32-E72D297353CC}">
              <c16:uniqueId val="{00000000-B52C-4EE0-A601-71DDB0E47C8D}"/>
            </c:ext>
          </c:extLst>
        </c:ser>
        <c:ser>
          <c:idx val="1"/>
          <c:order val="1"/>
          <c:tx>
            <c:strRef>
              <c:f>'Ark1'!$C$1</c:f>
              <c:strCache>
                <c:ptCount val="1"/>
                <c:pt idx="0">
                  <c:v>Sjelden</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DDB-4206-875C-D58603BF31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Digitale læringsplattformer (f. eks. Canvas, Blackboard, ItsLearning, MedEasy)</c:v>
                </c:pt>
                <c:pt idx="1">
                  <c:v>Fagrelevant bruk av programvare (f. eks. Excel, Stata, R, Python, Sibelius, Adobe)</c:v>
                </c:pt>
                <c:pt idx="2">
                  <c:v>Studentaktiviserende verktøy mellom student og underviser (f. eks. Quizlet, Kahoot, Mentimeter)</c:v>
                </c:pt>
                <c:pt idx="3">
                  <c:v>Samhandlingsverktøy mellom studenter (f. eks. Google Drive/Docs, GitHub, Discord)</c:v>
                </c:pt>
                <c:pt idx="4">
                  <c:v>Verktøy som simulerer praksissituasjon eller lignende (f. eks. VR-teknologi, medisinske treningsdukker, språkteknologi)</c:v>
                </c:pt>
                <c:pt idx="5">
                  <c:v>Undervisning i digitalt format (f. eks. podcast, streaming, videopptak)</c:v>
                </c:pt>
              </c:strCache>
            </c:strRef>
          </c:cat>
          <c:val>
            <c:numRef>
              <c:f>'Ark1'!$C$2:$C$7</c:f>
              <c:numCache>
                <c:formatCode>0%</c:formatCode>
                <c:ptCount val="6"/>
                <c:pt idx="0">
                  <c:v>0.05</c:v>
                </c:pt>
                <c:pt idx="1">
                  <c:v>0.23</c:v>
                </c:pt>
                <c:pt idx="2">
                  <c:v>0.4</c:v>
                </c:pt>
                <c:pt idx="3">
                  <c:v>0.18</c:v>
                </c:pt>
                <c:pt idx="4">
                  <c:v>0.19</c:v>
                </c:pt>
                <c:pt idx="5">
                  <c:v>0.32</c:v>
                </c:pt>
              </c:numCache>
            </c:numRef>
          </c:val>
          <c:extLst>
            <c:ext xmlns:c16="http://schemas.microsoft.com/office/drawing/2014/chart" uri="{C3380CC4-5D6E-409C-BE32-E72D297353CC}">
              <c16:uniqueId val="{00000001-B52C-4EE0-A601-71DDB0E47C8D}"/>
            </c:ext>
          </c:extLst>
        </c:ser>
        <c:ser>
          <c:idx val="2"/>
          <c:order val="2"/>
          <c:tx>
            <c:strRef>
              <c:f>'Ark1'!$D$1</c:f>
              <c:strCache>
                <c:ptCount val="1"/>
                <c:pt idx="0">
                  <c:v>Av og til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Digitale læringsplattformer (f. eks. Canvas, Blackboard, ItsLearning, MedEasy)</c:v>
                </c:pt>
                <c:pt idx="1">
                  <c:v>Fagrelevant bruk av programvare (f. eks. Excel, Stata, R, Python, Sibelius, Adobe)</c:v>
                </c:pt>
                <c:pt idx="2">
                  <c:v>Studentaktiviserende verktøy mellom student og underviser (f. eks. Quizlet, Kahoot, Mentimeter)</c:v>
                </c:pt>
                <c:pt idx="3">
                  <c:v>Samhandlingsverktøy mellom studenter (f. eks. Google Drive/Docs, GitHub, Discord)</c:v>
                </c:pt>
                <c:pt idx="4">
                  <c:v>Verktøy som simulerer praksissituasjon eller lignende (f. eks. VR-teknologi, medisinske treningsdukker, språkteknologi)</c:v>
                </c:pt>
                <c:pt idx="5">
                  <c:v>Undervisning i digitalt format (f. eks. podcast, streaming, videopptak)</c:v>
                </c:pt>
              </c:strCache>
            </c:strRef>
          </c:cat>
          <c:val>
            <c:numRef>
              <c:f>'Ark1'!$D$2:$D$7</c:f>
              <c:numCache>
                <c:formatCode>0%</c:formatCode>
                <c:ptCount val="6"/>
                <c:pt idx="0">
                  <c:v>0.14000000000000001</c:v>
                </c:pt>
                <c:pt idx="1">
                  <c:v>0.24</c:v>
                </c:pt>
                <c:pt idx="2">
                  <c:v>0.32</c:v>
                </c:pt>
                <c:pt idx="3">
                  <c:v>0.33</c:v>
                </c:pt>
                <c:pt idx="4">
                  <c:v>0.1</c:v>
                </c:pt>
                <c:pt idx="5">
                  <c:v>0.35</c:v>
                </c:pt>
              </c:numCache>
            </c:numRef>
          </c:val>
          <c:extLst>
            <c:ext xmlns:c16="http://schemas.microsoft.com/office/drawing/2014/chart" uri="{C3380CC4-5D6E-409C-BE32-E72D297353CC}">
              <c16:uniqueId val="{00000002-B52C-4EE0-A601-71DDB0E47C8D}"/>
            </c:ext>
          </c:extLst>
        </c:ser>
        <c:ser>
          <c:idx val="3"/>
          <c:order val="3"/>
          <c:tx>
            <c:strRef>
              <c:f>'Ark1'!$E$1</c:f>
              <c:strCache>
                <c:ptCount val="1"/>
                <c:pt idx="0">
                  <c:v>Ofte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Digitale læringsplattformer (f. eks. Canvas, Blackboard, ItsLearning, MedEasy)</c:v>
                </c:pt>
                <c:pt idx="1">
                  <c:v>Fagrelevant bruk av programvare (f. eks. Excel, Stata, R, Python, Sibelius, Adobe)</c:v>
                </c:pt>
                <c:pt idx="2">
                  <c:v>Studentaktiviserende verktøy mellom student og underviser (f. eks. Quizlet, Kahoot, Mentimeter)</c:v>
                </c:pt>
                <c:pt idx="3">
                  <c:v>Samhandlingsverktøy mellom studenter (f. eks. Google Drive/Docs, GitHub, Discord)</c:v>
                </c:pt>
                <c:pt idx="4">
                  <c:v>Verktøy som simulerer praksissituasjon eller lignende (f. eks. VR-teknologi, medisinske treningsdukker, språkteknologi)</c:v>
                </c:pt>
                <c:pt idx="5">
                  <c:v>Undervisning i digitalt format (f. eks. podcast, streaming, videopptak)</c:v>
                </c:pt>
              </c:strCache>
            </c:strRef>
          </c:cat>
          <c:val>
            <c:numRef>
              <c:f>'Ark1'!$E$2:$E$7</c:f>
              <c:numCache>
                <c:formatCode>0%</c:formatCode>
                <c:ptCount val="6"/>
                <c:pt idx="0">
                  <c:v>0.79</c:v>
                </c:pt>
                <c:pt idx="1">
                  <c:v>0.28999999999999998</c:v>
                </c:pt>
                <c:pt idx="2">
                  <c:v>7.0000000000000007E-2</c:v>
                </c:pt>
                <c:pt idx="3">
                  <c:v>0.37</c:v>
                </c:pt>
                <c:pt idx="4">
                  <c:v>0.04</c:v>
                </c:pt>
                <c:pt idx="5">
                  <c:v>0.2</c:v>
                </c:pt>
              </c:numCache>
            </c:numRef>
          </c:val>
          <c:extLst>
            <c:ext xmlns:c16="http://schemas.microsoft.com/office/drawing/2014/chart" uri="{C3380CC4-5D6E-409C-BE32-E72D297353CC}">
              <c16:uniqueId val="{00000003-B52C-4EE0-A601-71DDB0E47C8D}"/>
            </c:ext>
          </c:extLst>
        </c:ser>
        <c:dLbls>
          <c:dLblPos val="ctr"/>
          <c:showLegendKey val="0"/>
          <c:showVal val="1"/>
          <c:showCatName val="0"/>
          <c:showSerName val="0"/>
          <c:showPercent val="0"/>
          <c:showBubbleSize val="0"/>
        </c:dLbls>
        <c:gapWidth val="150"/>
        <c:overlap val="100"/>
        <c:axId val="28887424"/>
        <c:axId val="35115760"/>
      </c:barChart>
      <c:catAx>
        <c:axId val="2888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115760"/>
        <c:crosses val="autoZero"/>
        <c:auto val="1"/>
        <c:lblAlgn val="ctr"/>
        <c:lblOffset val="100"/>
        <c:noMultiLvlLbl val="0"/>
      </c:catAx>
      <c:valAx>
        <c:axId val="35115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88874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Oversikt_digital_eksamen_HKDIR_!$A$3</c:f>
              <c:strCache>
                <c:ptCount val="1"/>
                <c:pt idx="0">
                  <c:v>Digital</c:v>
                </c:pt>
              </c:strCache>
            </c:strRef>
          </c:tx>
          <c:spPr>
            <a:ln w="28575" cap="rnd">
              <a:solidFill>
                <a:schemeClr val="accent1"/>
              </a:solidFill>
              <a:round/>
            </a:ln>
            <a:effectLst/>
          </c:spPr>
          <c:marker>
            <c:symbol val="none"/>
          </c:marker>
          <c:cat>
            <c:numRef>
              <c:f>Oversikt_digital_eksamen_HKDIR_!$B$2:$F$2</c:f>
              <c:numCache>
                <c:formatCode>General</c:formatCode>
                <c:ptCount val="5"/>
                <c:pt idx="0">
                  <c:v>2018</c:v>
                </c:pt>
                <c:pt idx="1">
                  <c:v>2019</c:v>
                </c:pt>
                <c:pt idx="2">
                  <c:v>2020</c:v>
                </c:pt>
                <c:pt idx="3">
                  <c:v>2021</c:v>
                </c:pt>
                <c:pt idx="4">
                  <c:v>2022</c:v>
                </c:pt>
              </c:numCache>
            </c:numRef>
          </c:cat>
          <c:val>
            <c:numRef>
              <c:f>Oversikt_digital_eksamen_HKDIR_!$B$3:$F$3</c:f>
              <c:numCache>
                <c:formatCode>0</c:formatCode>
                <c:ptCount val="5"/>
                <c:pt idx="0">
                  <c:v>22629</c:v>
                </c:pt>
                <c:pt idx="1">
                  <c:v>26760</c:v>
                </c:pt>
                <c:pt idx="2">
                  <c:v>34548</c:v>
                </c:pt>
                <c:pt idx="3">
                  <c:v>35907</c:v>
                </c:pt>
                <c:pt idx="4">
                  <c:v>36399</c:v>
                </c:pt>
              </c:numCache>
            </c:numRef>
          </c:val>
          <c:smooth val="0"/>
          <c:extLst>
            <c:ext xmlns:c16="http://schemas.microsoft.com/office/drawing/2014/chart" uri="{C3380CC4-5D6E-409C-BE32-E72D297353CC}">
              <c16:uniqueId val="{00000000-E2D1-4552-99AF-E706F33BE561}"/>
            </c:ext>
          </c:extLst>
        </c:ser>
        <c:ser>
          <c:idx val="1"/>
          <c:order val="1"/>
          <c:tx>
            <c:strRef>
              <c:f>Oversikt_digital_eksamen_HKDIR_!$A$4</c:f>
              <c:strCache>
                <c:ptCount val="1"/>
                <c:pt idx="0">
                  <c:v>Ikke-digital</c:v>
                </c:pt>
              </c:strCache>
            </c:strRef>
          </c:tx>
          <c:spPr>
            <a:ln w="28575" cap="rnd">
              <a:solidFill>
                <a:schemeClr val="accent2"/>
              </a:solidFill>
              <a:round/>
            </a:ln>
            <a:effectLst/>
          </c:spPr>
          <c:marker>
            <c:symbol val="none"/>
          </c:marker>
          <c:cat>
            <c:numRef>
              <c:f>Oversikt_digital_eksamen_HKDIR_!$B$2:$F$2</c:f>
              <c:numCache>
                <c:formatCode>General</c:formatCode>
                <c:ptCount val="5"/>
                <c:pt idx="0">
                  <c:v>2018</c:v>
                </c:pt>
                <c:pt idx="1">
                  <c:v>2019</c:v>
                </c:pt>
                <c:pt idx="2">
                  <c:v>2020</c:v>
                </c:pt>
                <c:pt idx="3">
                  <c:v>2021</c:v>
                </c:pt>
                <c:pt idx="4">
                  <c:v>2022</c:v>
                </c:pt>
              </c:numCache>
            </c:numRef>
          </c:cat>
          <c:val>
            <c:numRef>
              <c:f>Oversikt_digital_eksamen_HKDIR_!$B$4:$F$4</c:f>
              <c:numCache>
                <c:formatCode>0</c:formatCode>
                <c:ptCount val="5"/>
                <c:pt idx="0">
                  <c:v>21486</c:v>
                </c:pt>
                <c:pt idx="1">
                  <c:v>17704</c:v>
                </c:pt>
                <c:pt idx="2">
                  <c:v>10251</c:v>
                </c:pt>
                <c:pt idx="3">
                  <c:v>9829</c:v>
                </c:pt>
                <c:pt idx="4">
                  <c:v>10607</c:v>
                </c:pt>
              </c:numCache>
            </c:numRef>
          </c:val>
          <c:smooth val="0"/>
          <c:extLst>
            <c:ext xmlns:c16="http://schemas.microsoft.com/office/drawing/2014/chart" uri="{C3380CC4-5D6E-409C-BE32-E72D297353CC}">
              <c16:uniqueId val="{00000001-E2D1-4552-99AF-E706F33BE561}"/>
            </c:ext>
          </c:extLst>
        </c:ser>
        <c:dLbls>
          <c:showLegendKey val="0"/>
          <c:showVal val="0"/>
          <c:showCatName val="0"/>
          <c:showSerName val="0"/>
          <c:showPercent val="0"/>
          <c:showBubbleSize val="0"/>
        </c:dLbls>
        <c:smooth val="0"/>
        <c:axId val="478451103"/>
        <c:axId val="478447263"/>
      </c:lineChart>
      <c:catAx>
        <c:axId val="478451103"/>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78447263"/>
        <c:crosses val="autoZero"/>
        <c:auto val="1"/>
        <c:lblAlgn val="ctr"/>
        <c:lblOffset val="100"/>
        <c:noMultiLvlLbl val="0"/>
      </c:catAx>
      <c:valAx>
        <c:axId val="478447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7845110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'[KU21_fagfelt.xlsx]Figur Tidsserie relevant'!$B$5</c:f>
              <c:strCache>
                <c:ptCount val="1"/>
                <c:pt idx="0">
                  <c:v>2017</c:v>
                </c:pt>
              </c:strCache>
            </c:strRef>
          </c:tx>
          <c:spPr>
            <a:solidFill>
              <a:schemeClr val="accent1"/>
            </a:solidFill>
            <a:ln>
              <a:noFill/>
            </a:ln>
            <a:effectLst/>
          </c:spPr>
          <c:invertIfNegative val="0"/>
          <c:cat>
            <c:strRef>
              <c:f>'[KU21_fagfelt.xlsx]Figur Tidsserie relevant'!$A$6:$A$16</c:f>
              <c:strCache>
                <c:ptCount val="11"/>
                <c:pt idx="0">
                  <c:v>Samferdsels- og sikkerhetsfag og andre servicefag</c:v>
                </c:pt>
                <c:pt idx="1">
                  <c:v>Primærnæringsfag</c:v>
                </c:pt>
                <c:pt idx="2">
                  <c:v>Idrettsfag</c:v>
                </c:pt>
                <c:pt idx="3">
                  <c:v>Helse- og sosialfag</c:v>
                </c:pt>
                <c:pt idx="4">
                  <c:v>Teknologiske fag/sivilingeniør</c:v>
                </c:pt>
                <c:pt idx="5">
                  <c:v>Natur- og realfag</c:v>
                </c:pt>
                <c:pt idx="6">
                  <c:v>Økonomiske og administrative fag</c:v>
                </c:pt>
                <c:pt idx="7">
                  <c:v>Juridiske fag</c:v>
                </c:pt>
                <c:pt idx="8">
                  <c:v>Samfunnsfag</c:v>
                </c:pt>
                <c:pt idx="9">
                  <c:v>Lærerutd. og utd. i pedagogikk</c:v>
                </c:pt>
                <c:pt idx="10">
                  <c:v>Humanistiske og estetiske fag</c:v>
                </c:pt>
              </c:strCache>
            </c:strRef>
          </c:cat>
          <c:val>
            <c:numRef>
              <c:f>'[KU21_fagfelt.xlsx]Figur Tidsserie relevant'!$B$6:$B$16</c:f>
              <c:numCache>
                <c:formatCode>0.0\ %</c:formatCode>
                <c:ptCount val="11"/>
                <c:pt idx="0">
                  <c:v>0.81690140845070403</c:v>
                </c:pt>
                <c:pt idx="1">
                  <c:v>0.64814814814814803</c:v>
                </c:pt>
                <c:pt idx="2">
                  <c:v>0.75</c:v>
                </c:pt>
                <c:pt idx="3">
                  <c:v>0.85762711864406804</c:v>
                </c:pt>
                <c:pt idx="4">
                  <c:v>0.72699386503067498</c:v>
                </c:pt>
                <c:pt idx="5">
                  <c:v>0.690875232774674</c:v>
                </c:pt>
                <c:pt idx="6">
                  <c:v>0.86609686609686598</c:v>
                </c:pt>
                <c:pt idx="7">
                  <c:v>0.80813953488372103</c:v>
                </c:pt>
                <c:pt idx="8">
                  <c:v>0.70578231292517002</c:v>
                </c:pt>
                <c:pt idx="9">
                  <c:v>0.85557586837294297</c:v>
                </c:pt>
                <c:pt idx="10">
                  <c:v>0.68410041841004199</c:v>
                </c:pt>
              </c:numCache>
            </c:numRef>
          </c:val>
          <c:extLst>
            <c:ext xmlns:c16="http://schemas.microsoft.com/office/drawing/2014/chart" uri="{C3380CC4-5D6E-409C-BE32-E72D297353CC}">
              <c16:uniqueId val="{00000000-BDEE-48C8-ACC7-49FE13AAEDEE}"/>
            </c:ext>
          </c:extLst>
        </c:ser>
        <c:ser>
          <c:idx val="1"/>
          <c:order val="1"/>
          <c:tx>
            <c:strRef>
              <c:f>'[KU21_fagfelt.xlsx]Figur Tidsserie relevant'!$C$5</c:f>
              <c:strCache>
                <c:ptCount val="1"/>
                <c:pt idx="0">
                  <c:v>2019</c:v>
                </c:pt>
              </c:strCache>
            </c:strRef>
          </c:tx>
          <c:spPr>
            <a:solidFill>
              <a:schemeClr val="accent2"/>
            </a:solidFill>
            <a:ln>
              <a:noFill/>
            </a:ln>
            <a:effectLst/>
          </c:spPr>
          <c:invertIfNegative val="0"/>
          <c:cat>
            <c:strRef>
              <c:f>'[KU21_fagfelt.xlsx]Figur Tidsserie relevant'!$A$6:$A$16</c:f>
              <c:strCache>
                <c:ptCount val="11"/>
                <c:pt idx="0">
                  <c:v>Samferdsels- og sikkerhetsfag og andre servicefag</c:v>
                </c:pt>
                <c:pt idx="1">
                  <c:v>Primærnæringsfag</c:v>
                </c:pt>
                <c:pt idx="2">
                  <c:v>Idrettsfag</c:v>
                </c:pt>
                <c:pt idx="3">
                  <c:v>Helse- og sosialfag</c:v>
                </c:pt>
                <c:pt idx="4">
                  <c:v>Teknologiske fag/sivilingeniør</c:v>
                </c:pt>
                <c:pt idx="5">
                  <c:v>Natur- og realfag</c:v>
                </c:pt>
                <c:pt idx="6">
                  <c:v>Økonomiske og administrative fag</c:v>
                </c:pt>
                <c:pt idx="7">
                  <c:v>Juridiske fag</c:v>
                </c:pt>
                <c:pt idx="8">
                  <c:v>Samfunnsfag</c:v>
                </c:pt>
                <c:pt idx="9">
                  <c:v>Lærerutd. og utd. i pedagogikk</c:v>
                </c:pt>
                <c:pt idx="10">
                  <c:v>Humanistiske og estetiske fag</c:v>
                </c:pt>
              </c:strCache>
            </c:strRef>
          </c:cat>
          <c:val>
            <c:numRef>
              <c:f>'[KU21_fagfelt.xlsx]Figur Tidsserie relevant'!$C$6:$C$16</c:f>
              <c:numCache>
                <c:formatCode>0.0\ %</c:formatCode>
                <c:ptCount val="11"/>
                <c:pt idx="0">
                  <c:v>0.91525423699999997</c:v>
                </c:pt>
                <c:pt idx="1">
                  <c:v>0.82857142900000003</c:v>
                </c:pt>
                <c:pt idx="2">
                  <c:v>0.63793103399999995</c:v>
                </c:pt>
                <c:pt idx="3">
                  <c:v>0.84232365099999995</c:v>
                </c:pt>
                <c:pt idx="4">
                  <c:v>0.88421052600000005</c:v>
                </c:pt>
                <c:pt idx="5">
                  <c:v>0.758099352</c:v>
                </c:pt>
                <c:pt idx="6">
                  <c:v>0.905405405</c:v>
                </c:pt>
                <c:pt idx="7">
                  <c:v>0.85875706200000002</c:v>
                </c:pt>
                <c:pt idx="8">
                  <c:v>0.76600000000000001</c:v>
                </c:pt>
                <c:pt idx="9">
                  <c:v>0.84885764500000005</c:v>
                </c:pt>
                <c:pt idx="10">
                  <c:v>0.69767441900000005</c:v>
                </c:pt>
              </c:numCache>
            </c:numRef>
          </c:val>
          <c:extLst>
            <c:ext xmlns:c16="http://schemas.microsoft.com/office/drawing/2014/chart" uri="{C3380CC4-5D6E-409C-BE32-E72D297353CC}">
              <c16:uniqueId val="{00000001-BDEE-48C8-ACC7-49FE13AAEDEE}"/>
            </c:ext>
          </c:extLst>
        </c:ser>
        <c:ser>
          <c:idx val="2"/>
          <c:order val="2"/>
          <c:tx>
            <c:strRef>
              <c:f>'[KU21_fagfelt.xlsx]Figur Tidsserie relevant'!$D$5</c:f>
              <c:strCache>
                <c:ptCount val="1"/>
                <c:pt idx="0">
                  <c:v>2020</c:v>
                </c:pt>
              </c:strCache>
            </c:strRef>
          </c:tx>
          <c:spPr>
            <a:solidFill>
              <a:schemeClr val="accent3"/>
            </a:solidFill>
            <a:ln>
              <a:noFill/>
            </a:ln>
            <a:effectLst/>
          </c:spPr>
          <c:invertIfNegative val="0"/>
          <c:cat>
            <c:strRef>
              <c:f>'[KU21_fagfelt.xlsx]Figur Tidsserie relevant'!$A$6:$A$16</c:f>
              <c:strCache>
                <c:ptCount val="11"/>
                <c:pt idx="0">
                  <c:v>Samferdsels- og sikkerhetsfag og andre servicefag</c:v>
                </c:pt>
                <c:pt idx="1">
                  <c:v>Primærnæringsfag</c:v>
                </c:pt>
                <c:pt idx="2">
                  <c:v>Idrettsfag</c:v>
                </c:pt>
                <c:pt idx="3">
                  <c:v>Helse- og sosialfag</c:v>
                </c:pt>
                <c:pt idx="4">
                  <c:v>Teknologiske fag/sivilingeniør</c:v>
                </c:pt>
                <c:pt idx="5">
                  <c:v>Natur- og realfag</c:v>
                </c:pt>
                <c:pt idx="6">
                  <c:v>Økonomiske og administrative fag</c:v>
                </c:pt>
                <c:pt idx="7">
                  <c:v>Juridiske fag</c:v>
                </c:pt>
                <c:pt idx="8">
                  <c:v>Samfunnsfag</c:v>
                </c:pt>
                <c:pt idx="9">
                  <c:v>Lærerutd. og utd. i pedagogikk</c:v>
                </c:pt>
                <c:pt idx="10">
                  <c:v>Humanistiske og estetiske fag</c:v>
                </c:pt>
              </c:strCache>
            </c:strRef>
          </c:cat>
          <c:val>
            <c:numRef>
              <c:f>'[KU21_fagfelt.xlsx]Figur Tidsserie relevant'!$D$6:$D$16</c:f>
              <c:numCache>
                <c:formatCode>0.0\ %</c:formatCode>
                <c:ptCount val="11"/>
                <c:pt idx="0">
                  <c:v>0.76400000000000001</c:v>
                </c:pt>
                <c:pt idx="1">
                  <c:v>0.81499999999999995</c:v>
                </c:pt>
                <c:pt idx="2">
                  <c:v>0.65300000000000002</c:v>
                </c:pt>
                <c:pt idx="3">
                  <c:v>0.83899999999999997</c:v>
                </c:pt>
                <c:pt idx="4">
                  <c:v>0.82899999999999996</c:v>
                </c:pt>
                <c:pt idx="5">
                  <c:v>0.69799999999999995</c:v>
                </c:pt>
                <c:pt idx="6">
                  <c:v>0.85699999999999998</c:v>
                </c:pt>
                <c:pt idx="7">
                  <c:v>0.86399999999999999</c:v>
                </c:pt>
                <c:pt idx="8">
                  <c:v>0.72399999999999998</c:v>
                </c:pt>
                <c:pt idx="9">
                  <c:v>0.81799999999999995</c:v>
                </c:pt>
                <c:pt idx="10">
                  <c:v>0.61899999999999999</c:v>
                </c:pt>
              </c:numCache>
            </c:numRef>
          </c:val>
          <c:extLst>
            <c:ext xmlns:c16="http://schemas.microsoft.com/office/drawing/2014/chart" uri="{C3380CC4-5D6E-409C-BE32-E72D297353CC}">
              <c16:uniqueId val="{00000002-BDEE-48C8-ACC7-49FE13AAEDEE}"/>
            </c:ext>
          </c:extLst>
        </c:ser>
        <c:ser>
          <c:idx val="3"/>
          <c:order val="3"/>
          <c:tx>
            <c:strRef>
              <c:f>'[KU21_fagfelt.xlsx]Figur Tidsserie relevant'!$E$5</c:f>
              <c:strCache>
                <c:ptCount val="1"/>
                <c:pt idx="0">
                  <c:v>2021</c:v>
                </c:pt>
              </c:strCache>
            </c:strRef>
          </c:tx>
          <c:spPr>
            <a:solidFill>
              <a:schemeClr val="accent4"/>
            </a:solidFill>
            <a:ln>
              <a:noFill/>
            </a:ln>
            <a:effectLst/>
          </c:spPr>
          <c:invertIfNegative val="0"/>
          <c:cat>
            <c:strRef>
              <c:f>'[KU21_fagfelt.xlsx]Figur Tidsserie relevant'!$A$6:$A$16</c:f>
              <c:strCache>
                <c:ptCount val="11"/>
                <c:pt idx="0">
                  <c:v>Samferdsels- og sikkerhetsfag og andre servicefag</c:v>
                </c:pt>
                <c:pt idx="1">
                  <c:v>Primærnæringsfag</c:v>
                </c:pt>
                <c:pt idx="2">
                  <c:v>Idrettsfag</c:v>
                </c:pt>
                <c:pt idx="3">
                  <c:v>Helse- og sosialfag</c:v>
                </c:pt>
                <c:pt idx="4">
                  <c:v>Teknologiske fag/sivilingeniør</c:v>
                </c:pt>
                <c:pt idx="5">
                  <c:v>Natur- og realfag</c:v>
                </c:pt>
                <c:pt idx="6">
                  <c:v>Økonomiske og administrative fag</c:v>
                </c:pt>
                <c:pt idx="7">
                  <c:v>Juridiske fag</c:v>
                </c:pt>
                <c:pt idx="8">
                  <c:v>Samfunnsfag</c:v>
                </c:pt>
                <c:pt idx="9">
                  <c:v>Lærerutd. og utd. i pedagogikk</c:v>
                </c:pt>
                <c:pt idx="10">
                  <c:v>Humanistiske og estetiske fag</c:v>
                </c:pt>
              </c:strCache>
            </c:strRef>
          </c:cat>
          <c:val>
            <c:numRef>
              <c:f>'[KU21_fagfelt.xlsx]Figur Tidsserie relevant'!$E$6:$E$16</c:f>
              <c:numCache>
                <c:formatCode>0.0\ %</c:formatCode>
                <c:ptCount val="11"/>
                <c:pt idx="0">
                  <c:v>0.86799999999999999</c:v>
                </c:pt>
                <c:pt idx="1">
                  <c:v>0.89700000000000002</c:v>
                </c:pt>
                <c:pt idx="2">
                  <c:v>0.76900000000000002</c:v>
                </c:pt>
                <c:pt idx="3">
                  <c:v>0.91200000000000003</c:v>
                </c:pt>
                <c:pt idx="4">
                  <c:v>0.85599999999999998</c:v>
                </c:pt>
                <c:pt idx="5">
                  <c:v>0.79</c:v>
                </c:pt>
                <c:pt idx="6">
                  <c:v>0.93100000000000005</c:v>
                </c:pt>
                <c:pt idx="7">
                  <c:v>0.89400000000000002</c:v>
                </c:pt>
                <c:pt idx="8">
                  <c:v>0.84699999999999998</c:v>
                </c:pt>
                <c:pt idx="9">
                  <c:v>0.91200000000000003</c:v>
                </c:pt>
                <c:pt idx="10">
                  <c:v>0.745</c:v>
                </c:pt>
              </c:numCache>
            </c:numRef>
          </c:val>
          <c:extLst>
            <c:ext xmlns:c16="http://schemas.microsoft.com/office/drawing/2014/chart" uri="{C3380CC4-5D6E-409C-BE32-E72D297353CC}">
              <c16:uniqueId val="{00000003-BDEE-48C8-ACC7-49FE13AAEDEE}"/>
            </c:ext>
          </c:extLst>
        </c:ser>
        <c:dLbls>
          <c:showLegendKey val="0"/>
          <c:showVal val="0"/>
          <c:showCatName val="0"/>
          <c:showSerName val="0"/>
          <c:showPercent val="0"/>
          <c:showBubbleSize val="0"/>
        </c:dLbls>
        <c:gapWidth val="182"/>
        <c:axId val="1335652719"/>
        <c:axId val="1334690255"/>
      </c:barChart>
      <c:catAx>
        <c:axId val="133565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4690255"/>
        <c:crosses val="autoZero"/>
        <c:auto val="1"/>
        <c:lblAlgn val="ctr"/>
        <c:lblOffset val="100"/>
        <c:noMultiLvlLbl val="0"/>
      </c:catAx>
      <c:valAx>
        <c:axId val="13346902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565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'B1'!$O$25</c:f>
              <c:strCache>
                <c:ptCount val="1"/>
                <c:pt idx="0">
                  <c:v>Andel innvandrere og norskfødte med innvandrerforeldre totalt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'B1'!$N$26:$N$35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'B1'!$O$26:$O$35</c:f>
              <c:numCache>
                <c:formatCode>0%</c:formatCode>
                <c:ptCount val="10"/>
                <c:pt idx="0">
                  <c:v>0.12069857135525842</c:v>
                </c:pt>
                <c:pt idx="1">
                  <c:v>0.12519367106436921</c:v>
                </c:pt>
                <c:pt idx="2">
                  <c:v>0.13261744261113698</c:v>
                </c:pt>
                <c:pt idx="3">
                  <c:v>0.13140355821350014</c:v>
                </c:pt>
                <c:pt idx="4">
                  <c:v>0.1331594852271131</c:v>
                </c:pt>
                <c:pt idx="5">
                  <c:v>0.14251582630939807</c:v>
                </c:pt>
                <c:pt idx="6">
                  <c:v>0.14767378293373848</c:v>
                </c:pt>
                <c:pt idx="7">
                  <c:v>0.15380727647745823</c:v>
                </c:pt>
                <c:pt idx="8">
                  <c:v>0.15518638175049609</c:v>
                </c:pt>
                <c:pt idx="9">
                  <c:v>0.16237427587943917</c:v>
                </c:pt>
              </c:numCache>
            </c:numRef>
          </c:val>
          <c:smooth val="0"/>
          <c:extLst>
            <c:ext xmlns:c16="http://schemas.microsoft.com/office/drawing/2014/chart" uri="{C3380CC4-5D6E-409C-BE32-E72D297353CC}">
              <c16:uniqueId val="{00000000-CC48-4810-9E3A-5966AFE71764}"/>
            </c:ext>
          </c:extLst>
        </c:ser>
        <c:ser>
          <c:idx val="2"/>
          <c:order val="1"/>
          <c:tx>
            <c:strRef>
              <c:f>'B1'!$P$25</c:f>
              <c:strCache>
                <c:ptCount val="1"/>
                <c:pt idx="0">
                  <c:v>Andel gruppe 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'B1'!$N$26:$N$35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'B1'!$P$26:$P$35</c:f>
              <c:numCache>
                <c:formatCode>0%</c:formatCode>
                <c:ptCount val="10"/>
                <c:pt idx="0">
                  <c:v>3.3728490389511957E-2</c:v>
                </c:pt>
                <c:pt idx="1">
                  <c:v>3.5193358060628822E-2</c:v>
                </c:pt>
                <c:pt idx="2">
                  <c:v>3.8269250979626766E-2</c:v>
                </c:pt>
                <c:pt idx="3">
                  <c:v>3.6998539675800711E-2</c:v>
                </c:pt>
                <c:pt idx="4">
                  <c:v>3.6616157068402266E-2</c:v>
                </c:pt>
                <c:pt idx="5">
                  <c:v>3.9632240401819396E-2</c:v>
                </c:pt>
                <c:pt idx="6">
                  <c:v>3.8860213984991232E-2</c:v>
                </c:pt>
                <c:pt idx="7">
                  <c:v>3.9329449449175984E-2</c:v>
                </c:pt>
                <c:pt idx="8">
                  <c:v>3.9296784033324039E-2</c:v>
                </c:pt>
                <c:pt idx="9">
                  <c:v>3.9173872890605324E-2</c:v>
                </c:pt>
              </c:numCache>
            </c:numRef>
          </c:val>
          <c:smooth val="0"/>
          <c:extLst>
            <c:ext xmlns:c16="http://schemas.microsoft.com/office/drawing/2014/chart" uri="{C3380CC4-5D6E-409C-BE32-E72D297353CC}">
              <c16:uniqueId val="{00000001-CC48-4810-9E3A-5966AFE71764}"/>
            </c:ext>
          </c:extLst>
        </c:ser>
        <c:ser>
          <c:idx val="3"/>
          <c:order val="2"/>
          <c:tx>
            <c:strRef>
              <c:f>'B1'!$Q$25</c:f>
              <c:strCache>
                <c:ptCount val="1"/>
                <c:pt idx="0">
                  <c:v>Andel gruppe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'B1'!$N$26:$N$35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'B1'!$Q$26:$Q$35</c:f>
              <c:numCache>
                <c:formatCode>0%</c:formatCode>
                <c:ptCount val="10"/>
                <c:pt idx="0">
                  <c:v>8.6970080965746474E-2</c:v>
                </c:pt>
                <c:pt idx="1">
                  <c:v>9.0000313003740395E-2</c:v>
                </c:pt>
                <c:pt idx="2">
                  <c:v>9.4348191631510203E-2</c:v>
                </c:pt>
                <c:pt idx="3">
                  <c:v>9.440501853769942E-2</c:v>
                </c:pt>
                <c:pt idx="4">
                  <c:v>9.6543328158710834E-2</c:v>
                </c:pt>
                <c:pt idx="5">
                  <c:v>0.10288358590757866</c:v>
                </c:pt>
                <c:pt idx="6">
                  <c:v>0.10881356894874726</c:v>
                </c:pt>
                <c:pt idx="7">
                  <c:v>0.11447782702828224</c:v>
                </c:pt>
                <c:pt idx="8">
                  <c:v>0.11588959771717205</c:v>
                </c:pt>
                <c:pt idx="9">
                  <c:v>0.12319704474855175</c:v>
                </c:pt>
              </c:numCache>
            </c:numRef>
          </c:val>
          <c:smooth val="0"/>
          <c:extLst>
            <c:ext xmlns:c16="http://schemas.microsoft.com/office/drawing/2014/chart" uri="{C3380CC4-5D6E-409C-BE32-E72D297353CC}">
              <c16:uniqueId val="{00000002-CC48-4810-9E3A-5966AFE71764}"/>
            </c:ext>
          </c:extLst>
        </c:ser>
        <c:dLbls>
          <c:showLegendKey val="0"/>
          <c:showVal val="0"/>
          <c:showCatName val="0"/>
          <c:showSerName val="0"/>
          <c:showPercent val="0"/>
          <c:showBubbleSize val="0"/>
        </c:dLbls>
        <c:marker val="1"/>
        <c:smooth val="0"/>
        <c:axId val="929706671"/>
        <c:axId val="486453983"/>
      </c:lineChart>
      <c:catAx>
        <c:axId val="929706671"/>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6453983"/>
        <c:crosses val="autoZero"/>
        <c:auto val="1"/>
        <c:lblAlgn val="ctr"/>
        <c:lblOffset val="100"/>
        <c:noMultiLvlLbl val="0"/>
      </c:catAx>
      <c:valAx>
        <c:axId val="486453983"/>
        <c:scaling>
          <c:orientation val="minMax"/>
        </c:scaling>
        <c:delete val="0"/>
        <c:axPos val="l"/>
        <c:majorGridlines>
          <c:spPr>
            <a:ln w="9525" cap="flat" cmpd="sng" algn="ctr">
              <a:solidFill>
                <a:schemeClr val="accent3">
                  <a:lumMod val="40000"/>
                  <a:lumOff val="6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297066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4.6189376443418015E-2"/>
          <c:w val="0.87753018372703417"/>
          <c:h val="0.66536487788910914"/>
        </c:manualLayout>
      </c:layout>
      <c:lineChart>
        <c:grouping val="standard"/>
        <c:varyColors val="0"/>
        <c:ser>
          <c:idx val="0"/>
          <c:order val="0"/>
          <c:tx>
            <c:strRef>
              <c:f>'C1'!$A$221</c:f>
              <c:strCache>
                <c:ptCount val="1"/>
                <c:pt idx="0">
                  <c:v>Iran</c:v>
                </c:pt>
              </c:strCache>
            </c:strRef>
          </c:tx>
          <c:spPr>
            <a:ln w="28575" cap="rnd">
              <a:solidFill>
                <a:schemeClr val="accent1"/>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'C1'!$B$221:$K$221</c:f>
              <c:numCache>
                <c:formatCode>General</c:formatCode>
                <c:ptCount val="10"/>
                <c:pt idx="0">
                  <c:v>410</c:v>
                </c:pt>
                <c:pt idx="1">
                  <c:v>369</c:v>
                </c:pt>
                <c:pt idx="2">
                  <c:v>357</c:v>
                </c:pt>
                <c:pt idx="3">
                  <c:v>315</c:v>
                </c:pt>
                <c:pt idx="4">
                  <c:v>315</c:v>
                </c:pt>
                <c:pt idx="5">
                  <c:v>370</c:v>
                </c:pt>
                <c:pt idx="6">
                  <c:v>492</c:v>
                </c:pt>
                <c:pt idx="7">
                  <c:v>635</c:v>
                </c:pt>
                <c:pt idx="8">
                  <c:v>791</c:v>
                </c:pt>
                <c:pt idx="9">
                  <c:v>893</c:v>
                </c:pt>
              </c:numCache>
            </c:numRef>
          </c:val>
          <c:smooth val="0"/>
          <c:extLst>
            <c:ext xmlns:c16="http://schemas.microsoft.com/office/drawing/2014/chart" uri="{C3380CC4-5D6E-409C-BE32-E72D297353CC}">
              <c16:uniqueId val="{00000000-EC7E-45D2-B0C9-12886BD8C632}"/>
            </c:ext>
          </c:extLst>
        </c:ser>
        <c:ser>
          <c:idx val="1"/>
          <c:order val="1"/>
          <c:tx>
            <c:strRef>
              <c:f>'C1'!$A$222</c:f>
              <c:strCache>
                <c:ptCount val="1"/>
                <c:pt idx="0">
                  <c:v>Tyskland</c:v>
                </c:pt>
              </c:strCache>
            </c:strRef>
          </c:tx>
          <c:spPr>
            <a:ln w="28575" cap="rnd">
              <a:solidFill>
                <a:schemeClr val="accent2"/>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'C1'!$B$222:$K$222</c:f>
              <c:numCache>
                <c:formatCode>General</c:formatCode>
                <c:ptCount val="10"/>
                <c:pt idx="0">
                  <c:v>723</c:v>
                </c:pt>
                <c:pt idx="1">
                  <c:v>713</c:v>
                </c:pt>
                <c:pt idx="2">
                  <c:v>554</c:v>
                </c:pt>
                <c:pt idx="3">
                  <c:v>587</c:v>
                </c:pt>
                <c:pt idx="4">
                  <c:v>620</c:v>
                </c:pt>
                <c:pt idx="5">
                  <c:v>650</c:v>
                </c:pt>
                <c:pt idx="6">
                  <c:v>651</c:v>
                </c:pt>
                <c:pt idx="7">
                  <c:v>638</c:v>
                </c:pt>
                <c:pt idx="8">
                  <c:v>725</c:v>
                </c:pt>
                <c:pt idx="9">
                  <c:v>843</c:v>
                </c:pt>
              </c:numCache>
            </c:numRef>
          </c:val>
          <c:smooth val="0"/>
          <c:extLst>
            <c:ext xmlns:c16="http://schemas.microsoft.com/office/drawing/2014/chart" uri="{C3380CC4-5D6E-409C-BE32-E72D297353CC}">
              <c16:uniqueId val="{00000001-EC7E-45D2-B0C9-12886BD8C632}"/>
            </c:ext>
          </c:extLst>
        </c:ser>
        <c:ser>
          <c:idx val="2"/>
          <c:order val="2"/>
          <c:tx>
            <c:strRef>
              <c:f>'C1'!$A$223</c:f>
              <c:strCache>
                <c:ptCount val="1"/>
                <c:pt idx="0">
                  <c:v>Pakistan</c:v>
                </c:pt>
              </c:strCache>
            </c:strRef>
          </c:tx>
          <c:spPr>
            <a:ln w="28575" cap="rnd">
              <a:solidFill>
                <a:schemeClr val="accent3"/>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'C1'!$B$223:$K$223</c:f>
              <c:numCache>
                <c:formatCode>General</c:formatCode>
                <c:ptCount val="10"/>
                <c:pt idx="0">
                  <c:v>259</c:v>
                </c:pt>
                <c:pt idx="1">
                  <c:v>279</c:v>
                </c:pt>
                <c:pt idx="2">
                  <c:v>331</c:v>
                </c:pt>
                <c:pt idx="3">
                  <c:v>375</c:v>
                </c:pt>
                <c:pt idx="4">
                  <c:v>344</c:v>
                </c:pt>
                <c:pt idx="5">
                  <c:v>391</c:v>
                </c:pt>
                <c:pt idx="6">
                  <c:v>434</c:v>
                </c:pt>
                <c:pt idx="7">
                  <c:v>523</c:v>
                </c:pt>
                <c:pt idx="8">
                  <c:v>613</c:v>
                </c:pt>
                <c:pt idx="9">
                  <c:v>773</c:v>
                </c:pt>
              </c:numCache>
            </c:numRef>
          </c:val>
          <c:smooth val="0"/>
          <c:extLst>
            <c:ext xmlns:c16="http://schemas.microsoft.com/office/drawing/2014/chart" uri="{C3380CC4-5D6E-409C-BE32-E72D297353CC}">
              <c16:uniqueId val="{00000002-EC7E-45D2-B0C9-12886BD8C632}"/>
            </c:ext>
          </c:extLst>
        </c:ser>
        <c:ser>
          <c:idx val="3"/>
          <c:order val="3"/>
          <c:tx>
            <c:strRef>
              <c:f>'C1'!$A$224</c:f>
              <c:strCache>
                <c:ptCount val="1"/>
                <c:pt idx="0">
                  <c:v>Kina</c:v>
                </c:pt>
              </c:strCache>
            </c:strRef>
          </c:tx>
          <c:spPr>
            <a:ln w="28575" cap="rnd">
              <a:solidFill>
                <a:schemeClr val="accent4"/>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'C1'!$B$224:$K$224</c:f>
              <c:numCache>
                <c:formatCode>General</c:formatCode>
                <c:ptCount val="10"/>
                <c:pt idx="0">
                  <c:v>873</c:v>
                </c:pt>
                <c:pt idx="1">
                  <c:v>875</c:v>
                </c:pt>
                <c:pt idx="2">
                  <c:v>861</c:v>
                </c:pt>
                <c:pt idx="3">
                  <c:v>771</c:v>
                </c:pt>
                <c:pt idx="4">
                  <c:v>770</c:v>
                </c:pt>
                <c:pt idx="5">
                  <c:v>888</c:v>
                </c:pt>
                <c:pt idx="6">
                  <c:v>883</c:v>
                </c:pt>
                <c:pt idx="7">
                  <c:v>830</c:v>
                </c:pt>
                <c:pt idx="8">
                  <c:v>844</c:v>
                </c:pt>
                <c:pt idx="9">
                  <c:v>756</c:v>
                </c:pt>
              </c:numCache>
            </c:numRef>
          </c:val>
          <c:smooth val="0"/>
          <c:extLst>
            <c:ext xmlns:c16="http://schemas.microsoft.com/office/drawing/2014/chart" uri="{C3380CC4-5D6E-409C-BE32-E72D297353CC}">
              <c16:uniqueId val="{00000003-EC7E-45D2-B0C9-12886BD8C632}"/>
            </c:ext>
          </c:extLst>
        </c:ser>
        <c:ser>
          <c:idx val="4"/>
          <c:order val="4"/>
          <c:tx>
            <c:strRef>
              <c:f>'C1'!$A$225</c:f>
              <c:strCache>
                <c:ptCount val="1"/>
                <c:pt idx="0">
                  <c:v>Sverige</c:v>
                </c:pt>
              </c:strCache>
            </c:strRef>
          </c:tx>
          <c:spPr>
            <a:ln w="28575" cap="rnd">
              <a:solidFill>
                <a:schemeClr val="accent5"/>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'C1'!$B$225:$K$225</c:f>
              <c:numCache>
                <c:formatCode>General</c:formatCode>
                <c:ptCount val="10"/>
                <c:pt idx="0">
                  <c:v>1214</c:v>
                </c:pt>
                <c:pt idx="1">
                  <c:v>1272</c:v>
                </c:pt>
                <c:pt idx="2">
                  <c:v>1162</c:v>
                </c:pt>
                <c:pt idx="3">
                  <c:v>1032</c:v>
                </c:pt>
                <c:pt idx="4">
                  <c:v>871</c:v>
                </c:pt>
                <c:pt idx="5">
                  <c:v>752</c:v>
                </c:pt>
                <c:pt idx="6">
                  <c:v>744</c:v>
                </c:pt>
                <c:pt idx="7">
                  <c:v>678</c:v>
                </c:pt>
                <c:pt idx="8">
                  <c:v>672</c:v>
                </c:pt>
                <c:pt idx="9">
                  <c:v>638</c:v>
                </c:pt>
              </c:numCache>
            </c:numRef>
          </c:val>
          <c:smooth val="0"/>
          <c:extLst>
            <c:ext xmlns:c16="http://schemas.microsoft.com/office/drawing/2014/chart" uri="{C3380CC4-5D6E-409C-BE32-E72D297353CC}">
              <c16:uniqueId val="{00000004-EC7E-45D2-B0C9-12886BD8C632}"/>
            </c:ext>
          </c:extLst>
        </c:ser>
        <c:ser>
          <c:idx val="5"/>
          <c:order val="5"/>
          <c:tx>
            <c:strRef>
              <c:f>'C1'!$A$226</c:f>
              <c:strCache>
                <c:ptCount val="1"/>
                <c:pt idx="0">
                  <c:v>Danmark</c:v>
                </c:pt>
              </c:strCache>
            </c:strRef>
          </c:tx>
          <c:spPr>
            <a:ln w="28575" cap="rnd">
              <a:solidFill>
                <a:schemeClr val="accent6"/>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'C1'!$B$226:$K$226</c:f>
              <c:numCache>
                <c:formatCode>General</c:formatCode>
                <c:ptCount val="10"/>
                <c:pt idx="0">
                  <c:v>376</c:v>
                </c:pt>
                <c:pt idx="1">
                  <c:v>480</c:v>
                </c:pt>
                <c:pt idx="2">
                  <c:v>504</c:v>
                </c:pt>
                <c:pt idx="3">
                  <c:v>512</c:v>
                </c:pt>
                <c:pt idx="4">
                  <c:v>536</c:v>
                </c:pt>
                <c:pt idx="5">
                  <c:v>526</c:v>
                </c:pt>
                <c:pt idx="6">
                  <c:v>597</c:v>
                </c:pt>
                <c:pt idx="7">
                  <c:v>589</c:v>
                </c:pt>
                <c:pt idx="8">
                  <c:v>667</c:v>
                </c:pt>
                <c:pt idx="9">
                  <c:v>600</c:v>
                </c:pt>
              </c:numCache>
            </c:numRef>
          </c:val>
          <c:smooth val="0"/>
          <c:extLst>
            <c:ext xmlns:c16="http://schemas.microsoft.com/office/drawing/2014/chart" uri="{C3380CC4-5D6E-409C-BE32-E72D297353CC}">
              <c16:uniqueId val="{00000005-EC7E-45D2-B0C9-12886BD8C632}"/>
            </c:ext>
          </c:extLst>
        </c:ser>
        <c:ser>
          <c:idx val="6"/>
          <c:order val="6"/>
          <c:tx>
            <c:strRef>
              <c:f>'C1'!$A$227</c:f>
              <c:strCache>
                <c:ptCount val="1"/>
                <c:pt idx="0">
                  <c:v>Bangladesh</c:v>
                </c:pt>
              </c:strCache>
            </c:strRef>
          </c:tx>
          <c:spPr>
            <a:ln w="28575" cap="rnd">
              <a:solidFill>
                <a:schemeClr val="accent1">
                  <a:lumMod val="60000"/>
                </a:schemeClr>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'C1'!$B$227:$K$227</c:f>
              <c:numCache>
                <c:formatCode>General</c:formatCode>
                <c:ptCount val="10"/>
                <c:pt idx="0">
                  <c:v>138</c:v>
                </c:pt>
                <c:pt idx="1">
                  <c:v>155</c:v>
                </c:pt>
                <c:pt idx="2">
                  <c:v>149</c:v>
                </c:pt>
                <c:pt idx="3">
                  <c:v>128</c:v>
                </c:pt>
                <c:pt idx="4">
                  <c:v>159</c:v>
                </c:pt>
                <c:pt idx="5">
                  <c:v>196</c:v>
                </c:pt>
                <c:pt idx="6">
                  <c:v>222</c:v>
                </c:pt>
                <c:pt idx="7">
                  <c:v>274</c:v>
                </c:pt>
                <c:pt idx="8">
                  <c:v>391</c:v>
                </c:pt>
                <c:pt idx="9">
                  <c:v>547</c:v>
                </c:pt>
              </c:numCache>
            </c:numRef>
          </c:val>
          <c:smooth val="0"/>
          <c:extLst>
            <c:ext xmlns:c16="http://schemas.microsoft.com/office/drawing/2014/chart" uri="{C3380CC4-5D6E-409C-BE32-E72D297353CC}">
              <c16:uniqueId val="{00000006-EC7E-45D2-B0C9-12886BD8C632}"/>
            </c:ext>
          </c:extLst>
        </c:ser>
        <c:ser>
          <c:idx val="7"/>
          <c:order val="7"/>
          <c:tx>
            <c:strRef>
              <c:f>'C1'!$A$228</c:f>
              <c:strCache>
                <c:ptCount val="1"/>
                <c:pt idx="0">
                  <c:v>India</c:v>
                </c:pt>
              </c:strCache>
            </c:strRef>
          </c:tx>
          <c:spPr>
            <a:ln w="28575" cap="rnd">
              <a:solidFill>
                <a:schemeClr val="accent2">
                  <a:lumMod val="60000"/>
                </a:schemeClr>
              </a:solidFill>
              <a:round/>
            </a:ln>
            <a:effectLst/>
          </c:spPr>
          <c:marker>
            <c:symbol val="none"/>
          </c:marker>
          <c:cat>
            <c:numRef>
              <c:f>'C1'!$B$220:$K$220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'C1'!$B$228:$K$228</c:f>
              <c:numCache>
                <c:formatCode>General</c:formatCode>
                <c:ptCount val="10"/>
                <c:pt idx="0">
                  <c:v>265</c:v>
                </c:pt>
                <c:pt idx="1">
                  <c:v>312</c:v>
                </c:pt>
                <c:pt idx="2">
                  <c:v>370</c:v>
                </c:pt>
                <c:pt idx="3">
                  <c:v>359</c:v>
                </c:pt>
                <c:pt idx="4">
                  <c:v>354</c:v>
                </c:pt>
                <c:pt idx="5">
                  <c:v>406</c:v>
                </c:pt>
                <c:pt idx="6">
                  <c:v>506</c:v>
                </c:pt>
                <c:pt idx="7">
                  <c:v>515</c:v>
                </c:pt>
                <c:pt idx="8">
                  <c:v>518</c:v>
                </c:pt>
                <c:pt idx="9">
                  <c:v>543</c:v>
                </c:pt>
              </c:numCache>
            </c:numRef>
          </c:val>
          <c:smooth val="0"/>
          <c:extLst>
            <c:ext xmlns:c16="http://schemas.microsoft.com/office/drawing/2014/chart" uri="{C3380CC4-5D6E-409C-BE32-E72D297353CC}">
              <c16:uniqueId val="{00000007-EC7E-45D2-B0C9-12886BD8C632}"/>
            </c:ext>
          </c:extLst>
        </c:ser>
        <c:dLbls>
          <c:showLegendKey val="0"/>
          <c:showVal val="0"/>
          <c:showCatName val="0"/>
          <c:showSerName val="0"/>
          <c:showPercent val="0"/>
          <c:showBubbleSize val="0"/>
        </c:dLbls>
        <c:smooth val="0"/>
        <c:axId val="458631103"/>
        <c:axId val="1299312079"/>
      </c:lineChart>
      <c:catAx>
        <c:axId val="458631103"/>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99312079"/>
        <c:crosses val="autoZero"/>
        <c:auto val="1"/>
        <c:lblAlgn val="ctr"/>
        <c:lblOffset val="100"/>
        <c:noMultiLvlLbl val="0"/>
      </c:catAx>
      <c:valAx>
        <c:axId val="129931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5863110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'Figur 2.16'!$A$5</c:f>
              <c:strCache>
                <c:ptCount val="1"/>
                <c:pt idx="0">
                  <c:v>Til Norge</c:v>
                </c:pt>
              </c:strCache>
            </c:strRef>
          </c:tx>
          <c:spPr>
            <a:ln w="38100" cap="rnd">
              <a:solidFill>
                <a:schemeClr val="accent3"/>
              </a:solidFill>
              <a:round/>
            </a:ln>
            <a:effectLst/>
          </c:spPr>
          <c:marker>
            <c:symbol val="circle"/>
            <c:size val="6"/>
            <c:spPr>
              <a:solidFill>
                <a:schemeClr val="accent3"/>
              </a:solidFill>
              <a:ln w="9525">
                <a:solidFill>
                  <a:schemeClr val="accent3"/>
                </a:solidFill>
              </a:ln>
              <a:effectLst/>
            </c:spPr>
          </c:marker>
          <c:dLbls>
            <c:dLbl>
              <c:idx val="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CF-4814-A7E6-8E2E8BBA6B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 2.16'!$B$3:$K$3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2.16'!$B$5:$K$5</c:f>
              <c:numCache>
                <c:formatCode>General</c:formatCode>
                <c:ptCount val="10"/>
                <c:pt idx="0">
                  <c:v>6583</c:v>
                </c:pt>
                <c:pt idx="1">
                  <c:v>6935</c:v>
                </c:pt>
                <c:pt idx="2">
                  <c:v>7666</c:v>
                </c:pt>
                <c:pt idx="3">
                  <c:v>8478</c:v>
                </c:pt>
                <c:pt idx="4">
                  <c:v>8683</c:v>
                </c:pt>
                <c:pt idx="5">
                  <c:v>8950</c:v>
                </c:pt>
                <c:pt idx="6">
                  <c:v>8767</c:v>
                </c:pt>
                <c:pt idx="7">
                  <c:v>4602</c:v>
                </c:pt>
                <c:pt idx="8">
                  <c:v>7016</c:v>
                </c:pt>
                <c:pt idx="9">
                  <c:v>10211</c:v>
                </c:pt>
              </c:numCache>
            </c:numRef>
          </c:val>
          <c:smooth val="0"/>
          <c:extLst>
            <c:ext xmlns:c16="http://schemas.microsoft.com/office/drawing/2014/chart" uri="{C3380CC4-5D6E-409C-BE32-E72D297353CC}">
              <c16:uniqueId val="{00000001-D4CF-4814-A7E6-8E2E8BBA6BBA}"/>
            </c:ext>
          </c:extLst>
        </c:ser>
        <c:ser>
          <c:idx val="1"/>
          <c:order val="1"/>
          <c:tx>
            <c:strRef>
              <c:f>'Figur 2.16'!$A$4</c:f>
              <c:strCache>
                <c:ptCount val="1"/>
                <c:pt idx="0">
                  <c:v>Fra Norge</c:v>
                </c:pt>
              </c:strCache>
            </c:strRef>
          </c:tx>
          <c:spPr>
            <a:ln w="38100" cap="rnd">
              <a:solidFill>
                <a:schemeClr val="accent2"/>
              </a:solidFill>
              <a:round/>
            </a:ln>
            <a:effectLst/>
          </c:spPr>
          <c:marker>
            <c:symbol val="circle"/>
            <c:size val="6"/>
            <c:spPr>
              <a:solidFill>
                <a:schemeClr val="accent2"/>
              </a:solidFill>
              <a:ln w="9525">
                <a:solidFill>
                  <a:schemeClr val="accent2"/>
                </a:solidFill>
              </a:ln>
              <a:effectLst/>
            </c:spPr>
          </c:marker>
          <c:dLbls>
            <c:dLbl>
              <c:idx val="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CF-4814-A7E6-8E2E8BBA6B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 2.16'!$B$3:$K$3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2.16'!$B$4:$K$4</c:f>
              <c:numCache>
                <c:formatCode>General</c:formatCode>
                <c:ptCount val="10"/>
                <c:pt idx="0">
                  <c:v>5698</c:v>
                </c:pt>
                <c:pt idx="1">
                  <c:v>5757</c:v>
                </c:pt>
                <c:pt idx="2">
                  <c:v>5754</c:v>
                </c:pt>
                <c:pt idx="3">
                  <c:v>6268</c:v>
                </c:pt>
                <c:pt idx="4">
                  <c:v>6575</c:v>
                </c:pt>
                <c:pt idx="5">
                  <c:v>7036</c:v>
                </c:pt>
                <c:pt idx="6">
                  <c:v>7422</c:v>
                </c:pt>
                <c:pt idx="7">
                  <c:v>3810</c:v>
                </c:pt>
                <c:pt idx="8">
                  <c:v>2764</c:v>
                </c:pt>
                <c:pt idx="9">
                  <c:v>7068</c:v>
                </c:pt>
              </c:numCache>
            </c:numRef>
          </c:val>
          <c:smooth val="0"/>
          <c:extLst>
            <c:ext xmlns:c16="http://schemas.microsoft.com/office/drawing/2014/chart" uri="{C3380CC4-5D6E-409C-BE32-E72D297353CC}">
              <c16:uniqueId val="{00000003-D4CF-4814-A7E6-8E2E8BBA6BBA}"/>
            </c:ext>
          </c:extLst>
        </c:ser>
        <c:dLbls>
          <c:showLegendKey val="0"/>
          <c:showVal val="0"/>
          <c:showCatName val="0"/>
          <c:showSerName val="0"/>
          <c:showPercent val="0"/>
          <c:showBubbleSize val="0"/>
        </c:dLbls>
        <c:marker val="1"/>
        <c:smooth val="0"/>
        <c:axId val="953728112"/>
        <c:axId val="953721456"/>
      </c:lineChart>
      <c:catAx>
        <c:axId val="95372811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953721456"/>
        <c:crosses val="autoZero"/>
        <c:auto val="1"/>
        <c:lblAlgn val="ctr"/>
        <c:lblOffset val="100"/>
        <c:noMultiLvlLbl val="0"/>
      </c:catAx>
      <c:valAx>
        <c:axId val="953721456"/>
        <c:scaling>
          <c:orientation val="minMax"/>
          <c:min val="2000"/>
        </c:scaling>
        <c:delete val="0"/>
        <c:axPos val="l"/>
        <c:majorGridlines>
          <c:spPr>
            <a:ln w="6350" cap="flat" cmpd="sng" algn="ctr">
              <a:solidFill>
                <a:schemeClr val="bg2">
                  <a:lumMod val="90000"/>
                </a:schemeClr>
              </a:solidFill>
              <a:round/>
            </a:ln>
            <a:effectLst/>
          </c:spPr>
        </c:majorGridlines>
        <c:numFmt formatCode="#,##0" sourceLinked="0"/>
        <c:majorTickMark val="out"/>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9537281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6350" cap="flat" cmpd="sng" algn="ctr">
      <a:solidFill>
        <a:schemeClr val="accent3">
          <a:lumMod val="40000"/>
          <a:lumOff val="60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'Figur 2.2'!$B$3</c:f>
              <c:strCache>
                <c:ptCount val="1"/>
                <c:pt idx="0">
                  <c:v>Menn</c:v>
                </c:pt>
              </c:strCache>
            </c:strRef>
          </c:tx>
          <c:spPr>
            <a:solidFill>
              <a:schemeClr val="accent1"/>
            </a:solidFill>
            <a:ln>
              <a:noFill/>
            </a:ln>
            <a:effectLst/>
          </c:spPr>
          <c:invertIfNegative val="0"/>
          <c:cat>
            <c:strRef>
              <c:f>('Figur 2.2'!$A$4:$A$8,'Figur 2.2'!$A$10:$A$12)</c:f>
              <c:strCache>
                <c:ptCount val="8"/>
                <c:pt idx="0">
                  <c:v>Samferdsels- og sikkerhetsfag og andre servicefag</c:v>
                </c:pt>
                <c:pt idx="1">
                  <c:v>Naturvitenskapelige, håndverks- og tekniske fag</c:v>
                </c:pt>
                <c:pt idx="2">
                  <c:v>Økonomiske og administrative fag</c:v>
                </c:pt>
                <c:pt idx="3">
                  <c:v>Primærnæringsfag</c:v>
                </c:pt>
                <c:pt idx="4">
                  <c:v>Humanistiske og estetiske fag</c:v>
                </c:pt>
                <c:pt idx="5">
                  <c:v>Samfunnsfag og juridiske fag</c:v>
                </c:pt>
                <c:pt idx="6">
                  <c:v>Lærerutdanninger og utdanninger i pedagogikk</c:v>
                </c:pt>
                <c:pt idx="7">
                  <c:v>Helse-, sosial- og idrettsfag </c:v>
                </c:pt>
              </c:strCache>
              <c:extLst/>
            </c:strRef>
          </c:cat>
          <c:val>
            <c:numRef>
              <c:f>('Figur 2.2'!$B$4:$B$8,'Figur 2.2'!$B$10:$B$12)</c:f>
              <c:numCache>
                <c:formatCode>General</c:formatCode>
                <c:ptCount val="8"/>
                <c:pt idx="0">
                  <c:v>2283</c:v>
                </c:pt>
                <c:pt idx="1">
                  <c:v>34128.400000000001</c:v>
                </c:pt>
                <c:pt idx="2">
                  <c:v>26518.29</c:v>
                </c:pt>
                <c:pt idx="3">
                  <c:v>784</c:v>
                </c:pt>
                <c:pt idx="4">
                  <c:v>10540.29</c:v>
                </c:pt>
                <c:pt idx="5">
                  <c:v>12697.65</c:v>
                </c:pt>
                <c:pt idx="6">
                  <c:v>11189.62</c:v>
                </c:pt>
                <c:pt idx="7">
                  <c:v>11986.18</c:v>
                </c:pt>
              </c:numCache>
              <c:extLst/>
            </c:numRef>
          </c:val>
          <c:extLst>
            <c:ext xmlns:c16="http://schemas.microsoft.com/office/drawing/2014/chart" uri="{C3380CC4-5D6E-409C-BE32-E72D297353CC}">
              <c16:uniqueId val="{00000000-1F88-422A-B4E8-660D7467A7F3}"/>
            </c:ext>
          </c:extLst>
        </c:ser>
        <c:ser>
          <c:idx val="1"/>
          <c:order val="1"/>
          <c:tx>
            <c:strRef>
              <c:f>'Figur 2.2'!$C$3</c:f>
              <c:strCache>
                <c:ptCount val="1"/>
                <c:pt idx="0">
                  <c:v>Kvinner</c:v>
                </c:pt>
              </c:strCache>
            </c:strRef>
          </c:tx>
          <c:spPr>
            <a:solidFill>
              <a:schemeClr val="accent2"/>
            </a:solidFill>
            <a:ln>
              <a:noFill/>
            </a:ln>
            <a:effectLst/>
          </c:spPr>
          <c:invertIfNegative val="0"/>
          <c:cat>
            <c:strRef>
              <c:f>('Figur 2.2'!$A$4:$A$8,'Figur 2.2'!$A$10:$A$12)</c:f>
              <c:strCache>
                <c:ptCount val="8"/>
                <c:pt idx="0">
                  <c:v>Samferdsels- og sikkerhetsfag og andre servicefag</c:v>
                </c:pt>
                <c:pt idx="1">
                  <c:v>Naturvitenskapelige, håndverks- og tekniske fag</c:v>
                </c:pt>
                <c:pt idx="2">
                  <c:v>Økonomiske og administrative fag</c:v>
                </c:pt>
                <c:pt idx="3">
                  <c:v>Primærnæringsfag</c:v>
                </c:pt>
                <c:pt idx="4">
                  <c:v>Humanistiske og estetiske fag</c:v>
                </c:pt>
                <c:pt idx="5">
                  <c:v>Samfunnsfag og juridiske fag</c:v>
                </c:pt>
                <c:pt idx="6">
                  <c:v>Lærerutdanninger og utdanninger i pedagogikk</c:v>
                </c:pt>
                <c:pt idx="7">
                  <c:v>Helse-, sosial- og idrettsfag </c:v>
                </c:pt>
              </c:strCache>
              <c:extLst/>
            </c:strRef>
          </c:cat>
          <c:val>
            <c:numRef>
              <c:f>('Figur 2.2'!$C$4:$C$8,'Figur 2.2'!$C$10:$C$12)</c:f>
              <c:numCache>
                <c:formatCode>General</c:formatCode>
                <c:ptCount val="8"/>
                <c:pt idx="0">
                  <c:v>1069</c:v>
                </c:pt>
                <c:pt idx="1">
                  <c:v>18509.900000000001</c:v>
                </c:pt>
                <c:pt idx="2">
                  <c:v>30147.59</c:v>
                </c:pt>
                <c:pt idx="3">
                  <c:v>1086</c:v>
                </c:pt>
                <c:pt idx="4">
                  <c:v>16859.21</c:v>
                </c:pt>
                <c:pt idx="5">
                  <c:v>23222.560000000001</c:v>
                </c:pt>
                <c:pt idx="6">
                  <c:v>29447.82</c:v>
                </c:pt>
                <c:pt idx="7">
                  <c:v>44803.27</c:v>
                </c:pt>
              </c:numCache>
              <c:extLst/>
            </c:numRef>
          </c:val>
          <c:extLst>
            <c:ext xmlns:c16="http://schemas.microsoft.com/office/drawing/2014/chart" uri="{C3380CC4-5D6E-409C-BE32-E72D297353CC}">
              <c16:uniqueId val="{00000001-1F88-422A-B4E8-660D7467A7F3}"/>
            </c:ext>
          </c:extLst>
        </c:ser>
        <c:dLbls>
          <c:showLegendKey val="0"/>
          <c:showVal val="0"/>
          <c:showCatName val="0"/>
          <c:showSerName val="0"/>
          <c:showPercent val="0"/>
          <c:showBubbleSize val="0"/>
        </c:dLbls>
        <c:gapWidth val="150"/>
        <c:overlap val="100"/>
        <c:axId val="1194478960"/>
        <c:axId val="1194482704"/>
      </c:barChart>
      <c:catAx>
        <c:axId val="119447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1194482704"/>
        <c:crosses val="autoZero"/>
        <c:auto val="1"/>
        <c:lblAlgn val="ctr"/>
        <c:lblOffset val="100"/>
        <c:noMultiLvlLbl val="0"/>
      </c:catAx>
      <c:valAx>
        <c:axId val="1194482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11944789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'[figurer_13mars2023_skrivebeskytta.xlsx]Figur 2.17'!$A$4</c:f>
              <c:strCache>
                <c:ptCount val="1"/>
                <c:pt idx="0">
                  <c:v>USA</c:v>
                </c:pt>
              </c:strCache>
            </c:strRef>
          </c:tx>
          <c:spPr>
            <a:ln w="31750"/>
          </c:spPr>
          <c:marker>
            <c:symbol val="circle"/>
            <c:size val="6"/>
          </c:marker>
          <c:cat>
            <c:numRef>
              <c:f>'[figurer_13mars2023_skrivebeskytta.xlsx]Figur 2.17'!$B$3:$K$3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2.17'!$B$4:$K$4</c:f>
              <c:numCache>
                <c:formatCode>General</c:formatCode>
                <c:ptCount val="10"/>
                <c:pt idx="0">
                  <c:v>1246</c:v>
                </c:pt>
                <c:pt idx="1">
                  <c:v>1223</c:v>
                </c:pt>
                <c:pt idx="2">
                  <c:v>1215</c:v>
                </c:pt>
                <c:pt idx="3">
                  <c:v>983</c:v>
                </c:pt>
                <c:pt idx="4">
                  <c:v>896</c:v>
                </c:pt>
                <c:pt idx="5">
                  <c:v>836</c:v>
                </c:pt>
                <c:pt idx="6">
                  <c:v>842</c:v>
                </c:pt>
                <c:pt idx="7">
                  <c:v>366</c:v>
                </c:pt>
                <c:pt idx="8">
                  <c:v>214</c:v>
                </c:pt>
                <c:pt idx="9">
                  <c:v>934</c:v>
                </c:pt>
              </c:numCache>
            </c:numRef>
          </c:val>
          <c:smooth val="0"/>
          <c:extLst>
            <c:ext xmlns:c16="http://schemas.microsoft.com/office/drawing/2014/chart" uri="{C3380CC4-5D6E-409C-BE32-E72D297353CC}">
              <c16:uniqueId val="{00000000-1005-4BAD-A4C8-E11518289EA5}"/>
            </c:ext>
          </c:extLst>
        </c:ser>
        <c:ser>
          <c:idx val="1"/>
          <c:order val="1"/>
          <c:tx>
            <c:strRef>
              <c:f>'[figurer_13mars2023_skrivebeskytta.xlsx]Figur 2.17'!$A$5</c:f>
              <c:strCache>
                <c:ptCount val="1"/>
                <c:pt idx="0">
                  <c:v>Italia</c:v>
                </c:pt>
              </c:strCache>
            </c:strRef>
          </c:tx>
          <c:spPr>
            <a:ln w="31750"/>
          </c:spPr>
          <c:marker>
            <c:symbol val="circle"/>
            <c:size val="6"/>
          </c:marker>
          <c:cat>
            <c:numRef>
              <c:f>'[figurer_13mars2023_skrivebeskytta.xlsx]Figur 2.17'!$B$3:$K$3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2.17'!$B$5:$K$5</c:f>
              <c:numCache>
                <c:formatCode>General</c:formatCode>
                <c:ptCount val="10"/>
                <c:pt idx="0">
                  <c:v>89</c:v>
                </c:pt>
                <c:pt idx="1">
                  <c:v>121</c:v>
                </c:pt>
                <c:pt idx="2">
                  <c:v>114</c:v>
                </c:pt>
                <c:pt idx="3">
                  <c:v>157</c:v>
                </c:pt>
                <c:pt idx="4">
                  <c:v>178</c:v>
                </c:pt>
                <c:pt idx="5">
                  <c:v>230</c:v>
                </c:pt>
                <c:pt idx="6">
                  <c:v>308</c:v>
                </c:pt>
                <c:pt idx="7">
                  <c:v>216</c:v>
                </c:pt>
                <c:pt idx="8">
                  <c:v>325</c:v>
                </c:pt>
                <c:pt idx="9">
                  <c:v>656</c:v>
                </c:pt>
              </c:numCache>
            </c:numRef>
          </c:val>
          <c:smooth val="0"/>
          <c:extLst>
            <c:ext xmlns:c16="http://schemas.microsoft.com/office/drawing/2014/chart" uri="{C3380CC4-5D6E-409C-BE32-E72D297353CC}">
              <c16:uniqueId val="{00000001-1005-4BAD-A4C8-E11518289EA5}"/>
            </c:ext>
          </c:extLst>
        </c:ser>
        <c:ser>
          <c:idx val="2"/>
          <c:order val="2"/>
          <c:tx>
            <c:strRef>
              <c:f>'[figurer_13mars2023_skrivebeskytta.xlsx]Figur 2.17'!$A$6</c:f>
              <c:strCache>
                <c:ptCount val="1"/>
                <c:pt idx="0">
                  <c:v>Australia</c:v>
                </c:pt>
              </c:strCache>
            </c:strRef>
          </c:tx>
          <c:spPr>
            <a:ln w="31750"/>
          </c:spPr>
          <c:marker>
            <c:symbol val="circle"/>
            <c:size val="6"/>
          </c:marker>
          <c:cat>
            <c:numRef>
              <c:f>'[figurer_13mars2023_skrivebeskytta.xlsx]Figur 2.17'!$B$3:$K$3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2.17'!$B$6:$K$6</c:f>
              <c:numCache>
                <c:formatCode>General</c:formatCode>
                <c:ptCount val="10"/>
                <c:pt idx="0">
                  <c:v>668</c:v>
                </c:pt>
                <c:pt idx="1">
                  <c:v>744</c:v>
                </c:pt>
                <c:pt idx="2">
                  <c:v>799</c:v>
                </c:pt>
                <c:pt idx="3">
                  <c:v>919</c:v>
                </c:pt>
                <c:pt idx="4">
                  <c:v>1022</c:v>
                </c:pt>
                <c:pt idx="5">
                  <c:v>1098</c:v>
                </c:pt>
                <c:pt idx="6">
                  <c:v>1263</c:v>
                </c:pt>
                <c:pt idx="7">
                  <c:v>517</c:v>
                </c:pt>
                <c:pt idx="8">
                  <c:v>10</c:v>
                </c:pt>
                <c:pt idx="9">
                  <c:v>635</c:v>
                </c:pt>
              </c:numCache>
            </c:numRef>
          </c:val>
          <c:smooth val="0"/>
          <c:extLst>
            <c:ext xmlns:c16="http://schemas.microsoft.com/office/drawing/2014/chart" uri="{C3380CC4-5D6E-409C-BE32-E72D297353CC}">
              <c16:uniqueId val="{00000002-1005-4BAD-A4C8-E11518289EA5}"/>
            </c:ext>
          </c:extLst>
        </c:ser>
        <c:ser>
          <c:idx val="3"/>
          <c:order val="3"/>
          <c:tx>
            <c:strRef>
              <c:f>'[figurer_13mars2023_skrivebeskytta.xlsx]Figur 2.17'!$A$7</c:f>
              <c:strCache>
                <c:ptCount val="1"/>
                <c:pt idx="0">
                  <c:v>Frankrike</c:v>
                </c:pt>
              </c:strCache>
            </c:strRef>
          </c:tx>
          <c:spPr>
            <a:ln w="31750"/>
          </c:spPr>
          <c:marker>
            <c:symbol val="circle"/>
            <c:size val="6"/>
          </c:marker>
          <c:cat>
            <c:numRef>
              <c:f>'[figurer_13mars2023_skrivebeskytta.xlsx]Figur 2.17'!$B$3:$K$3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2.17'!$B$7:$K$7</c:f>
              <c:numCache>
                <c:formatCode>General</c:formatCode>
                <c:ptCount val="10"/>
                <c:pt idx="0">
                  <c:v>265</c:v>
                </c:pt>
                <c:pt idx="1">
                  <c:v>234</c:v>
                </c:pt>
                <c:pt idx="2">
                  <c:v>279</c:v>
                </c:pt>
                <c:pt idx="3">
                  <c:v>266</c:v>
                </c:pt>
                <c:pt idx="4">
                  <c:v>312</c:v>
                </c:pt>
                <c:pt idx="5">
                  <c:v>320</c:v>
                </c:pt>
                <c:pt idx="6">
                  <c:v>363</c:v>
                </c:pt>
                <c:pt idx="7">
                  <c:v>190</c:v>
                </c:pt>
                <c:pt idx="8">
                  <c:v>293</c:v>
                </c:pt>
                <c:pt idx="9">
                  <c:v>565</c:v>
                </c:pt>
              </c:numCache>
            </c:numRef>
          </c:val>
          <c:smooth val="0"/>
          <c:extLst>
            <c:ext xmlns:c16="http://schemas.microsoft.com/office/drawing/2014/chart" uri="{C3380CC4-5D6E-409C-BE32-E72D297353CC}">
              <c16:uniqueId val="{00000003-1005-4BAD-A4C8-E11518289EA5}"/>
            </c:ext>
          </c:extLst>
        </c:ser>
        <c:ser>
          <c:idx val="4"/>
          <c:order val="4"/>
          <c:tx>
            <c:strRef>
              <c:f>'[figurer_13mars2023_skrivebeskytta.xlsx]Figur 2.17'!$A$8</c:f>
              <c:strCache>
                <c:ptCount val="1"/>
                <c:pt idx="0">
                  <c:v>Spania</c:v>
                </c:pt>
              </c:strCache>
            </c:strRef>
          </c:tx>
          <c:spPr>
            <a:ln w="31750"/>
          </c:spPr>
          <c:marker>
            <c:symbol val="circle"/>
            <c:size val="6"/>
          </c:marker>
          <c:cat>
            <c:numRef>
              <c:f>'[figurer_13mars2023_skrivebeskytta.xlsx]Figur 2.17'!$B$3:$K$3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2.17'!$B$8:$K$8</c:f>
              <c:numCache>
                <c:formatCode>General</c:formatCode>
                <c:ptCount val="10"/>
                <c:pt idx="0">
                  <c:v>206</c:v>
                </c:pt>
                <c:pt idx="1">
                  <c:v>161</c:v>
                </c:pt>
                <c:pt idx="2">
                  <c:v>177</c:v>
                </c:pt>
                <c:pt idx="3">
                  <c:v>283</c:v>
                </c:pt>
                <c:pt idx="4">
                  <c:v>233</c:v>
                </c:pt>
                <c:pt idx="5">
                  <c:v>313</c:v>
                </c:pt>
                <c:pt idx="6">
                  <c:v>336</c:v>
                </c:pt>
                <c:pt idx="7">
                  <c:v>214</c:v>
                </c:pt>
                <c:pt idx="8">
                  <c:v>225</c:v>
                </c:pt>
                <c:pt idx="9">
                  <c:v>520</c:v>
                </c:pt>
              </c:numCache>
            </c:numRef>
          </c:val>
          <c:smooth val="0"/>
          <c:extLst>
            <c:ext xmlns:c16="http://schemas.microsoft.com/office/drawing/2014/chart" uri="{C3380CC4-5D6E-409C-BE32-E72D297353CC}">
              <c16:uniqueId val="{00000004-1005-4BAD-A4C8-E11518289EA5}"/>
            </c:ext>
          </c:extLst>
        </c:ser>
        <c:dLbls>
          <c:showLegendKey val="0"/>
          <c:showVal val="0"/>
          <c:showCatName val="0"/>
          <c:showSerName val="0"/>
          <c:showPercent val="0"/>
          <c:showBubbleSize val="0"/>
        </c:dLbls>
        <c:marker val="1"/>
        <c:smooth val="0"/>
        <c:axId val="128071680"/>
        <c:axId val="127594432"/>
      </c:lineChart>
      <c:catAx>
        <c:axId val="128071680"/>
        <c:scaling>
          <c:orientation val="minMax"/>
        </c:scaling>
        <c:delete val="0"/>
        <c:axPos val="b"/>
        <c:numFmt formatCode="General" sourceLinked="1"/>
        <c:majorTickMark val="out"/>
        <c:minorTickMark val="none"/>
        <c:tickLblPos val="nextTo"/>
        <c:crossAx val="127594432"/>
        <c:crosses val="autoZero"/>
        <c:auto val="1"/>
        <c:lblAlgn val="ctr"/>
        <c:lblOffset val="100"/>
        <c:noMultiLvlLbl val="0"/>
      </c:catAx>
      <c:valAx>
        <c:axId val="127594432"/>
        <c:scaling>
          <c:orientation val="minMax"/>
        </c:scaling>
        <c:delete val="0"/>
        <c:axPos val="l"/>
        <c:majorGridlines>
          <c:spPr>
            <a:ln>
              <a:solidFill>
                <a:schemeClr val="accent3">
                  <a:lumMod val="40000"/>
                  <a:lumOff val="60000"/>
                </a:schemeClr>
              </a:solidFill>
            </a:ln>
          </c:spPr>
        </c:majorGridlines>
        <c:numFmt formatCode="#,##0" sourceLinked="0"/>
        <c:majorTickMark val="out"/>
        <c:minorTickMark val="none"/>
        <c:tickLblPos val="nextTo"/>
        <c:spPr>
          <a:ln>
            <a:noFill/>
          </a:ln>
        </c:spPr>
        <c:crossAx val="128071680"/>
        <c:crosses val="autoZero"/>
        <c:crossBetween val="midCat"/>
      </c:valAx>
    </c:plotArea>
    <c:legend>
      <c:legendPos val="b"/>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 2.19'!$A$4</c:f>
              <c:strCache>
                <c:ptCount val="1"/>
                <c:pt idx="0">
                  <c:v>Sektoren</c:v>
                </c:pt>
              </c:strCache>
            </c:strRef>
          </c:tx>
          <c:spPr>
            <a:ln w="38100"/>
          </c:spPr>
          <c:marker>
            <c:symbol val="circle"/>
            <c:size val="6"/>
          </c:marker>
          <c:dLbls>
            <c:dLbl>
              <c:idx val="0"/>
              <c:delete val="1"/>
              <c:extLst>
                <c:ext xmlns:c15="http://schemas.microsoft.com/office/drawing/2012/chart" uri="{CE6537A1-D6FC-4f65-9D91-7224C49458BB}"/>
                <c:ext xmlns:c16="http://schemas.microsoft.com/office/drawing/2014/chart" uri="{C3380CC4-5D6E-409C-BE32-E72D297353CC}">
                  <c16:uniqueId val="{00000000-CE60-463B-A517-6F104B6DFF4C}"/>
                </c:ext>
              </c:extLst>
            </c:dLbl>
            <c:dLbl>
              <c:idx val="1"/>
              <c:delete val="1"/>
              <c:extLst>
                <c:ext xmlns:c15="http://schemas.microsoft.com/office/drawing/2012/chart" uri="{CE6537A1-D6FC-4f65-9D91-7224C49458BB}"/>
                <c:ext xmlns:c16="http://schemas.microsoft.com/office/drawing/2014/chart" uri="{C3380CC4-5D6E-409C-BE32-E72D297353CC}">
                  <c16:uniqueId val="{00000001-CE60-463B-A517-6F104B6DFF4C}"/>
                </c:ext>
              </c:extLst>
            </c:dLbl>
            <c:dLbl>
              <c:idx val="2"/>
              <c:delete val="1"/>
              <c:extLst>
                <c:ext xmlns:c15="http://schemas.microsoft.com/office/drawing/2012/chart" uri="{CE6537A1-D6FC-4f65-9D91-7224C49458BB}"/>
                <c:ext xmlns:c16="http://schemas.microsoft.com/office/drawing/2014/chart" uri="{C3380CC4-5D6E-409C-BE32-E72D297353CC}">
                  <c16:uniqueId val="{00000002-CE60-463B-A517-6F104B6DFF4C}"/>
                </c:ext>
              </c:extLst>
            </c:dLbl>
            <c:dLbl>
              <c:idx val="3"/>
              <c:delete val="1"/>
              <c:extLst>
                <c:ext xmlns:c15="http://schemas.microsoft.com/office/drawing/2012/chart" uri="{CE6537A1-D6FC-4f65-9D91-7224C49458BB}"/>
                <c:ext xmlns:c16="http://schemas.microsoft.com/office/drawing/2014/chart" uri="{C3380CC4-5D6E-409C-BE32-E72D297353CC}">
                  <c16:uniqueId val="{00000003-CE60-463B-A517-6F104B6DFF4C}"/>
                </c:ext>
              </c:extLst>
            </c:dLbl>
            <c:dLbl>
              <c:idx val="4"/>
              <c:delete val="1"/>
              <c:extLst>
                <c:ext xmlns:c15="http://schemas.microsoft.com/office/drawing/2012/chart" uri="{CE6537A1-D6FC-4f65-9D91-7224C49458BB}"/>
                <c:ext xmlns:c16="http://schemas.microsoft.com/office/drawing/2014/chart" uri="{C3380CC4-5D6E-409C-BE32-E72D297353CC}">
                  <c16:uniqueId val="{00000004-CE60-463B-A517-6F104B6DFF4C}"/>
                </c:ext>
              </c:extLst>
            </c:dLbl>
            <c:dLbl>
              <c:idx val="5"/>
              <c:delete val="1"/>
              <c:extLst>
                <c:ext xmlns:c15="http://schemas.microsoft.com/office/drawing/2012/chart" uri="{CE6537A1-D6FC-4f65-9D91-7224C49458BB}"/>
                <c:ext xmlns:c16="http://schemas.microsoft.com/office/drawing/2014/chart" uri="{C3380CC4-5D6E-409C-BE32-E72D297353CC}">
                  <c16:uniqueId val="{00000005-CE60-463B-A517-6F104B6DFF4C}"/>
                </c:ext>
              </c:extLst>
            </c:dLbl>
            <c:dLbl>
              <c:idx val="6"/>
              <c:delete val="1"/>
              <c:extLst>
                <c:ext xmlns:c15="http://schemas.microsoft.com/office/drawing/2012/chart" uri="{CE6537A1-D6FC-4f65-9D91-7224C49458BB}"/>
                <c:ext xmlns:c16="http://schemas.microsoft.com/office/drawing/2014/chart" uri="{C3380CC4-5D6E-409C-BE32-E72D297353CC}">
                  <c16:uniqueId val="{00000006-CE60-463B-A517-6F104B6DFF4C}"/>
                </c:ext>
              </c:extLst>
            </c:dLbl>
            <c:dLbl>
              <c:idx val="7"/>
              <c:delete val="1"/>
              <c:extLst>
                <c:ext xmlns:c15="http://schemas.microsoft.com/office/drawing/2012/chart" uri="{CE6537A1-D6FC-4f65-9D91-7224C49458BB}"/>
                <c:ext xmlns:c16="http://schemas.microsoft.com/office/drawing/2014/chart" uri="{C3380CC4-5D6E-409C-BE32-E72D297353CC}">
                  <c16:uniqueId val="{00000007-CE60-463B-A517-6F104B6DFF4C}"/>
                </c:ext>
              </c:extLst>
            </c:dLbl>
            <c:numFmt formatCode="0.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 2.19'!$B$3:$J$3</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'Figur 2.19'!$B$4:$J$4</c:f>
              <c:numCache>
                <c:formatCode>General</c:formatCode>
                <c:ptCount val="9"/>
                <c:pt idx="0">
                  <c:v>7.2700000000000004E-3</c:v>
                </c:pt>
                <c:pt idx="1">
                  <c:v>7.1900000000000002E-3</c:v>
                </c:pt>
                <c:pt idx="2">
                  <c:v>8.8400000000000006E-3</c:v>
                </c:pt>
                <c:pt idx="3">
                  <c:v>9.2099999999999994E-3</c:v>
                </c:pt>
                <c:pt idx="4">
                  <c:v>1.047E-2</c:v>
                </c:pt>
                <c:pt idx="5">
                  <c:v>1.11E-2</c:v>
                </c:pt>
                <c:pt idx="6">
                  <c:v>6.4900000000000001E-3</c:v>
                </c:pt>
                <c:pt idx="7">
                  <c:v>7.5100000000000002E-3</c:v>
                </c:pt>
                <c:pt idx="8">
                  <c:v>1.478E-2</c:v>
                </c:pt>
              </c:numCache>
            </c:numRef>
          </c:val>
          <c:smooth val="0"/>
          <c:extLst>
            <c:ext xmlns:c16="http://schemas.microsoft.com/office/drawing/2014/chart" uri="{C3380CC4-5D6E-409C-BE32-E72D297353CC}">
              <c16:uniqueId val="{00000008-CE60-463B-A517-6F104B6DFF4C}"/>
            </c:ext>
          </c:extLst>
        </c:ser>
        <c:dLbls>
          <c:showLegendKey val="0"/>
          <c:showVal val="0"/>
          <c:showCatName val="0"/>
          <c:showSerName val="0"/>
          <c:showPercent val="0"/>
          <c:showBubbleSize val="0"/>
        </c:dLbls>
        <c:marker val="1"/>
        <c:smooth val="0"/>
        <c:axId val="125825024"/>
        <c:axId val="125899264"/>
      </c:lineChart>
      <c:catAx>
        <c:axId val="125825024"/>
        <c:scaling>
          <c:orientation val="minMax"/>
        </c:scaling>
        <c:delete val="0"/>
        <c:axPos val="b"/>
        <c:numFmt formatCode="General" sourceLinked="1"/>
        <c:majorTickMark val="out"/>
        <c:minorTickMark val="none"/>
        <c:tickLblPos val="nextTo"/>
        <c:spPr>
          <a:ln/>
        </c:spPr>
        <c:crossAx val="125899264"/>
        <c:crosses val="autoZero"/>
        <c:auto val="1"/>
        <c:lblAlgn val="ctr"/>
        <c:lblOffset val="100"/>
        <c:noMultiLvlLbl val="0"/>
      </c:catAx>
      <c:valAx>
        <c:axId val="125899264"/>
        <c:scaling>
          <c:orientation val="minMax"/>
          <c:min val="0"/>
        </c:scaling>
        <c:delete val="0"/>
        <c:axPos val="l"/>
        <c:majorGridlines>
          <c:spPr>
            <a:ln>
              <a:solidFill>
                <a:schemeClr val="accent3">
                  <a:lumMod val="40000"/>
                  <a:lumOff val="60000"/>
                </a:schemeClr>
              </a:solidFill>
            </a:ln>
          </c:spPr>
        </c:majorGridlines>
        <c:numFmt formatCode="0.0\ %" sourceLinked="0"/>
        <c:majorTickMark val="out"/>
        <c:minorTickMark val="none"/>
        <c:tickLblPos val="nextTo"/>
        <c:spPr>
          <a:ln>
            <a:noFill/>
          </a:ln>
        </c:spPr>
        <c:crossAx val="125825024"/>
        <c:crosses val="autoZero"/>
        <c:crossBetween val="midCat"/>
        <c:majorUnit val="4.000000000000001E-3"/>
        <c:minorUnit val="4.0000000000000013E-4"/>
      </c:valAx>
    </c:plotArea>
    <c:plotVisOnly val="1"/>
    <c:dispBlanksAs val="gap"/>
    <c:showDLblsOverMax val="0"/>
  </c:chart>
  <c:spPr>
    <a:ln>
      <a:solidFill>
        <a:schemeClr val="accent3">
          <a:lumMod val="40000"/>
          <a:lumOff val="60000"/>
        </a:schemeClr>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'[figurer_7mars2023_skrivebeskytta.xlsx]Figur 3.1'!$B$3</c:f>
              <c:strCache>
                <c:ptCount val="1"/>
                <c:pt idx="0">
                  <c:v>Kvinner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'[figurer_7mars2023_skrivebeskytta.xlsx]Figur 3.1'!$A$4:$A$13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'[figurer_7mars2023_skrivebeskytta.xlsx]Figur 3.1'!$B$4:$B$13</c:f>
              <c:numCache>
                <c:formatCode>General</c:formatCode>
                <c:ptCount val="10"/>
                <c:pt idx="0">
                  <c:v>720</c:v>
                </c:pt>
                <c:pt idx="1">
                  <c:v>730</c:v>
                </c:pt>
                <c:pt idx="2">
                  <c:v>756</c:v>
                </c:pt>
                <c:pt idx="3">
                  <c:v>673</c:v>
                </c:pt>
                <c:pt idx="4">
                  <c:v>750</c:v>
                </c:pt>
                <c:pt idx="5">
                  <c:v>782</c:v>
                </c:pt>
                <c:pt idx="6">
                  <c:v>790</c:v>
                </c:pt>
                <c:pt idx="7">
                  <c:v>826</c:v>
                </c:pt>
                <c:pt idx="8">
                  <c:v>820</c:v>
                </c:pt>
                <c:pt idx="9">
                  <c:v>808</c:v>
                </c:pt>
              </c:numCache>
            </c:numRef>
          </c:val>
          <c:extLst>
            <c:ext xmlns:c16="http://schemas.microsoft.com/office/drawing/2014/chart" uri="{C3380CC4-5D6E-409C-BE32-E72D297353CC}">
              <c16:uniqueId val="{00000000-790D-41A6-8DC8-064205C2BF2B}"/>
            </c:ext>
          </c:extLst>
        </c:ser>
        <c:ser>
          <c:idx val="1"/>
          <c:order val="1"/>
          <c:tx>
            <c:strRef>
              <c:f>'[figurer_7mars2023_skrivebeskytta.xlsx]Figur 3.1'!$C$3</c:f>
              <c:strCache>
                <c:ptCount val="1"/>
                <c:pt idx="0">
                  <c:v>Menn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'[figurer_7mars2023_skrivebeskytta.xlsx]Figur 3.1'!$A$4:$A$13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'[figurer_7mars2023_skrivebeskytta.xlsx]Figur 3.1'!$C$4:$C$13</c:f>
              <c:numCache>
                <c:formatCode>General</c:formatCode>
                <c:ptCount val="10"/>
                <c:pt idx="0">
                  <c:v>804</c:v>
                </c:pt>
                <c:pt idx="1">
                  <c:v>718</c:v>
                </c:pt>
                <c:pt idx="2">
                  <c:v>680</c:v>
                </c:pt>
                <c:pt idx="3">
                  <c:v>737</c:v>
                </c:pt>
                <c:pt idx="4">
                  <c:v>743</c:v>
                </c:pt>
                <c:pt idx="5">
                  <c:v>782</c:v>
                </c:pt>
                <c:pt idx="6">
                  <c:v>793</c:v>
                </c:pt>
                <c:pt idx="7">
                  <c:v>808</c:v>
                </c:pt>
                <c:pt idx="8">
                  <c:v>781</c:v>
                </c:pt>
                <c:pt idx="9">
                  <c:v>754</c:v>
                </c:pt>
              </c:numCache>
            </c:numRef>
          </c:val>
          <c:extLst>
            <c:ext xmlns:c16="http://schemas.microsoft.com/office/drawing/2014/chart" uri="{C3380CC4-5D6E-409C-BE32-E72D297353CC}">
              <c16:uniqueId val="{00000001-790D-41A6-8DC8-064205C2BF2B}"/>
            </c:ext>
          </c:extLst>
        </c:ser>
        <c:ser>
          <c:idx val="2"/>
          <c:order val="2"/>
          <c:tx>
            <c:strRef>
              <c:f>'[figurer_7mars2023_skrivebeskytta.xlsx]Figur 3.1'!$D$3</c:f>
              <c:strCache>
                <c:ptCount val="1"/>
                <c:pt idx="0">
                  <c:v>Totalt</c:v>
                </c:pt>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'[figurer_7mars2023_skrivebeskytta.xlsx]Figur 3.1'!$A$4:$A$13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'[figurer_7mars2023_skrivebeskytta.xlsx]Figur 3.1'!$D$4:$D$13</c:f>
              <c:numCache>
                <c:formatCode>General</c:formatCode>
                <c:ptCount val="10"/>
                <c:pt idx="0">
                  <c:v>1524</c:v>
                </c:pt>
                <c:pt idx="1">
                  <c:v>1448</c:v>
                </c:pt>
                <c:pt idx="2">
                  <c:v>1436</c:v>
                </c:pt>
                <c:pt idx="3">
                  <c:v>1410</c:v>
                </c:pt>
                <c:pt idx="4">
                  <c:v>1493</c:v>
                </c:pt>
                <c:pt idx="5">
                  <c:v>1564</c:v>
                </c:pt>
                <c:pt idx="6">
                  <c:v>1583</c:v>
                </c:pt>
                <c:pt idx="7">
                  <c:v>1634</c:v>
                </c:pt>
                <c:pt idx="8">
                  <c:v>1601</c:v>
                </c:pt>
                <c:pt idx="9">
                  <c:v>1562</c:v>
                </c:pt>
              </c:numCache>
            </c:numRef>
          </c:val>
          <c:extLst>
            <c:ext xmlns:c16="http://schemas.microsoft.com/office/drawing/2014/chart" uri="{C3380CC4-5D6E-409C-BE32-E72D297353CC}">
              <c16:uniqueId val="{00000002-790D-41A6-8DC8-064205C2BF2B}"/>
            </c:ext>
          </c:extLst>
        </c:ser>
        <c:dLbls>
          <c:dLblPos val="ctr"/>
          <c:showLegendKey val="0"/>
          <c:showVal val="1"/>
          <c:showCatName val="0"/>
          <c:showSerName val="0"/>
          <c:showPercent val="0"/>
          <c:showBubbleSize val="0"/>
        </c:dLbls>
        <c:gapWidth val="150"/>
        <c:overlap val="100"/>
        <c:axId val="126664704"/>
        <c:axId val="128600896"/>
      </c:barChart>
      <c:catAx>
        <c:axId val="126664704"/>
        <c:scaling>
          <c:orientation val="minMax"/>
        </c:scaling>
        <c:delete val="0"/>
        <c:axPos val="b"/>
        <c:numFmt formatCode="General" sourceLinked="1"/>
        <c:majorTickMark val="none"/>
        <c:minorTickMark val="none"/>
        <c:tickLblPos val="nextTo"/>
        <c:spPr>
          <a:ln/>
        </c:spPr>
        <c:crossAx val="128600896"/>
        <c:crosses val="autoZero"/>
        <c:auto val="1"/>
        <c:lblAlgn val="ctr"/>
        <c:lblOffset val="100"/>
        <c:noMultiLvlLbl val="0"/>
      </c:catAx>
      <c:valAx>
        <c:axId val="128600896"/>
        <c:scaling>
          <c:orientation val="minMax"/>
          <c:max val="1800"/>
          <c:min val="0"/>
        </c:scaling>
        <c:delete val="0"/>
        <c:axPos val="l"/>
        <c:majorGridlines>
          <c:spPr>
            <a:ln w="9525">
              <a:solidFill>
                <a:schemeClr val="accent3">
                  <a:lumMod val="40000"/>
                  <a:lumOff val="60000"/>
                </a:schemeClr>
              </a:solidFill>
            </a:ln>
          </c:spPr>
        </c:majorGridlines>
        <c:numFmt formatCode="#,##0" sourceLinked="0"/>
        <c:majorTickMark val="out"/>
        <c:minorTickMark val="none"/>
        <c:tickLblPos val="nextTo"/>
        <c:spPr>
          <a:ln>
            <a:noFill/>
          </a:ln>
        </c:spPr>
        <c:crossAx val="126664704"/>
        <c:crosses val="autoZero"/>
        <c:crossBetween val="between"/>
      </c:valAx>
    </c:plotArea>
    <c:legend>
      <c:legendPos val="b"/>
      <c:legendEntry>
        <c:idx val="2"/>
        <c:delete val="1"/>
      </c:legendEntry>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01571013424241E-2"/>
          <c:y val="4.4097013429545001E-2"/>
          <c:w val="0.91193367291569416"/>
          <c:h val="0.70602869161902704"/>
        </c:manualLayout>
      </c:layout>
      <c:lineChart>
        <c:grouping val="standard"/>
        <c:varyColors val="0"/>
        <c:ser>
          <c:idx val="0"/>
          <c:order val="0"/>
          <c:tx>
            <c:strRef>
              <c:f>AvlagteDoktorgrader!$B$4</c:f>
              <c:strCache>
                <c:ptCount val="1"/>
                <c:pt idx="0">
                  <c:v>Humaniora og kunstfag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AvlagteDoktorgrader!$C$3:$L$3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AvlagteDoktorgrader!$C$4:$L$4</c:f>
              <c:numCache>
                <c:formatCode>0</c:formatCode>
                <c:ptCount val="10"/>
                <c:pt idx="0">
                  <c:v>142</c:v>
                </c:pt>
                <c:pt idx="1">
                  <c:v>151</c:v>
                </c:pt>
                <c:pt idx="2">
                  <c:v>133</c:v>
                </c:pt>
                <c:pt idx="3">
                  <c:v>144</c:v>
                </c:pt>
                <c:pt idx="4">
                  <c:v>131</c:v>
                </c:pt>
                <c:pt idx="5">
                  <c:v>126</c:v>
                </c:pt>
                <c:pt idx="6">
                  <c:v>131</c:v>
                </c:pt>
                <c:pt idx="7">
                  <c:v>122</c:v>
                </c:pt>
                <c:pt idx="8">
                  <c:v>122</c:v>
                </c:pt>
                <c:pt idx="9">
                  <c:v>136</c:v>
                </c:pt>
              </c:numCache>
            </c:numRef>
          </c:val>
          <c:smooth val="0"/>
          <c:extLst>
            <c:ext xmlns:c16="http://schemas.microsoft.com/office/drawing/2014/chart" uri="{C3380CC4-5D6E-409C-BE32-E72D297353CC}">
              <c16:uniqueId val="{00000000-577A-419A-8FC3-4049DBC83FD2}"/>
            </c:ext>
          </c:extLst>
        </c:ser>
        <c:ser>
          <c:idx val="1"/>
          <c:order val="1"/>
          <c:tx>
            <c:strRef>
              <c:f>AvlagteDoktorgrader!$B$5</c:f>
              <c:strCache>
                <c:ptCount val="1"/>
                <c:pt idx="0">
                  <c:v>Samfunnsvitenskap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AvlagteDoktorgrader!$C$3:$L$3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AvlagteDoktorgrader!$C$5:$L$5</c:f>
              <c:numCache>
                <c:formatCode>0</c:formatCode>
                <c:ptCount val="10"/>
                <c:pt idx="0">
                  <c:v>279</c:v>
                </c:pt>
                <c:pt idx="1">
                  <c:v>291</c:v>
                </c:pt>
                <c:pt idx="2">
                  <c:v>336</c:v>
                </c:pt>
                <c:pt idx="3">
                  <c:v>318</c:v>
                </c:pt>
                <c:pt idx="4">
                  <c:v>301</c:v>
                </c:pt>
                <c:pt idx="5">
                  <c:v>356</c:v>
                </c:pt>
                <c:pt idx="6">
                  <c:v>350</c:v>
                </c:pt>
                <c:pt idx="7">
                  <c:v>351</c:v>
                </c:pt>
                <c:pt idx="8">
                  <c:v>356</c:v>
                </c:pt>
                <c:pt idx="9">
                  <c:v>369</c:v>
                </c:pt>
              </c:numCache>
            </c:numRef>
          </c:val>
          <c:smooth val="0"/>
          <c:extLst>
            <c:ext xmlns:c16="http://schemas.microsoft.com/office/drawing/2014/chart" uri="{C3380CC4-5D6E-409C-BE32-E72D297353CC}">
              <c16:uniqueId val="{00000001-577A-419A-8FC3-4049DBC83FD2}"/>
            </c:ext>
          </c:extLst>
        </c:ser>
        <c:ser>
          <c:idx val="2"/>
          <c:order val="2"/>
          <c:tx>
            <c:strRef>
              <c:f>AvlagteDoktorgrader!$B$6</c:f>
              <c:strCache>
                <c:ptCount val="1"/>
                <c:pt idx="0">
                  <c:v>Matematikk og naturvitenskap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AvlagteDoktorgrader!$C$3:$L$3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AvlagteDoktorgrader!$C$6:$L$6</c:f>
              <c:numCache>
                <c:formatCode>0</c:formatCode>
                <c:ptCount val="10"/>
                <c:pt idx="0">
                  <c:v>360</c:v>
                </c:pt>
                <c:pt idx="1">
                  <c:v>348</c:v>
                </c:pt>
                <c:pt idx="2">
                  <c:v>318</c:v>
                </c:pt>
                <c:pt idx="3">
                  <c:v>297</c:v>
                </c:pt>
                <c:pt idx="4">
                  <c:v>340</c:v>
                </c:pt>
                <c:pt idx="5">
                  <c:v>297</c:v>
                </c:pt>
                <c:pt idx="6">
                  <c:v>309</c:v>
                </c:pt>
                <c:pt idx="7">
                  <c:v>303</c:v>
                </c:pt>
                <c:pt idx="8">
                  <c:v>319</c:v>
                </c:pt>
                <c:pt idx="9">
                  <c:v>258</c:v>
                </c:pt>
              </c:numCache>
            </c:numRef>
          </c:val>
          <c:smooth val="0"/>
          <c:extLst>
            <c:ext xmlns:c16="http://schemas.microsoft.com/office/drawing/2014/chart" uri="{C3380CC4-5D6E-409C-BE32-E72D297353CC}">
              <c16:uniqueId val="{00000002-577A-419A-8FC3-4049DBC83FD2}"/>
            </c:ext>
          </c:extLst>
        </c:ser>
        <c:ser>
          <c:idx val="3"/>
          <c:order val="3"/>
          <c:tx>
            <c:strRef>
              <c:f>AvlagteDoktorgrader!$B$7</c:f>
              <c:strCache>
                <c:ptCount val="1"/>
                <c:pt idx="0">
                  <c:v>Teknologi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AvlagteDoktorgrader!$C$3:$L$3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AvlagteDoktorgrader!$C$7:$L$7</c:f>
              <c:numCache>
                <c:formatCode>0</c:formatCode>
                <c:ptCount val="10"/>
                <c:pt idx="0">
                  <c:v>193</c:v>
                </c:pt>
                <c:pt idx="1">
                  <c:v>159</c:v>
                </c:pt>
                <c:pt idx="2">
                  <c:v>170</c:v>
                </c:pt>
                <c:pt idx="3">
                  <c:v>179</c:v>
                </c:pt>
                <c:pt idx="4">
                  <c:v>201</c:v>
                </c:pt>
                <c:pt idx="5">
                  <c:v>255</c:v>
                </c:pt>
                <c:pt idx="6">
                  <c:v>261</c:v>
                </c:pt>
                <c:pt idx="7">
                  <c:v>268</c:v>
                </c:pt>
                <c:pt idx="8">
                  <c:v>274</c:v>
                </c:pt>
                <c:pt idx="9">
                  <c:v>281</c:v>
                </c:pt>
              </c:numCache>
            </c:numRef>
          </c:val>
          <c:smooth val="0"/>
          <c:extLst>
            <c:ext xmlns:c16="http://schemas.microsoft.com/office/drawing/2014/chart" uri="{C3380CC4-5D6E-409C-BE32-E72D297353CC}">
              <c16:uniqueId val="{00000003-577A-419A-8FC3-4049DBC83FD2}"/>
            </c:ext>
          </c:extLst>
        </c:ser>
        <c:ser>
          <c:idx val="4"/>
          <c:order val="4"/>
          <c:tx>
            <c:strRef>
              <c:f>AvlagteDoktorgrader!$B$8</c:f>
              <c:strCache>
                <c:ptCount val="1"/>
                <c:pt idx="0">
                  <c:v>Medisin og helsefag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AvlagteDoktorgrader!$C$3:$L$3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AvlagteDoktorgrader!$C$8:$L$8</c:f>
              <c:numCache>
                <c:formatCode>0</c:formatCode>
                <c:ptCount val="10"/>
                <c:pt idx="0">
                  <c:v>485</c:v>
                </c:pt>
                <c:pt idx="1">
                  <c:v>445</c:v>
                </c:pt>
                <c:pt idx="2">
                  <c:v>431</c:v>
                </c:pt>
                <c:pt idx="3">
                  <c:v>432</c:v>
                </c:pt>
                <c:pt idx="4">
                  <c:v>477</c:v>
                </c:pt>
                <c:pt idx="5">
                  <c:v>487</c:v>
                </c:pt>
                <c:pt idx="6">
                  <c:v>474</c:v>
                </c:pt>
                <c:pt idx="7">
                  <c:v>552</c:v>
                </c:pt>
                <c:pt idx="8">
                  <c:v>471</c:v>
                </c:pt>
                <c:pt idx="9">
                  <c:v>475</c:v>
                </c:pt>
              </c:numCache>
            </c:numRef>
          </c:val>
          <c:smooth val="0"/>
          <c:extLst>
            <c:ext xmlns:c16="http://schemas.microsoft.com/office/drawing/2014/chart" uri="{C3380CC4-5D6E-409C-BE32-E72D297353CC}">
              <c16:uniqueId val="{00000004-577A-419A-8FC3-4049DBC83FD2}"/>
            </c:ext>
          </c:extLst>
        </c:ser>
        <c:ser>
          <c:idx val="5"/>
          <c:order val="5"/>
          <c:tx>
            <c:strRef>
              <c:f>AvlagteDoktorgrader!$B$9</c:f>
              <c:strCache>
                <c:ptCount val="1"/>
                <c:pt idx="0">
                  <c:v>Landbruks- og fiskerifag og veterinærmedisin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AvlagteDoktorgrader!$C$3:$L$3</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AvlagteDoktorgrader!$C$9:$L$9</c:f>
              <c:numCache>
                <c:formatCode>0</c:formatCode>
                <c:ptCount val="10"/>
                <c:pt idx="0">
                  <c:v>65</c:v>
                </c:pt>
                <c:pt idx="1">
                  <c:v>54</c:v>
                </c:pt>
                <c:pt idx="2">
                  <c:v>48</c:v>
                </c:pt>
                <c:pt idx="3">
                  <c:v>40</c:v>
                </c:pt>
                <c:pt idx="4">
                  <c:v>43</c:v>
                </c:pt>
                <c:pt idx="5">
                  <c:v>43</c:v>
                </c:pt>
                <c:pt idx="6">
                  <c:v>58</c:v>
                </c:pt>
                <c:pt idx="7">
                  <c:v>38</c:v>
                </c:pt>
                <c:pt idx="8">
                  <c:v>59</c:v>
                </c:pt>
                <c:pt idx="9">
                  <c:v>43</c:v>
                </c:pt>
              </c:numCache>
            </c:numRef>
          </c:val>
          <c:smooth val="0"/>
          <c:extLst>
            <c:ext xmlns:c16="http://schemas.microsoft.com/office/drawing/2014/chart" uri="{C3380CC4-5D6E-409C-BE32-E72D297353CC}">
              <c16:uniqueId val="{00000005-577A-419A-8FC3-4049DBC83FD2}"/>
            </c:ext>
          </c:extLst>
        </c:ser>
        <c:dLbls>
          <c:showLegendKey val="0"/>
          <c:showVal val="0"/>
          <c:showCatName val="0"/>
          <c:showSerName val="0"/>
          <c:showPercent val="0"/>
          <c:showBubbleSize val="0"/>
        </c:dLbls>
        <c:marker val="1"/>
        <c:smooth val="0"/>
        <c:axId val="649673488"/>
        <c:axId val="649048112"/>
      </c:lineChart>
      <c:catAx>
        <c:axId val="649673488"/>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49048112"/>
        <c:crosses val="autoZero"/>
        <c:auto val="1"/>
        <c:lblAlgn val="ctr"/>
        <c:lblOffset val="100"/>
        <c:noMultiLvlLbl val="0"/>
      </c:catAx>
      <c:valAx>
        <c:axId val="64904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49673488"/>
        <c:crosses val="autoZero"/>
        <c:crossBetween val="midCat"/>
      </c:valAx>
      <c:spPr>
        <a:noFill/>
        <a:ln>
          <a:noFill/>
        </a:ln>
        <a:effectLst/>
      </c:spPr>
    </c:plotArea>
    <c:legend>
      <c:legendPos val="b"/>
      <c:layout>
        <c:manualLayout>
          <c:xMode val="edge"/>
          <c:yMode val="edge"/>
          <c:x val="3.4446508340657656E-2"/>
          <c:y val="0.83958494229317226"/>
          <c:w val="0.94845188187429419"/>
          <c:h val="0.134996728148707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AvlagteDoktorgrader!$A$17</c:f>
              <c:strCache>
                <c:ptCount val="1"/>
                <c:pt idx="0">
                  <c:v>Norden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AvlagteDoktorgrader!$B$17:$K$17</c:f>
              <c:numCache>
                <c:formatCode>0</c:formatCode>
                <c:ptCount val="10"/>
                <c:pt idx="0">
                  <c:v>56</c:v>
                </c:pt>
                <c:pt idx="1">
                  <c:v>52</c:v>
                </c:pt>
                <c:pt idx="2">
                  <c:v>44</c:v>
                </c:pt>
                <c:pt idx="3">
                  <c:v>48</c:v>
                </c:pt>
                <c:pt idx="4">
                  <c:v>58</c:v>
                </c:pt>
                <c:pt idx="5">
                  <c:v>68</c:v>
                </c:pt>
                <c:pt idx="6">
                  <c:v>55</c:v>
                </c:pt>
                <c:pt idx="7">
                  <c:v>55</c:v>
                </c:pt>
                <c:pt idx="8">
                  <c:v>67</c:v>
                </c:pt>
                <c:pt idx="9">
                  <c:v>61</c:v>
                </c:pt>
              </c:numCache>
            </c:numRef>
          </c:val>
          <c:smooth val="0"/>
          <c:extLst>
            <c:ext xmlns:c16="http://schemas.microsoft.com/office/drawing/2014/chart" uri="{C3380CC4-5D6E-409C-BE32-E72D297353CC}">
              <c16:uniqueId val="{00000000-F1A1-4F14-8978-1730B71A8B67}"/>
            </c:ext>
          </c:extLst>
        </c:ser>
        <c:ser>
          <c:idx val="1"/>
          <c:order val="1"/>
          <c:tx>
            <c:strRef>
              <c:f>AvlagteDoktorgrader!$A$18</c:f>
              <c:strCache>
                <c:ptCount val="1"/>
                <c:pt idx="0">
                  <c:v>Europa utenom Norden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AvlagteDoktorgrader!$B$18:$K$18</c:f>
              <c:numCache>
                <c:formatCode>0</c:formatCode>
                <c:ptCount val="10"/>
                <c:pt idx="0">
                  <c:v>177</c:v>
                </c:pt>
                <c:pt idx="1">
                  <c:v>190</c:v>
                </c:pt>
                <c:pt idx="2">
                  <c:v>210</c:v>
                </c:pt>
                <c:pt idx="3">
                  <c:v>212</c:v>
                </c:pt>
                <c:pt idx="4">
                  <c:v>258</c:v>
                </c:pt>
                <c:pt idx="5">
                  <c:v>279</c:v>
                </c:pt>
                <c:pt idx="6">
                  <c:v>257</c:v>
                </c:pt>
                <c:pt idx="7">
                  <c:v>290</c:v>
                </c:pt>
                <c:pt idx="8">
                  <c:v>298</c:v>
                </c:pt>
                <c:pt idx="9">
                  <c:v>265</c:v>
                </c:pt>
              </c:numCache>
            </c:numRef>
          </c:val>
          <c:smooth val="0"/>
          <c:extLst>
            <c:ext xmlns:c16="http://schemas.microsoft.com/office/drawing/2014/chart" uri="{C3380CC4-5D6E-409C-BE32-E72D297353CC}">
              <c16:uniqueId val="{00000001-F1A1-4F14-8978-1730B71A8B67}"/>
            </c:ext>
          </c:extLst>
        </c:ser>
        <c:ser>
          <c:idx val="2"/>
          <c:order val="2"/>
          <c:tx>
            <c:strRef>
              <c:f>AvlagteDoktorgrader!$A$19</c:f>
              <c:strCache>
                <c:ptCount val="1"/>
                <c:pt idx="0">
                  <c:v>Afrika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AvlagteDoktorgrader!$B$19:$K$19</c:f>
              <c:numCache>
                <c:formatCode>0</c:formatCode>
                <c:ptCount val="10"/>
                <c:pt idx="0">
                  <c:v>78</c:v>
                </c:pt>
                <c:pt idx="1">
                  <c:v>64</c:v>
                </c:pt>
                <c:pt idx="2">
                  <c:v>68</c:v>
                </c:pt>
                <c:pt idx="3">
                  <c:v>68</c:v>
                </c:pt>
                <c:pt idx="4">
                  <c:v>56</c:v>
                </c:pt>
                <c:pt idx="5">
                  <c:v>75</c:v>
                </c:pt>
                <c:pt idx="6">
                  <c:v>78</c:v>
                </c:pt>
                <c:pt idx="7">
                  <c:v>79</c:v>
                </c:pt>
                <c:pt idx="8">
                  <c:v>78</c:v>
                </c:pt>
                <c:pt idx="9">
                  <c:v>56</c:v>
                </c:pt>
              </c:numCache>
            </c:numRef>
          </c:val>
          <c:smooth val="0"/>
          <c:extLst>
            <c:ext xmlns:c16="http://schemas.microsoft.com/office/drawing/2014/chart" uri="{C3380CC4-5D6E-409C-BE32-E72D297353CC}">
              <c16:uniqueId val="{00000002-F1A1-4F14-8978-1730B71A8B67}"/>
            </c:ext>
          </c:extLst>
        </c:ser>
        <c:ser>
          <c:idx val="3"/>
          <c:order val="3"/>
          <c:tx>
            <c:strRef>
              <c:f>AvlagteDoktorgrader!$A$20</c:f>
              <c:strCache>
                <c:ptCount val="1"/>
                <c:pt idx="0">
                  <c:v>Asia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AvlagteDoktorgrader!$B$20:$K$20</c:f>
              <c:numCache>
                <c:formatCode>0</c:formatCode>
                <c:ptCount val="10"/>
                <c:pt idx="0">
                  <c:v>202</c:v>
                </c:pt>
                <c:pt idx="1">
                  <c:v>161</c:v>
                </c:pt>
                <c:pt idx="2">
                  <c:v>170</c:v>
                </c:pt>
                <c:pt idx="3">
                  <c:v>157</c:v>
                </c:pt>
                <c:pt idx="4">
                  <c:v>157</c:v>
                </c:pt>
                <c:pt idx="5">
                  <c:v>186</c:v>
                </c:pt>
                <c:pt idx="6">
                  <c:v>189</c:v>
                </c:pt>
                <c:pt idx="7">
                  <c:v>178</c:v>
                </c:pt>
                <c:pt idx="8">
                  <c:v>201</c:v>
                </c:pt>
                <c:pt idx="9">
                  <c:v>181</c:v>
                </c:pt>
              </c:numCache>
            </c:numRef>
          </c:val>
          <c:smooth val="0"/>
          <c:extLst>
            <c:ext xmlns:c16="http://schemas.microsoft.com/office/drawing/2014/chart" uri="{C3380CC4-5D6E-409C-BE32-E72D297353CC}">
              <c16:uniqueId val="{00000003-F1A1-4F14-8978-1730B71A8B67}"/>
            </c:ext>
          </c:extLst>
        </c:ser>
        <c:ser>
          <c:idx val="4"/>
          <c:order val="4"/>
          <c:tx>
            <c:strRef>
              <c:f>AvlagteDoktorgrader!$A$21</c:f>
              <c:strCache>
                <c:ptCount val="1"/>
                <c:pt idx="0">
                  <c:v>Nord-Amerika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AvlagteDoktorgrader!$B$21:$K$21</c:f>
              <c:numCache>
                <c:formatCode>0</c:formatCode>
                <c:ptCount val="10"/>
                <c:pt idx="0">
                  <c:v>19</c:v>
                </c:pt>
                <c:pt idx="1">
                  <c:v>18</c:v>
                </c:pt>
                <c:pt idx="2">
                  <c:v>15</c:v>
                </c:pt>
                <c:pt idx="3">
                  <c:v>22</c:v>
                </c:pt>
                <c:pt idx="4">
                  <c:v>28</c:v>
                </c:pt>
                <c:pt idx="5">
                  <c:v>15</c:v>
                </c:pt>
                <c:pt idx="6">
                  <c:v>31</c:v>
                </c:pt>
                <c:pt idx="7">
                  <c:v>26</c:v>
                </c:pt>
                <c:pt idx="8">
                  <c:v>26</c:v>
                </c:pt>
                <c:pt idx="9">
                  <c:v>32</c:v>
                </c:pt>
              </c:numCache>
            </c:numRef>
          </c:val>
          <c:smooth val="0"/>
          <c:extLst>
            <c:ext xmlns:c16="http://schemas.microsoft.com/office/drawing/2014/chart" uri="{C3380CC4-5D6E-409C-BE32-E72D297353CC}">
              <c16:uniqueId val="{00000004-F1A1-4F14-8978-1730B71A8B67}"/>
            </c:ext>
          </c:extLst>
        </c:ser>
        <c:ser>
          <c:idx val="5"/>
          <c:order val="5"/>
          <c:tx>
            <c:strRef>
              <c:f>AvlagteDoktorgrader!$A$22</c:f>
              <c:strCache>
                <c:ptCount val="1"/>
                <c:pt idx="0">
                  <c:v>Sør- og Mellom-Amerika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AvlagteDoktorgrader!$B$22:$K$22</c:f>
              <c:numCache>
                <c:formatCode>0</c:formatCode>
                <c:ptCount val="10"/>
                <c:pt idx="0">
                  <c:v>18</c:v>
                </c:pt>
                <c:pt idx="1">
                  <c:v>13</c:v>
                </c:pt>
                <c:pt idx="2">
                  <c:v>23</c:v>
                </c:pt>
                <c:pt idx="3">
                  <c:v>22</c:v>
                </c:pt>
                <c:pt idx="4">
                  <c:v>20</c:v>
                </c:pt>
                <c:pt idx="5">
                  <c:v>28</c:v>
                </c:pt>
                <c:pt idx="6">
                  <c:v>18</c:v>
                </c:pt>
                <c:pt idx="7">
                  <c:v>22</c:v>
                </c:pt>
                <c:pt idx="8">
                  <c:v>23</c:v>
                </c:pt>
                <c:pt idx="9">
                  <c:v>31</c:v>
                </c:pt>
              </c:numCache>
            </c:numRef>
          </c:val>
          <c:smooth val="0"/>
          <c:extLst>
            <c:ext xmlns:c16="http://schemas.microsoft.com/office/drawing/2014/chart" uri="{C3380CC4-5D6E-409C-BE32-E72D297353CC}">
              <c16:uniqueId val="{00000005-F1A1-4F14-8978-1730B71A8B67}"/>
            </c:ext>
          </c:extLst>
        </c:ser>
        <c:ser>
          <c:idx val="6"/>
          <c:order val="6"/>
          <c:tx>
            <c:strRef>
              <c:f>AvlagteDoktorgrader!$A$23</c:f>
              <c:strCache>
                <c:ptCount val="1"/>
                <c:pt idx="0">
                  <c:v>Oseania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AvlagteDoktorgrader!$B$16:$K$16</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AvlagteDoktorgrader!$B$23:$K$23</c:f>
              <c:numCache>
                <c:formatCode>0</c:formatCode>
                <c:ptCount val="10"/>
                <c:pt idx="0">
                  <c:v>2</c:v>
                </c:pt>
                <c:pt idx="1">
                  <c:v>5</c:v>
                </c:pt>
                <c:pt idx="2">
                  <c:v>4</c:v>
                </c:pt>
                <c:pt idx="3">
                  <c:v>3</c:v>
                </c:pt>
                <c:pt idx="4">
                  <c:v>4</c:v>
                </c:pt>
                <c:pt idx="5">
                  <c:v>7</c:v>
                </c:pt>
                <c:pt idx="6">
                  <c:v>6</c:v>
                </c:pt>
                <c:pt idx="7">
                  <c:v>5</c:v>
                </c:pt>
                <c:pt idx="8">
                  <c:v>4</c:v>
                </c:pt>
                <c:pt idx="9">
                  <c:v>3</c:v>
                </c:pt>
              </c:numCache>
            </c:numRef>
          </c:val>
          <c:smooth val="0"/>
          <c:extLst>
            <c:ext xmlns:c16="http://schemas.microsoft.com/office/drawing/2014/chart" uri="{C3380CC4-5D6E-409C-BE32-E72D297353CC}">
              <c16:uniqueId val="{00000006-F1A1-4F14-8978-1730B71A8B67}"/>
            </c:ext>
          </c:extLst>
        </c:ser>
        <c:dLbls>
          <c:showLegendKey val="0"/>
          <c:showVal val="0"/>
          <c:showCatName val="0"/>
          <c:showSerName val="0"/>
          <c:showPercent val="0"/>
          <c:showBubbleSize val="0"/>
        </c:dLbls>
        <c:marker val="1"/>
        <c:smooth val="0"/>
        <c:axId val="421097071"/>
        <c:axId val="421089583"/>
      </c:lineChart>
      <c:catAx>
        <c:axId val="421097071"/>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21089583"/>
        <c:crosses val="autoZero"/>
        <c:auto val="1"/>
        <c:lblAlgn val="ctr"/>
        <c:lblOffset val="100"/>
        <c:noMultiLvlLbl val="0"/>
      </c:catAx>
      <c:valAx>
        <c:axId val="421089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2109707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52638297262024"/>
          <c:y val="7.0845100973948499E-2"/>
          <c:w val="0.59232601389307216"/>
          <c:h val="0.67187392898201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04-48C6-9AA9-9BEECA9350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04-48C6-9AA9-9BEECA9350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04-48C6-9AA9-9BEECA9350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C04-48C6-9AA9-9BEECA9350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C04-48C6-9AA9-9BEECA9350E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C04-48C6-9AA9-9BEECA9350E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C04-48C6-9AA9-9BEECA9350E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C04-48C6-9AA9-9BEECA9350E1}"/>
              </c:ext>
            </c:extLst>
          </c:dPt>
          <c:dLbls>
            <c:dLbl>
              <c:idx val="0"/>
              <c:layout>
                <c:manualLayout>
                  <c:x val="-2.0283975659229209E-3"/>
                  <c:y val="-0.1338810284497185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888001575867926"/>
                      <c:h val="0.13635595870005068"/>
                    </c:manualLayout>
                  </c15:layout>
                </c:ext>
                <c:ext xmlns:c16="http://schemas.microsoft.com/office/drawing/2014/chart" uri="{C3380CC4-5D6E-409C-BE32-E72D297353CC}">
                  <c16:uniqueId val="{00000001-7C04-48C6-9AA9-9BEECA9350E1}"/>
                </c:ext>
              </c:extLst>
            </c:dLbl>
            <c:dLbl>
              <c:idx val="4"/>
              <c:layout>
                <c:manualLayout>
                  <c:x val="-1.293800539083558E-2"/>
                  <c:y val="-4.46428571428571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04-48C6-9AA9-9BEECA9350E1}"/>
                </c:ext>
              </c:extLst>
            </c:dLbl>
            <c:dLbl>
              <c:idx val="6"/>
              <c:layout>
                <c:manualLayout>
                  <c:x val="-8.6253369272237205E-3"/>
                  <c:y val="3.03030303030303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C04-48C6-9AA9-9BEECA9350E1}"/>
                </c:ext>
              </c:extLst>
            </c:dLbl>
            <c:dLbl>
              <c:idx val="7"/>
              <c:layout>
                <c:manualLayout>
                  <c:x val="-3.8814016172506738E-2"/>
                  <c:y val="1.65289256198347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C04-48C6-9AA9-9BEECA9350E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b-N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'[phd_2013_2021 (version 1).xlsx]Sheet1'!$E$2:$E$9</c:f>
              <c:strCache>
                <c:ptCount val="8"/>
                <c:pt idx="0">
                  <c:v>Universitet- og høgskolesektoren</c:v>
                </c:pt>
                <c:pt idx="1">
                  <c:v>Instituttsektoren</c:v>
                </c:pt>
                <c:pt idx="2">
                  <c:v>Helseforetak (FoU-arbeid)</c:v>
                </c:pt>
                <c:pt idx="3">
                  <c:v>Forskning og utviklingsarbeid</c:v>
                </c:pt>
                <c:pt idx="4">
                  <c:v>Off.adm., forsvar, sosialforsikring, undervisning</c:v>
                </c:pt>
                <c:pt idx="5">
                  <c:v>Helsetjenester</c:v>
                </c:pt>
                <c:pt idx="6">
                  <c:v>Andre næringer</c:v>
                </c:pt>
                <c:pt idx="7">
                  <c:v>Ukjent</c:v>
                </c:pt>
              </c:strCache>
            </c:strRef>
          </c:cat>
          <c:val>
            <c:numRef>
              <c:f>'[phd_2013_2021 (version 1).xlsx]Sheet1'!$F$2:$F$9</c:f>
              <c:numCache>
                <c:formatCode>General</c:formatCode>
                <c:ptCount val="8"/>
                <c:pt idx="0">
                  <c:v>3072</c:v>
                </c:pt>
                <c:pt idx="1">
                  <c:v>1029</c:v>
                </c:pt>
                <c:pt idx="2">
                  <c:v>1174</c:v>
                </c:pt>
                <c:pt idx="3">
                  <c:v>198</c:v>
                </c:pt>
                <c:pt idx="4">
                  <c:v>544</c:v>
                </c:pt>
                <c:pt idx="5">
                  <c:v>889</c:v>
                </c:pt>
                <c:pt idx="6">
                  <c:v>1169</c:v>
                </c:pt>
                <c:pt idx="7">
                  <c:v>337</c:v>
                </c:pt>
              </c:numCache>
            </c:numRef>
          </c:val>
          <c:extLst>
            <c:ext xmlns:c16="http://schemas.microsoft.com/office/drawing/2014/chart" uri="{C3380CC4-5D6E-409C-BE32-E72D297353CC}">
              <c16:uniqueId val="{00000010-7C04-48C6-9AA9-9BEECA9350E1}"/>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1.1763956991902209E-2"/>
          <c:y val="0.84930934253053081"/>
          <c:w val="0.94707473177807699"/>
          <c:h val="0.14271946378603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3188855239249"/>
          <c:y val="6.0440398914330083E-2"/>
          <c:w val="0.60643895820714722"/>
          <c:h val="0.700101809524448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E-4FC7-942E-242C5F7590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E-4FC7-942E-242C5F7590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1E-4FC7-942E-242C5F7590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1E-4FC7-942E-242C5F7590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1E-4FC7-942E-242C5F75909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1E-4FC7-942E-242C5F75909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1E-4FC7-942E-242C5F75909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1E-4FC7-942E-242C5F75909A}"/>
              </c:ext>
            </c:extLst>
          </c:dPt>
          <c:dLbls>
            <c:dLbl>
              <c:idx val="0"/>
              <c:dLblPos val="outEnd"/>
              <c:showLegendKey val="0"/>
              <c:showVal val="0"/>
              <c:showCatName val="1"/>
              <c:showSerName val="0"/>
              <c:showPercent val="1"/>
              <c:showBubbleSize val="0"/>
              <c:extLst>
                <c:ext xmlns:c15="http://schemas.microsoft.com/office/drawing/2012/chart" uri="{CE6537A1-D6FC-4f65-9D91-7224C49458BB}">
                  <c15:layout>
                    <c:manualLayout>
                      <c:w val="0.21790387537590186"/>
                      <c:h val="0.13962731212578799"/>
                    </c:manualLayout>
                  </c15:layout>
                </c:ext>
                <c:ext xmlns:c16="http://schemas.microsoft.com/office/drawing/2014/chart" uri="{C3380CC4-5D6E-409C-BE32-E72D297353CC}">
                  <c16:uniqueId val="{00000001-441E-4FC7-942E-242C5F75909A}"/>
                </c:ext>
              </c:extLst>
            </c:dLbl>
            <c:dLbl>
              <c:idx val="1"/>
              <c:layout>
                <c:manualLayout>
                  <c:x val="1.5415643894715688E-2"/>
                  <c:y val="-4.78115535449018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1E-4FC7-942E-242C5F75909A}"/>
                </c:ext>
              </c:extLst>
            </c:dLbl>
            <c:dLbl>
              <c:idx val="2"/>
              <c:layout>
                <c:manualLayout>
                  <c:x val="5.1186847352235477E-2"/>
                  <c:y val="-5.52798467759097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1E-4FC7-942E-242C5F75909A}"/>
                </c:ext>
              </c:extLst>
            </c:dLbl>
            <c:dLbl>
              <c:idx val="3"/>
              <c:layout>
                <c:manualLayout>
                  <c:x val="8.2731358984985071E-2"/>
                  <c:y val="-2.832143255811671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1E-4FC7-942E-242C5F75909A}"/>
                </c:ext>
              </c:extLst>
            </c:dLbl>
            <c:dLbl>
              <c:idx val="4"/>
              <c:layout>
                <c:manualLayout>
                  <c:x val="0.10821809217167692"/>
                  <c:y val="6.95271051860066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41E-4FC7-942E-242C5F75909A}"/>
                </c:ext>
              </c:extLst>
            </c:dLbl>
            <c:dLbl>
              <c:idx val="5"/>
              <c:layout>
                <c:manualLayout>
                  <c:x val="-2.1298367746950087E-2"/>
                  <c:y val="5.77914559016920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41E-4FC7-942E-242C5F75909A}"/>
                </c:ext>
              </c:extLst>
            </c:dLbl>
            <c:dLbl>
              <c:idx val="6"/>
              <c:layout>
                <c:manualLayout>
                  <c:x val="-4.4582040445492764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41E-4FC7-942E-242C5F7590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b-N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'[phd_2013_2021 (version 1).xlsx]Sheet1'!$E$23:$E$30</c:f>
              <c:strCache>
                <c:ptCount val="8"/>
                <c:pt idx="0">
                  <c:v>Universitet- og høgskolesektoren</c:v>
                </c:pt>
                <c:pt idx="1">
                  <c:v>Instituttsektoren</c:v>
                </c:pt>
                <c:pt idx="2">
                  <c:v>Helseforetak (FoU-arbeid)</c:v>
                </c:pt>
                <c:pt idx="3">
                  <c:v>Forskning og utviklingsarbeid</c:v>
                </c:pt>
                <c:pt idx="4">
                  <c:v>Off.adm., forsvar, sosialforsikring, undervisning</c:v>
                </c:pt>
                <c:pt idx="5">
                  <c:v>Helsetjenester</c:v>
                </c:pt>
                <c:pt idx="6">
                  <c:v>Andre næringer</c:v>
                </c:pt>
                <c:pt idx="7">
                  <c:v>Ukjent</c:v>
                </c:pt>
              </c:strCache>
            </c:strRef>
          </c:cat>
          <c:val>
            <c:numRef>
              <c:f>'[phd_2013_2021 (version 1).xlsx]Sheet1'!$F$23:$F$30</c:f>
              <c:numCache>
                <c:formatCode>General</c:formatCode>
                <c:ptCount val="8"/>
                <c:pt idx="0">
                  <c:v>993</c:v>
                </c:pt>
                <c:pt idx="1">
                  <c:v>377</c:v>
                </c:pt>
                <c:pt idx="2">
                  <c:v>162</c:v>
                </c:pt>
                <c:pt idx="3">
                  <c:v>87</c:v>
                </c:pt>
                <c:pt idx="4">
                  <c:v>117</c:v>
                </c:pt>
                <c:pt idx="5">
                  <c:v>110</c:v>
                </c:pt>
                <c:pt idx="6">
                  <c:v>498</c:v>
                </c:pt>
                <c:pt idx="7">
                  <c:v>2086</c:v>
                </c:pt>
              </c:numCache>
            </c:numRef>
          </c:val>
          <c:extLst>
            <c:ext xmlns:c16="http://schemas.microsoft.com/office/drawing/2014/chart" uri="{C3380CC4-5D6E-409C-BE32-E72D297353CC}">
              <c16:uniqueId val="{00000010-441E-4FC7-942E-242C5F75909A}"/>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9.4508465411780561E-3"/>
          <c:y val="0.84992964920480829"/>
          <c:w val="0.98324422966442504"/>
          <c:h val="0.14702621076475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39627451210911E-2"/>
          <c:y val="2.9018334536279562E-2"/>
          <c:w val="0.87629747041766382"/>
          <c:h val="0.69994826990433001"/>
        </c:manualLayout>
      </c:layout>
      <c:lineChart>
        <c:grouping val="standard"/>
        <c:varyColors val="0"/>
        <c:ser>
          <c:idx val="0"/>
          <c:order val="0"/>
          <c:tx>
            <c:strRef>
              <c:f>'Figur 3.5'!$B$3</c:f>
              <c:strCache>
                <c:ptCount val="1"/>
                <c:pt idx="0">
                  <c:v>Statlige institusjoner</c:v>
                </c:pt>
              </c:strCache>
            </c:strRef>
          </c:tx>
          <c:spPr>
            <a:ln w="31750"/>
          </c:spPr>
          <c:marker>
            <c:symbol val="circle"/>
            <c:size val="6"/>
          </c:marker>
          <c:cat>
            <c:numRef>
              <c:f>'Figur 3.5'!$A$4:$A$13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3.5'!$B$4:$B$13</c:f>
              <c:numCache>
                <c:formatCode>General</c:formatCode>
                <c:ptCount val="10"/>
                <c:pt idx="0">
                  <c:v>1.1501999999999999</c:v>
                </c:pt>
                <c:pt idx="1">
                  <c:v>1.1515</c:v>
                </c:pt>
                <c:pt idx="2">
                  <c:v>1.1327799999999999</c:v>
                </c:pt>
                <c:pt idx="3">
                  <c:v>1.1535200000000001</c:v>
                </c:pt>
                <c:pt idx="4">
                  <c:v>1.1628799999999999</c:v>
                </c:pt>
                <c:pt idx="5">
                  <c:v>1.18251</c:v>
                </c:pt>
                <c:pt idx="6">
                  <c:v>1.20991</c:v>
                </c:pt>
                <c:pt idx="7">
                  <c:v>1.2611600000000001</c:v>
                </c:pt>
                <c:pt idx="8">
                  <c:v>1.3023199999999999</c:v>
                </c:pt>
                <c:pt idx="9">
                  <c:v>1.1831100000000001</c:v>
                </c:pt>
              </c:numCache>
            </c:numRef>
          </c:val>
          <c:smooth val="0"/>
          <c:extLst>
            <c:ext xmlns:c16="http://schemas.microsoft.com/office/drawing/2014/chart" uri="{C3380CC4-5D6E-409C-BE32-E72D297353CC}">
              <c16:uniqueId val="{00000000-2193-4926-B464-FE1E1D5691AF}"/>
            </c:ext>
          </c:extLst>
        </c:ser>
        <c:ser>
          <c:idx val="1"/>
          <c:order val="1"/>
          <c:tx>
            <c:strRef>
              <c:f>'Figur 3.5'!$C$3</c:f>
              <c:strCache>
                <c:ptCount val="1"/>
                <c:pt idx="0">
                  <c:v>Private institusjoner</c:v>
                </c:pt>
              </c:strCache>
            </c:strRef>
          </c:tx>
          <c:spPr>
            <a:ln w="31750"/>
          </c:spPr>
          <c:marker>
            <c:symbol val="circle"/>
            <c:size val="6"/>
          </c:marker>
          <c:cat>
            <c:numRef>
              <c:f>'Figur 3.5'!$A$4:$A$13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3.5'!$C$4:$C$13</c:f>
              <c:numCache>
                <c:formatCode>General</c:formatCode>
                <c:ptCount val="10"/>
                <c:pt idx="0">
                  <c:v>0.79300999999999999</c:v>
                </c:pt>
                <c:pt idx="1">
                  <c:v>0.85116999999999998</c:v>
                </c:pt>
                <c:pt idx="2">
                  <c:v>0.74485000000000001</c:v>
                </c:pt>
                <c:pt idx="3">
                  <c:v>1.1330199999999999</c:v>
                </c:pt>
                <c:pt idx="4">
                  <c:v>0.87760000000000005</c:v>
                </c:pt>
                <c:pt idx="5">
                  <c:v>0.97011999999999998</c:v>
                </c:pt>
                <c:pt idx="6">
                  <c:v>0.85743999999999998</c:v>
                </c:pt>
                <c:pt idx="7">
                  <c:v>0.95462000000000002</c:v>
                </c:pt>
                <c:pt idx="8">
                  <c:v>0.95594999999999997</c:v>
                </c:pt>
                <c:pt idx="9">
                  <c:v>0.89817999999999998</c:v>
                </c:pt>
              </c:numCache>
            </c:numRef>
          </c:val>
          <c:smooth val="0"/>
          <c:extLst>
            <c:ext xmlns:c16="http://schemas.microsoft.com/office/drawing/2014/chart" uri="{C3380CC4-5D6E-409C-BE32-E72D297353CC}">
              <c16:uniqueId val="{00000001-2193-4926-B464-FE1E1D5691AF}"/>
            </c:ext>
          </c:extLst>
        </c:ser>
        <c:ser>
          <c:idx val="2"/>
          <c:order val="2"/>
          <c:tx>
            <c:strRef>
              <c:f>'Figur 3.5'!$D$3</c:f>
              <c:strCache>
                <c:ptCount val="1"/>
                <c:pt idx="0">
                  <c:v>UH-sektoren</c:v>
                </c:pt>
              </c:strCache>
            </c:strRef>
          </c:tx>
          <c:spPr>
            <a:ln w="31750"/>
          </c:spPr>
          <c:marker>
            <c:symbol val="circle"/>
            <c:size val="6"/>
          </c:marker>
          <c:cat>
            <c:numRef>
              <c:f>'Figur 3.5'!$A$4:$A$13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3.5'!$D$4:$D$13</c:f>
              <c:numCache>
                <c:formatCode>General</c:formatCode>
                <c:ptCount val="10"/>
                <c:pt idx="0">
                  <c:v>1.1306700000000001</c:v>
                </c:pt>
                <c:pt idx="1">
                  <c:v>1.1354200000000001</c:v>
                </c:pt>
                <c:pt idx="2">
                  <c:v>1.11215</c:v>
                </c:pt>
                <c:pt idx="3">
                  <c:v>1.15249</c:v>
                </c:pt>
                <c:pt idx="4">
                  <c:v>1.14819</c:v>
                </c:pt>
                <c:pt idx="5">
                  <c:v>1.17092</c:v>
                </c:pt>
                <c:pt idx="6">
                  <c:v>1.1898500000000001</c:v>
                </c:pt>
                <c:pt idx="7">
                  <c:v>1.2430600000000001</c:v>
                </c:pt>
                <c:pt idx="8">
                  <c:v>1.28104</c:v>
                </c:pt>
                <c:pt idx="9">
                  <c:v>1.16561</c:v>
                </c:pt>
              </c:numCache>
            </c:numRef>
          </c:val>
          <c:smooth val="0"/>
          <c:extLst>
            <c:ext xmlns:c16="http://schemas.microsoft.com/office/drawing/2014/chart" uri="{C3380CC4-5D6E-409C-BE32-E72D297353CC}">
              <c16:uniqueId val="{00000002-2193-4926-B464-FE1E1D5691AF}"/>
            </c:ext>
          </c:extLst>
        </c:ser>
        <c:dLbls>
          <c:showLegendKey val="0"/>
          <c:showVal val="0"/>
          <c:showCatName val="0"/>
          <c:showSerName val="0"/>
          <c:showPercent val="0"/>
          <c:showBubbleSize val="0"/>
        </c:dLbls>
        <c:marker val="1"/>
        <c:smooth val="0"/>
        <c:axId val="82013184"/>
        <c:axId val="90184448"/>
      </c:lineChart>
      <c:catAx>
        <c:axId val="82013184"/>
        <c:scaling>
          <c:orientation val="minMax"/>
        </c:scaling>
        <c:delete val="0"/>
        <c:axPos val="b"/>
        <c:numFmt formatCode="General" sourceLinked="1"/>
        <c:majorTickMark val="out"/>
        <c:minorTickMark val="none"/>
        <c:tickLblPos val="nextTo"/>
        <c:crossAx val="90184448"/>
        <c:crosses val="autoZero"/>
        <c:auto val="1"/>
        <c:lblAlgn val="ctr"/>
        <c:lblOffset val="100"/>
        <c:noMultiLvlLbl val="0"/>
      </c:catAx>
      <c:valAx>
        <c:axId val="90184448"/>
        <c:scaling>
          <c:orientation val="minMax"/>
        </c:scaling>
        <c:delete val="0"/>
        <c:axPos val="l"/>
        <c:majorGridlines>
          <c:spPr>
            <a:ln>
              <a:solidFill>
                <a:schemeClr val="accent3">
                  <a:lumMod val="40000"/>
                  <a:lumOff val="60000"/>
                </a:schemeClr>
              </a:solidFill>
            </a:ln>
          </c:spPr>
        </c:majorGridlines>
        <c:numFmt formatCode="#,##0.0" sourceLinked="0"/>
        <c:majorTickMark val="out"/>
        <c:minorTickMark val="none"/>
        <c:tickLblPos val="nextTo"/>
        <c:spPr>
          <a:ln>
            <a:noFill/>
          </a:ln>
        </c:spPr>
        <c:crossAx val="82013184"/>
        <c:crosses val="autoZero"/>
        <c:crossBetween val="midCat"/>
      </c:valAx>
    </c:plotArea>
    <c:legend>
      <c:legendPos val="b"/>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 3.6'!$B$3</c:f>
              <c:strCache>
                <c:ptCount val="1"/>
                <c:pt idx="0">
                  <c:v>Statlige institusjoner</c:v>
                </c:pt>
              </c:strCache>
            </c:strRef>
          </c:tx>
          <c:spPr>
            <a:ln w="31750"/>
          </c:spPr>
          <c:marker>
            <c:symbol val="circle"/>
            <c:size val="6"/>
          </c:marker>
          <c:cat>
            <c:numRef>
              <c:f>'Figur 3.6'!$A$4:$A$13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3.6'!$B$4:$B$13</c:f>
              <c:numCache>
                <c:formatCode>General</c:formatCode>
                <c:ptCount val="10"/>
                <c:pt idx="0">
                  <c:v>0.20685999999999999</c:v>
                </c:pt>
                <c:pt idx="1">
                  <c:v>0.20080000000000001</c:v>
                </c:pt>
                <c:pt idx="2">
                  <c:v>0.21365999999999999</c:v>
                </c:pt>
                <c:pt idx="3">
                  <c:v>0.21715000000000001</c:v>
                </c:pt>
                <c:pt idx="4">
                  <c:v>0.21929000000000001</c:v>
                </c:pt>
                <c:pt idx="5">
                  <c:v>0.23016</c:v>
                </c:pt>
                <c:pt idx="6">
                  <c:v>0.22947999999999999</c:v>
                </c:pt>
                <c:pt idx="7">
                  <c:v>0.23995</c:v>
                </c:pt>
                <c:pt idx="8">
                  <c:v>0.2422</c:v>
                </c:pt>
                <c:pt idx="9">
                  <c:v>0.23704</c:v>
                </c:pt>
              </c:numCache>
            </c:numRef>
          </c:val>
          <c:smooth val="0"/>
          <c:extLst>
            <c:ext xmlns:c16="http://schemas.microsoft.com/office/drawing/2014/chart" uri="{C3380CC4-5D6E-409C-BE32-E72D297353CC}">
              <c16:uniqueId val="{00000000-0D26-4385-96B8-346F3077A7EC}"/>
            </c:ext>
          </c:extLst>
        </c:ser>
        <c:ser>
          <c:idx val="1"/>
          <c:order val="1"/>
          <c:tx>
            <c:strRef>
              <c:f>'Figur 3.6'!$C$3</c:f>
              <c:strCache>
                <c:ptCount val="1"/>
                <c:pt idx="0">
                  <c:v>Private institusjoner</c:v>
                </c:pt>
              </c:strCache>
            </c:strRef>
          </c:tx>
          <c:spPr>
            <a:ln w="31750"/>
          </c:spPr>
          <c:marker>
            <c:symbol val="circle"/>
            <c:size val="6"/>
          </c:marker>
          <c:cat>
            <c:numRef>
              <c:f>'Figur 3.6'!$A$4:$A$13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3.6'!$C$4:$C$13</c:f>
              <c:numCache>
                <c:formatCode>General</c:formatCode>
                <c:ptCount val="10"/>
                <c:pt idx="0">
                  <c:v>0.14369000000000001</c:v>
                </c:pt>
                <c:pt idx="1">
                  <c:v>0.16117000000000001</c:v>
                </c:pt>
                <c:pt idx="2">
                  <c:v>0.15284</c:v>
                </c:pt>
                <c:pt idx="3">
                  <c:v>0.23723</c:v>
                </c:pt>
                <c:pt idx="4">
                  <c:v>0.21754999999999999</c:v>
                </c:pt>
                <c:pt idx="5">
                  <c:v>0.20905000000000001</c:v>
                </c:pt>
                <c:pt idx="6">
                  <c:v>0.24723999999999999</c:v>
                </c:pt>
                <c:pt idx="7">
                  <c:v>0.23246</c:v>
                </c:pt>
                <c:pt idx="8">
                  <c:v>0.26472000000000001</c:v>
                </c:pt>
                <c:pt idx="9">
                  <c:v>0.26221</c:v>
                </c:pt>
              </c:numCache>
            </c:numRef>
          </c:val>
          <c:smooth val="0"/>
          <c:extLst>
            <c:ext xmlns:c16="http://schemas.microsoft.com/office/drawing/2014/chart" uri="{C3380CC4-5D6E-409C-BE32-E72D297353CC}">
              <c16:uniqueId val="{00000001-0D26-4385-96B8-346F3077A7EC}"/>
            </c:ext>
          </c:extLst>
        </c:ser>
        <c:ser>
          <c:idx val="2"/>
          <c:order val="2"/>
          <c:tx>
            <c:strRef>
              <c:f>'Figur 3.6'!$D$3</c:f>
              <c:strCache>
                <c:ptCount val="1"/>
                <c:pt idx="0">
                  <c:v>UH-sektoren</c:v>
                </c:pt>
              </c:strCache>
            </c:strRef>
          </c:tx>
          <c:spPr>
            <a:ln w="31750"/>
          </c:spPr>
          <c:marker>
            <c:symbol val="circle"/>
            <c:size val="6"/>
          </c:marker>
          <c:cat>
            <c:numRef>
              <c:f>'Figur 3.6'!$A$4:$A$13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3.6'!$D$4:$D$13</c:f>
              <c:numCache>
                <c:formatCode>General</c:formatCode>
                <c:ptCount val="10"/>
                <c:pt idx="0">
                  <c:v>0.2041</c:v>
                </c:pt>
                <c:pt idx="1">
                  <c:v>0.19896</c:v>
                </c:pt>
                <c:pt idx="2">
                  <c:v>0.21104000000000001</c:v>
                </c:pt>
                <c:pt idx="3">
                  <c:v>0.21826999999999999</c:v>
                </c:pt>
                <c:pt idx="4">
                  <c:v>0.21920999999999999</c:v>
                </c:pt>
                <c:pt idx="5">
                  <c:v>0.22911999999999999</c:v>
                </c:pt>
                <c:pt idx="6">
                  <c:v>0.23024</c:v>
                </c:pt>
                <c:pt idx="7">
                  <c:v>0.23957999999999999</c:v>
                </c:pt>
                <c:pt idx="8">
                  <c:v>0.24326</c:v>
                </c:pt>
                <c:pt idx="9">
                  <c:v>0.23826</c:v>
                </c:pt>
              </c:numCache>
            </c:numRef>
          </c:val>
          <c:smooth val="0"/>
          <c:extLst>
            <c:ext xmlns:c16="http://schemas.microsoft.com/office/drawing/2014/chart" uri="{C3380CC4-5D6E-409C-BE32-E72D297353CC}">
              <c16:uniqueId val="{00000002-0D26-4385-96B8-346F3077A7EC}"/>
            </c:ext>
          </c:extLst>
        </c:ser>
        <c:dLbls>
          <c:showLegendKey val="0"/>
          <c:showVal val="0"/>
          <c:showCatName val="0"/>
          <c:showSerName val="0"/>
          <c:showPercent val="0"/>
          <c:showBubbleSize val="0"/>
        </c:dLbls>
        <c:marker val="1"/>
        <c:smooth val="0"/>
        <c:axId val="90269184"/>
        <c:axId val="92636288"/>
      </c:lineChart>
      <c:catAx>
        <c:axId val="90269184"/>
        <c:scaling>
          <c:orientation val="minMax"/>
        </c:scaling>
        <c:delete val="0"/>
        <c:axPos val="b"/>
        <c:numFmt formatCode="General" sourceLinked="1"/>
        <c:majorTickMark val="out"/>
        <c:minorTickMark val="none"/>
        <c:tickLblPos val="nextTo"/>
        <c:crossAx val="92636288"/>
        <c:crosses val="autoZero"/>
        <c:auto val="1"/>
        <c:lblAlgn val="ctr"/>
        <c:lblOffset val="100"/>
        <c:noMultiLvlLbl val="0"/>
      </c:catAx>
      <c:valAx>
        <c:axId val="92636288"/>
        <c:scaling>
          <c:orientation val="minMax"/>
        </c:scaling>
        <c:delete val="0"/>
        <c:axPos val="l"/>
        <c:majorGridlines>
          <c:spPr>
            <a:ln>
              <a:solidFill>
                <a:schemeClr val="accent3">
                  <a:lumMod val="40000"/>
                  <a:lumOff val="60000"/>
                </a:schemeClr>
              </a:solidFill>
            </a:ln>
          </c:spPr>
        </c:majorGridlines>
        <c:numFmt formatCode="0%" sourceLinked="0"/>
        <c:majorTickMark val="out"/>
        <c:minorTickMark val="none"/>
        <c:tickLblPos val="nextTo"/>
        <c:spPr>
          <a:ln>
            <a:noFill/>
          </a:ln>
        </c:spPr>
        <c:crossAx val="90269184"/>
        <c:crosses val="autoZero"/>
        <c:crossBetween val="midCat"/>
      </c:valAx>
    </c:plotArea>
    <c:legend>
      <c:legendPos val="b"/>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1"/>
        <c:ser>
          <c:idx val="0"/>
          <c:order val="0"/>
          <c:tx>
            <c:strRef>
              <c:f>sheet1!$C$1</c:f>
              <c:strCache>
                <c:ptCount val="1"/>
                <c:pt idx="0">
                  <c:v>diamant</c:v>
                </c:pt>
              </c:strCache>
            </c:strRef>
          </c:tx>
          <c:spPr>
            <a:solidFill>
              <a:srgbClr val="00CDCD">
                <a:alpha val="100000"/>
              </a:srgbClr>
            </a:solidFill>
            <a:ln w="25400">
              <a:solidFill>
                <a:srgbClr val="00CDCD">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sheet1!$C$2:$C$11</c:f>
              <c:numCache>
                <c:formatCode>General</c:formatCode>
                <c:ptCount val="10"/>
                <c:pt idx="0">
                  <c:v>411</c:v>
                </c:pt>
                <c:pt idx="1">
                  <c:v>662</c:v>
                </c:pt>
                <c:pt idx="2">
                  <c:v>691</c:v>
                </c:pt>
                <c:pt idx="3">
                  <c:v>865</c:v>
                </c:pt>
                <c:pt idx="4">
                  <c:v>1001</c:v>
                </c:pt>
                <c:pt idx="5">
                  <c:v>1199</c:v>
                </c:pt>
                <c:pt idx="6">
                  <c:v>1188</c:v>
                </c:pt>
                <c:pt idx="7">
                  <c:v>1373</c:v>
                </c:pt>
                <c:pt idx="8">
                  <c:v>1375</c:v>
                </c:pt>
                <c:pt idx="9">
                  <c:v>1293</c:v>
                </c:pt>
              </c:numCache>
            </c:numRef>
          </c:val>
          <c:extLst>
            <c:ext xmlns:c16="http://schemas.microsoft.com/office/drawing/2014/chart" uri="{C3380CC4-5D6E-409C-BE32-E72D297353CC}">
              <c16:uniqueId val="{00000000-04DA-498A-B40A-950B055A0854}"/>
            </c:ext>
          </c:extLst>
        </c:ser>
        <c:ser>
          <c:idx val="1"/>
          <c:order val="1"/>
          <c:tx>
            <c:strRef>
              <c:f>sheet1!$D$1</c:f>
              <c:strCache>
                <c:ptCount val="1"/>
                <c:pt idx="0">
                  <c:v>gull</c:v>
                </c:pt>
              </c:strCache>
            </c:strRef>
          </c:tx>
          <c:spPr>
            <a:solidFill>
              <a:srgbClr val="FFD700">
                <a:alpha val="100000"/>
              </a:srgbClr>
            </a:solidFill>
            <a:ln w="25400">
              <a:solidFill>
                <a:srgbClr val="FFD700">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sheet1!$D$2:$D$11</c:f>
              <c:numCache>
                <c:formatCode>General</c:formatCode>
                <c:ptCount val="10"/>
                <c:pt idx="0">
                  <c:v>1690</c:v>
                </c:pt>
                <c:pt idx="1">
                  <c:v>2073</c:v>
                </c:pt>
                <c:pt idx="2">
                  <c:v>2423</c:v>
                </c:pt>
                <c:pt idx="3">
                  <c:v>2935</c:v>
                </c:pt>
                <c:pt idx="4">
                  <c:v>3447</c:v>
                </c:pt>
                <c:pt idx="5">
                  <c:v>3703</c:v>
                </c:pt>
                <c:pt idx="6">
                  <c:v>4632</c:v>
                </c:pt>
                <c:pt idx="7">
                  <c:v>5422</c:v>
                </c:pt>
                <c:pt idx="8">
                  <c:v>6646</c:v>
                </c:pt>
                <c:pt idx="9">
                  <c:v>6859</c:v>
                </c:pt>
              </c:numCache>
            </c:numRef>
          </c:val>
          <c:extLst>
            <c:ext xmlns:c16="http://schemas.microsoft.com/office/drawing/2014/chart" uri="{C3380CC4-5D6E-409C-BE32-E72D297353CC}">
              <c16:uniqueId val="{00000001-04DA-498A-B40A-950B055A0854}"/>
            </c:ext>
          </c:extLst>
        </c:ser>
        <c:ser>
          <c:idx val="2"/>
          <c:order val="2"/>
          <c:tx>
            <c:strRef>
              <c:f>sheet1!$E$1</c:f>
              <c:strCache>
                <c:ptCount val="1"/>
                <c:pt idx="0">
                  <c:v>hybrid</c:v>
                </c:pt>
              </c:strCache>
            </c:strRef>
          </c:tx>
          <c:spPr>
            <a:solidFill>
              <a:srgbClr val="CDAD00">
                <a:alpha val="100000"/>
              </a:srgbClr>
            </a:solidFill>
            <a:ln w="25400">
              <a:solidFill>
                <a:srgbClr val="CDAD00">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sheet1!$E$2:$E$11</c:f>
              <c:numCache>
                <c:formatCode>General</c:formatCode>
                <c:ptCount val="10"/>
                <c:pt idx="0">
                  <c:v>644</c:v>
                </c:pt>
                <c:pt idx="1">
                  <c:v>890</c:v>
                </c:pt>
                <c:pt idx="2">
                  <c:v>1061</c:v>
                </c:pt>
                <c:pt idx="3">
                  <c:v>1220</c:v>
                </c:pt>
                <c:pt idx="4">
                  <c:v>1357</c:v>
                </c:pt>
                <c:pt idx="5">
                  <c:v>1555</c:v>
                </c:pt>
                <c:pt idx="6">
                  <c:v>1781</c:v>
                </c:pt>
                <c:pt idx="7">
                  <c:v>1931</c:v>
                </c:pt>
                <c:pt idx="8">
                  <c:v>2480</c:v>
                </c:pt>
                <c:pt idx="9">
                  <c:v>3052</c:v>
                </c:pt>
              </c:numCache>
            </c:numRef>
          </c:val>
          <c:extLst>
            <c:ext xmlns:c16="http://schemas.microsoft.com/office/drawing/2014/chart" uri="{C3380CC4-5D6E-409C-BE32-E72D297353CC}">
              <c16:uniqueId val="{00000002-04DA-498A-B40A-950B055A0854}"/>
            </c:ext>
          </c:extLst>
        </c:ser>
        <c:ser>
          <c:idx val="3"/>
          <c:order val="3"/>
          <c:tx>
            <c:strRef>
              <c:f>sheet1!$F$1</c:f>
              <c:strCache>
                <c:ptCount val="1"/>
                <c:pt idx="0">
                  <c:v>hybrid_avtale</c:v>
                </c:pt>
              </c:strCache>
            </c:strRef>
          </c:tx>
          <c:spPr>
            <a:solidFill>
              <a:srgbClr val="B8860B">
                <a:alpha val="100000"/>
              </a:srgbClr>
            </a:solidFill>
            <a:ln w="25400">
              <a:solidFill>
                <a:srgbClr val="B8860B">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sheet1!$F$2:$F$11</c:f>
              <c:numCache>
                <c:formatCode>General</c:formatCode>
                <c:ptCount val="10"/>
                <c:pt idx="6">
                  <c:v>1111</c:v>
                </c:pt>
                <c:pt idx="7">
                  <c:v>3468</c:v>
                </c:pt>
                <c:pt idx="8">
                  <c:v>4189</c:v>
                </c:pt>
                <c:pt idx="9">
                  <c:v>3437</c:v>
                </c:pt>
              </c:numCache>
            </c:numRef>
          </c:val>
          <c:extLst>
            <c:ext xmlns:c16="http://schemas.microsoft.com/office/drawing/2014/chart" uri="{C3380CC4-5D6E-409C-BE32-E72D297353CC}">
              <c16:uniqueId val="{00000003-04DA-498A-B40A-950B055A0854}"/>
            </c:ext>
          </c:extLst>
        </c:ser>
        <c:ser>
          <c:idx val="4"/>
          <c:order val="4"/>
          <c:tx>
            <c:strRef>
              <c:f>sheet1!$G$1</c:f>
              <c:strCache>
                <c:ptCount val="1"/>
                <c:pt idx="0">
                  <c:v>grønn</c:v>
                </c:pt>
              </c:strCache>
            </c:strRef>
          </c:tx>
          <c:spPr>
            <a:solidFill>
              <a:srgbClr val="3CB371">
                <a:alpha val="100000"/>
              </a:srgbClr>
            </a:solidFill>
            <a:ln w="25400">
              <a:solidFill>
                <a:srgbClr val="3CB371">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sheet1!$G$2:$G$11</c:f>
              <c:numCache>
                <c:formatCode>General</c:formatCode>
                <c:ptCount val="10"/>
                <c:pt idx="0">
                  <c:v>2273</c:v>
                </c:pt>
                <c:pt idx="1">
                  <c:v>2637</c:v>
                </c:pt>
                <c:pt idx="2">
                  <c:v>2796</c:v>
                </c:pt>
                <c:pt idx="3">
                  <c:v>3293</c:v>
                </c:pt>
                <c:pt idx="4">
                  <c:v>5212</c:v>
                </c:pt>
                <c:pt idx="5">
                  <c:v>5928</c:v>
                </c:pt>
                <c:pt idx="6">
                  <c:v>5847</c:v>
                </c:pt>
                <c:pt idx="7">
                  <c:v>4077</c:v>
                </c:pt>
                <c:pt idx="8">
                  <c:v>3383</c:v>
                </c:pt>
                <c:pt idx="9">
                  <c:v>2499</c:v>
                </c:pt>
              </c:numCache>
            </c:numRef>
          </c:val>
          <c:extLst>
            <c:ext xmlns:c16="http://schemas.microsoft.com/office/drawing/2014/chart" uri="{C3380CC4-5D6E-409C-BE32-E72D297353CC}">
              <c16:uniqueId val="{00000004-04DA-498A-B40A-950B055A0854}"/>
            </c:ext>
          </c:extLst>
        </c:ser>
        <c:ser>
          <c:idx val="5"/>
          <c:order val="5"/>
          <c:tx>
            <c:strRef>
              <c:f>sheet1!$H$1</c:f>
              <c:strCache>
                <c:ptCount val="1"/>
                <c:pt idx="0">
                  <c:v>deponert</c:v>
                </c:pt>
              </c:strCache>
            </c:strRef>
          </c:tx>
          <c:spPr>
            <a:solidFill>
              <a:srgbClr val="919191">
                <a:alpha val="100000"/>
              </a:srgbClr>
            </a:solidFill>
            <a:ln w="25400">
              <a:solidFill>
                <a:srgbClr val="919191">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sheet1!$H$2:$H$11</c:f>
              <c:numCache>
                <c:formatCode>General</c:formatCode>
                <c:ptCount val="10"/>
                <c:pt idx="0">
                  <c:v>255</c:v>
                </c:pt>
                <c:pt idx="1">
                  <c:v>318</c:v>
                </c:pt>
                <c:pt idx="2">
                  <c:v>310</c:v>
                </c:pt>
                <c:pt idx="3">
                  <c:v>531</c:v>
                </c:pt>
                <c:pt idx="4">
                  <c:v>912</c:v>
                </c:pt>
                <c:pt idx="5">
                  <c:v>1441</c:v>
                </c:pt>
                <c:pt idx="6">
                  <c:v>1814</c:v>
                </c:pt>
                <c:pt idx="7">
                  <c:v>1805</c:v>
                </c:pt>
                <c:pt idx="8">
                  <c:v>1857</c:v>
                </c:pt>
                <c:pt idx="9">
                  <c:v>1557</c:v>
                </c:pt>
              </c:numCache>
            </c:numRef>
          </c:val>
          <c:extLst>
            <c:ext xmlns:c16="http://schemas.microsoft.com/office/drawing/2014/chart" uri="{C3380CC4-5D6E-409C-BE32-E72D297353CC}">
              <c16:uniqueId val="{00000005-04DA-498A-B40A-950B055A0854}"/>
            </c:ext>
          </c:extLst>
        </c:ser>
        <c:ser>
          <c:idx val="6"/>
          <c:order val="6"/>
          <c:tx>
            <c:strRef>
              <c:f>sheet1!$I$1</c:f>
              <c:strCache>
                <c:ptCount val="1"/>
                <c:pt idx="0">
                  <c:v>lukket</c:v>
                </c:pt>
              </c:strCache>
            </c:strRef>
          </c:tx>
          <c:spPr>
            <a:solidFill>
              <a:srgbClr val="B3B3B3">
                <a:alpha val="100000"/>
              </a:srgbClr>
            </a:solidFill>
            <a:ln w="25400">
              <a:solidFill>
                <a:srgbClr val="B3B3B3">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sheet1!$I$2:$I$11</c:f>
              <c:numCache>
                <c:formatCode>General</c:formatCode>
                <c:ptCount val="10"/>
                <c:pt idx="0">
                  <c:v>8635</c:v>
                </c:pt>
                <c:pt idx="1">
                  <c:v>8003</c:v>
                </c:pt>
                <c:pt idx="2">
                  <c:v>8063</c:v>
                </c:pt>
                <c:pt idx="3">
                  <c:v>7568</c:v>
                </c:pt>
                <c:pt idx="4">
                  <c:v>5619</c:v>
                </c:pt>
                <c:pt idx="5">
                  <c:v>4661</c:v>
                </c:pt>
                <c:pt idx="6">
                  <c:v>3249</c:v>
                </c:pt>
                <c:pt idx="7">
                  <c:v>2941</c:v>
                </c:pt>
                <c:pt idx="8">
                  <c:v>2970</c:v>
                </c:pt>
                <c:pt idx="9">
                  <c:v>3166</c:v>
                </c:pt>
              </c:numCache>
            </c:numRef>
          </c:val>
          <c:extLst>
            <c:ext xmlns:c16="http://schemas.microsoft.com/office/drawing/2014/chart" uri="{C3380CC4-5D6E-409C-BE32-E72D297353CC}">
              <c16:uniqueId val="{00000006-04DA-498A-B40A-950B055A0854}"/>
            </c:ext>
          </c:extLst>
        </c:ser>
        <c:dLbls>
          <c:dLblPos val="ctr"/>
          <c:showLegendKey val="0"/>
          <c:showVal val="1"/>
          <c:showCatName val="0"/>
          <c:showSerName val="0"/>
          <c:showPercent val="0"/>
          <c:showBubbleSize val="0"/>
          <c:separator>, </c:separator>
        </c:dLbls>
        <c:gapWidth val="80"/>
        <c:overlap val="100"/>
        <c:axId val="64451712"/>
        <c:axId val="64453248"/>
      </c:barChart>
      <c:catAx>
        <c:axId val="64451712"/>
        <c:scaling>
          <c:orientation val="minMax"/>
        </c:scaling>
        <c:delete val="0"/>
        <c:axPos val="b"/>
        <c:numFmt formatCode="General" sourceLinked="0"/>
        <c:majorTickMark val="none"/>
        <c:minorTickMark val="none"/>
        <c:tickLblPos val="nextTo"/>
        <c:txPr>
          <a:bodyPr rot="0" vert="horz"/>
          <a:lstStyle/>
          <a:p>
            <a:pPr>
              <a:defRPr sz="800" b="0" i="0" u="none" cap="none">
                <a:solidFill>
                  <a:srgbClr val="000000">
                    <a:alpha val="100000"/>
                  </a:srgbClr>
                </a:solidFill>
                <a:latin typeface="Arial"/>
                <a:cs typeface="Arial"/>
                <a:sym typeface="Arial"/>
              </a:defRPr>
            </a:pPr>
            <a:endParaRPr lang="nb-NO"/>
          </a:p>
        </c:txPr>
        <c:crossAx val="64453248"/>
        <c:crosses val="autoZero"/>
        <c:auto val="1"/>
        <c:lblAlgn val="ctr"/>
        <c:lblOffset val="100"/>
        <c:noMultiLvlLbl val="1"/>
      </c:catAx>
      <c:valAx>
        <c:axId val="64453248"/>
        <c:scaling>
          <c:orientation val="minMax"/>
        </c:scaling>
        <c:delete val="0"/>
        <c:axPos val="l"/>
        <c:majorGridlines>
          <c:spPr>
            <a:ln w="9525" algn="ctr">
              <a:solidFill>
                <a:schemeClr val="accent3">
                  <a:lumMod val="40000"/>
                  <a:lumOff val="60000"/>
                </a:schemeClr>
              </a:solidFill>
              <a:prstDash val="solid"/>
            </a:ln>
          </c:spPr>
        </c:majorGridlines>
        <c:numFmt formatCode="0%" sourceLinked="0"/>
        <c:majorTickMark val="none"/>
        <c:minorTickMark val="none"/>
        <c:tickLblPos val="nextTo"/>
        <c:spPr>
          <a:ln>
            <a:noFill/>
          </a:ln>
        </c:spPr>
        <c:txPr>
          <a:bodyPr rot="0" vert="horz"/>
          <a:lstStyle/>
          <a:p>
            <a:pPr>
              <a:defRPr sz="1000" b="0" i="0" u="none" cap="none">
                <a:solidFill>
                  <a:srgbClr val="000000">
                    <a:alpha val="100000"/>
                  </a:srgbClr>
                </a:solidFill>
                <a:latin typeface="Arial"/>
                <a:cs typeface="Arial"/>
                <a:sym typeface="Arial"/>
              </a:defRPr>
            </a:pPr>
            <a:endParaRPr lang="nb-NO"/>
          </a:p>
        </c:txPr>
        <c:crossAx val="64451712"/>
        <c:crosses val="autoZero"/>
        <c:crossBetween val="between"/>
        <c:majorUnit val="0.2"/>
      </c:valAx>
    </c:plotArea>
    <c:legend>
      <c:legendPos val="b"/>
      <c:overlay val="0"/>
      <c:txPr>
        <a:bodyPr/>
        <a:lstStyle/>
        <a:p>
          <a:pPr>
            <a:defRPr sz="1000" b="0" i="0" u="none" cap="none">
              <a:solidFill>
                <a:srgbClr val="000000">
                  <a:alpha val="100000"/>
                </a:srgbClr>
              </a:solidFill>
              <a:latin typeface="Arial"/>
              <a:cs typeface="Arial"/>
              <a:sym typeface="Arial"/>
            </a:defRPr>
          </a:pPr>
          <a:endParaRPr lang="nb-NO"/>
        </a:p>
      </c:txPr>
    </c:legend>
    <c:plotVisOnly val="1"/>
    <c:dispBlanksAs val="gap"/>
    <c:showDLblsOverMax val="0"/>
  </c:chart>
  <c:spPr>
    <a:ln>
      <a:solidFill>
        <a:schemeClr val="accent3">
          <a:lumMod val="40000"/>
          <a:lumOff val="60000"/>
        </a:schemeClr>
      </a:solidFill>
    </a:ln>
  </c:spPr>
  <c:txPr>
    <a:bodyPr/>
    <a:lstStyle/>
    <a:p>
      <a:pPr>
        <a:defRPr sz="1800"/>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'Ark1'!$B$5</c:f>
              <c:strCache>
                <c:ptCount val="1"/>
                <c:pt idx="0">
                  <c:v>Under 20 år</c:v>
                </c:pt>
              </c:strCache>
            </c:strRef>
          </c:tx>
          <c:spPr>
            <a:solidFill>
              <a:schemeClr val="accent1"/>
            </a:solidFill>
            <a:ln>
              <a:noFill/>
            </a:ln>
            <a:effectLst/>
          </c:spPr>
          <c:invertIfNegative val="0"/>
          <c:cat>
            <c:strRef>
              <c:f>'Ark1'!$A$6:$A$26</c:f>
              <c:strCache>
                <c:ptCount val="21"/>
                <c:pt idx="0">
                  <c:v>NHH </c:v>
                </c:pt>
                <c:pt idx="1">
                  <c:v>NTNU </c:v>
                </c:pt>
                <c:pt idx="2">
                  <c:v>NIH </c:v>
                </c:pt>
                <c:pt idx="3">
                  <c:v>UiB </c:v>
                </c:pt>
                <c:pt idx="4">
                  <c:v>HVL </c:v>
                </c:pt>
                <c:pt idx="5">
                  <c:v>UiA </c:v>
                </c:pt>
                <c:pt idx="6">
                  <c:v>NMBU </c:v>
                </c:pt>
                <c:pt idx="7">
                  <c:v>AHO </c:v>
                </c:pt>
                <c:pt idx="8">
                  <c:v>UiO </c:v>
                </c:pt>
                <c:pt idx="9">
                  <c:v>UiS </c:v>
                </c:pt>
                <c:pt idx="10">
                  <c:v>NMH </c:v>
                </c:pt>
                <c:pt idx="11">
                  <c:v>OsloMet </c:v>
                </c:pt>
                <c:pt idx="12">
                  <c:v>UiT </c:v>
                </c:pt>
                <c:pt idx="13">
                  <c:v>USN </c:v>
                </c:pt>
                <c:pt idx="14">
                  <c:v>KHiO </c:v>
                </c:pt>
                <c:pt idx="15">
                  <c:v>HINN </c:v>
                </c:pt>
                <c:pt idx="16">
                  <c:v>NU </c:v>
                </c:pt>
                <c:pt idx="17">
                  <c:v>HiØ </c:v>
                </c:pt>
                <c:pt idx="18">
                  <c:v>HiM </c:v>
                </c:pt>
                <c:pt idx="19">
                  <c:v>HVO </c:v>
                </c:pt>
                <c:pt idx="20">
                  <c:v>SH </c:v>
                </c:pt>
              </c:strCache>
            </c:strRef>
          </c:cat>
          <c:val>
            <c:numRef>
              <c:f>'Ark1'!$B$6:$B$26</c:f>
              <c:numCache>
                <c:formatCode>General</c:formatCode>
                <c:ptCount val="21"/>
                <c:pt idx="0">
                  <c:v>6.3E-2</c:v>
                </c:pt>
                <c:pt idx="1">
                  <c:v>6.699999999999999E-2</c:v>
                </c:pt>
                <c:pt idx="2">
                  <c:v>5.0999999999999997E-2</c:v>
                </c:pt>
                <c:pt idx="3">
                  <c:v>7.0999999999999994E-2</c:v>
                </c:pt>
                <c:pt idx="4">
                  <c:v>5.7999999999999996E-2</c:v>
                </c:pt>
                <c:pt idx="5">
                  <c:v>7.6999999999999999E-2</c:v>
                </c:pt>
                <c:pt idx="6">
                  <c:v>5.7999999999999996E-2</c:v>
                </c:pt>
                <c:pt idx="7">
                  <c:v>3.9E-2</c:v>
                </c:pt>
                <c:pt idx="8">
                  <c:v>7.2000000000000008E-2</c:v>
                </c:pt>
                <c:pt idx="9">
                  <c:v>8.4000000000000005E-2</c:v>
                </c:pt>
                <c:pt idx="10">
                  <c:v>0.06</c:v>
                </c:pt>
                <c:pt idx="11">
                  <c:v>6.8000000000000005E-2</c:v>
                </c:pt>
                <c:pt idx="12">
                  <c:v>4.7E-2</c:v>
                </c:pt>
                <c:pt idx="13">
                  <c:v>5.7000000000000002E-2</c:v>
                </c:pt>
                <c:pt idx="14">
                  <c:v>7.9000000000000001E-2</c:v>
                </c:pt>
                <c:pt idx="15">
                  <c:v>5.0999999999999997E-2</c:v>
                </c:pt>
                <c:pt idx="16">
                  <c:v>5.2000000000000005E-2</c:v>
                </c:pt>
                <c:pt idx="17">
                  <c:v>6.6000000000000003E-2</c:v>
                </c:pt>
                <c:pt idx="18">
                  <c:v>5.4000000000000006E-2</c:v>
                </c:pt>
                <c:pt idx="19">
                  <c:v>3.4000000000000002E-2</c:v>
                </c:pt>
                <c:pt idx="20">
                  <c:v>2.4E-2</c:v>
                </c:pt>
              </c:numCache>
            </c:numRef>
          </c:val>
          <c:extLst>
            <c:ext xmlns:c16="http://schemas.microsoft.com/office/drawing/2014/chart" uri="{C3380CC4-5D6E-409C-BE32-E72D297353CC}">
              <c16:uniqueId val="{00000000-A205-488A-8915-E5AA431F421D}"/>
            </c:ext>
          </c:extLst>
        </c:ser>
        <c:ser>
          <c:idx val="1"/>
          <c:order val="1"/>
          <c:tx>
            <c:strRef>
              <c:f>'Ark1'!$C$5</c:f>
              <c:strCache>
                <c:ptCount val="1"/>
                <c:pt idx="0">
                  <c:v>20-24 år</c:v>
                </c:pt>
              </c:strCache>
            </c:strRef>
          </c:tx>
          <c:spPr>
            <a:solidFill>
              <a:schemeClr val="accent2"/>
            </a:solidFill>
            <a:ln>
              <a:noFill/>
            </a:ln>
            <a:effectLst/>
          </c:spPr>
          <c:invertIfNegative val="0"/>
          <c:cat>
            <c:strRef>
              <c:f>'Ark1'!$A$6:$A$26</c:f>
              <c:strCache>
                <c:ptCount val="21"/>
                <c:pt idx="0">
                  <c:v>NHH </c:v>
                </c:pt>
                <c:pt idx="1">
                  <c:v>NTNU </c:v>
                </c:pt>
                <c:pt idx="2">
                  <c:v>NIH </c:v>
                </c:pt>
                <c:pt idx="3">
                  <c:v>UiB </c:v>
                </c:pt>
                <c:pt idx="4">
                  <c:v>HVL </c:v>
                </c:pt>
                <c:pt idx="5">
                  <c:v>UiA </c:v>
                </c:pt>
                <c:pt idx="6">
                  <c:v>NMBU </c:v>
                </c:pt>
                <c:pt idx="7">
                  <c:v>AHO </c:v>
                </c:pt>
                <c:pt idx="8">
                  <c:v>UiO </c:v>
                </c:pt>
                <c:pt idx="9">
                  <c:v>UiS </c:v>
                </c:pt>
                <c:pt idx="10">
                  <c:v>NMH </c:v>
                </c:pt>
                <c:pt idx="11">
                  <c:v>OsloMet </c:v>
                </c:pt>
                <c:pt idx="12">
                  <c:v>UiT </c:v>
                </c:pt>
                <c:pt idx="13">
                  <c:v>USN </c:v>
                </c:pt>
                <c:pt idx="14">
                  <c:v>KHiO </c:v>
                </c:pt>
                <c:pt idx="15">
                  <c:v>HINN </c:v>
                </c:pt>
                <c:pt idx="16">
                  <c:v>NU </c:v>
                </c:pt>
                <c:pt idx="17">
                  <c:v>HiØ </c:v>
                </c:pt>
                <c:pt idx="18">
                  <c:v>HiM </c:v>
                </c:pt>
                <c:pt idx="19">
                  <c:v>HVO </c:v>
                </c:pt>
                <c:pt idx="20">
                  <c:v>SH </c:v>
                </c:pt>
              </c:strCache>
            </c:strRef>
          </c:cat>
          <c:val>
            <c:numRef>
              <c:f>'Ark1'!$C$6:$C$26</c:f>
              <c:numCache>
                <c:formatCode>General</c:formatCode>
                <c:ptCount val="21"/>
                <c:pt idx="0">
                  <c:v>0.65799999999999992</c:v>
                </c:pt>
                <c:pt idx="1">
                  <c:v>0.60399999999999998</c:v>
                </c:pt>
                <c:pt idx="2">
                  <c:v>0.55700000000000005</c:v>
                </c:pt>
                <c:pt idx="3">
                  <c:v>0.54900000000000004</c:v>
                </c:pt>
                <c:pt idx="4">
                  <c:v>0.51300000000000001</c:v>
                </c:pt>
                <c:pt idx="5">
                  <c:v>0.51300000000000001</c:v>
                </c:pt>
                <c:pt idx="6">
                  <c:v>0.5</c:v>
                </c:pt>
                <c:pt idx="7">
                  <c:v>0.498</c:v>
                </c:pt>
                <c:pt idx="8">
                  <c:v>0.45700000000000002</c:v>
                </c:pt>
                <c:pt idx="9">
                  <c:v>0.45200000000000001</c:v>
                </c:pt>
                <c:pt idx="10">
                  <c:v>0.42799999999999999</c:v>
                </c:pt>
                <c:pt idx="11">
                  <c:v>0.42499999999999999</c:v>
                </c:pt>
                <c:pt idx="12">
                  <c:v>0.41299999999999998</c:v>
                </c:pt>
                <c:pt idx="13">
                  <c:v>0.40700000000000003</c:v>
                </c:pt>
                <c:pt idx="14">
                  <c:v>0.38700000000000001</c:v>
                </c:pt>
                <c:pt idx="15">
                  <c:v>0.38600000000000001</c:v>
                </c:pt>
                <c:pt idx="16">
                  <c:v>0.38600000000000001</c:v>
                </c:pt>
                <c:pt idx="17">
                  <c:v>0.38</c:v>
                </c:pt>
                <c:pt idx="18">
                  <c:v>0.35799999999999998</c:v>
                </c:pt>
                <c:pt idx="19">
                  <c:v>0.33900000000000008</c:v>
                </c:pt>
                <c:pt idx="20">
                  <c:v>0.151</c:v>
                </c:pt>
              </c:numCache>
            </c:numRef>
          </c:val>
          <c:extLst>
            <c:ext xmlns:c16="http://schemas.microsoft.com/office/drawing/2014/chart" uri="{C3380CC4-5D6E-409C-BE32-E72D297353CC}">
              <c16:uniqueId val="{00000001-A205-488A-8915-E5AA431F421D}"/>
            </c:ext>
          </c:extLst>
        </c:ser>
        <c:ser>
          <c:idx val="2"/>
          <c:order val="2"/>
          <c:tx>
            <c:strRef>
              <c:f>'Ark1'!$D$5</c:f>
              <c:strCache>
                <c:ptCount val="1"/>
                <c:pt idx="0">
                  <c:v>25-29 år</c:v>
                </c:pt>
              </c:strCache>
            </c:strRef>
          </c:tx>
          <c:spPr>
            <a:solidFill>
              <a:schemeClr val="accent3"/>
            </a:solidFill>
            <a:ln>
              <a:noFill/>
            </a:ln>
            <a:effectLst/>
          </c:spPr>
          <c:invertIfNegative val="0"/>
          <c:cat>
            <c:strRef>
              <c:f>'Ark1'!$A$6:$A$26</c:f>
              <c:strCache>
                <c:ptCount val="21"/>
                <c:pt idx="0">
                  <c:v>NHH </c:v>
                </c:pt>
                <c:pt idx="1">
                  <c:v>NTNU </c:v>
                </c:pt>
                <c:pt idx="2">
                  <c:v>NIH </c:v>
                </c:pt>
                <c:pt idx="3">
                  <c:v>UiB </c:v>
                </c:pt>
                <c:pt idx="4">
                  <c:v>HVL </c:v>
                </c:pt>
                <c:pt idx="5">
                  <c:v>UiA </c:v>
                </c:pt>
                <c:pt idx="6">
                  <c:v>NMBU </c:v>
                </c:pt>
                <c:pt idx="7">
                  <c:v>AHO </c:v>
                </c:pt>
                <c:pt idx="8">
                  <c:v>UiO </c:v>
                </c:pt>
                <c:pt idx="9">
                  <c:v>UiS </c:v>
                </c:pt>
                <c:pt idx="10">
                  <c:v>NMH </c:v>
                </c:pt>
                <c:pt idx="11">
                  <c:v>OsloMet </c:v>
                </c:pt>
                <c:pt idx="12">
                  <c:v>UiT </c:v>
                </c:pt>
                <c:pt idx="13">
                  <c:v>USN </c:v>
                </c:pt>
                <c:pt idx="14">
                  <c:v>KHiO </c:v>
                </c:pt>
                <c:pt idx="15">
                  <c:v>HINN </c:v>
                </c:pt>
                <c:pt idx="16">
                  <c:v>NU </c:v>
                </c:pt>
                <c:pt idx="17">
                  <c:v>HiØ </c:v>
                </c:pt>
                <c:pt idx="18">
                  <c:v>HiM </c:v>
                </c:pt>
                <c:pt idx="19">
                  <c:v>HVO </c:v>
                </c:pt>
                <c:pt idx="20">
                  <c:v>SH </c:v>
                </c:pt>
              </c:strCache>
            </c:strRef>
          </c:cat>
          <c:val>
            <c:numRef>
              <c:f>'Ark1'!$D$6:$D$26</c:f>
              <c:numCache>
                <c:formatCode>General</c:formatCode>
                <c:ptCount val="21"/>
                <c:pt idx="0">
                  <c:v>0.23399999999999999</c:v>
                </c:pt>
                <c:pt idx="1">
                  <c:v>0.19699999999999998</c:v>
                </c:pt>
                <c:pt idx="2">
                  <c:v>0.24600000000000002</c:v>
                </c:pt>
                <c:pt idx="3">
                  <c:v>0.22500000000000001</c:v>
                </c:pt>
                <c:pt idx="4">
                  <c:v>0.19200000000000003</c:v>
                </c:pt>
                <c:pt idx="5">
                  <c:v>0.17899999999999999</c:v>
                </c:pt>
                <c:pt idx="6">
                  <c:v>0.251</c:v>
                </c:pt>
                <c:pt idx="7">
                  <c:v>0.315</c:v>
                </c:pt>
                <c:pt idx="8">
                  <c:v>0.255</c:v>
                </c:pt>
                <c:pt idx="9">
                  <c:v>0.22200000000000003</c:v>
                </c:pt>
                <c:pt idx="10">
                  <c:v>0.26300000000000001</c:v>
                </c:pt>
                <c:pt idx="11">
                  <c:v>0.20499999999999999</c:v>
                </c:pt>
                <c:pt idx="12">
                  <c:v>0.245</c:v>
                </c:pt>
                <c:pt idx="13">
                  <c:v>0.21</c:v>
                </c:pt>
                <c:pt idx="14">
                  <c:v>0.29600000000000004</c:v>
                </c:pt>
                <c:pt idx="15">
                  <c:v>0.19299999999999998</c:v>
                </c:pt>
                <c:pt idx="16">
                  <c:v>0.19800000000000001</c:v>
                </c:pt>
                <c:pt idx="17">
                  <c:v>0.187</c:v>
                </c:pt>
                <c:pt idx="18">
                  <c:v>0.22600000000000001</c:v>
                </c:pt>
                <c:pt idx="19">
                  <c:v>0.19500000000000001</c:v>
                </c:pt>
                <c:pt idx="20">
                  <c:v>0.157</c:v>
                </c:pt>
              </c:numCache>
            </c:numRef>
          </c:val>
          <c:extLst>
            <c:ext xmlns:c16="http://schemas.microsoft.com/office/drawing/2014/chart" uri="{C3380CC4-5D6E-409C-BE32-E72D297353CC}">
              <c16:uniqueId val="{00000002-A205-488A-8915-E5AA431F421D}"/>
            </c:ext>
          </c:extLst>
        </c:ser>
        <c:ser>
          <c:idx val="3"/>
          <c:order val="3"/>
          <c:tx>
            <c:strRef>
              <c:f>'Ark1'!$E$5</c:f>
              <c:strCache>
                <c:ptCount val="1"/>
                <c:pt idx="0">
                  <c:v>30-40 år</c:v>
                </c:pt>
              </c:strCache>
            </c:strRef>
          </c:tx>
          <c:spPr>
            <a:solidFill>
              <a:schemeClr val="accent4"/>
            </a:solidFill>
            <a:ln>
              <a:noFill/>
            </a:ln>
            <a:effectLst/>
          </c:spPr>
          <c:invertIfNegative val="0"/>
          <c:cat>
            <c:strRef>
              <c:f>'Ark1'!$A$6:$A$26</c:f>
              <c:strCache>
                <c:ptCount val="21"/>
                <c:pt idx="0">
                  <c:v>NHH </c:v>
                </c:pt>
                <c:pt idx="1">
                  <c:v>NTNU </c:v>
                </c:pt>
                <c:pt idx="2">
                  <c:v>NIH </c:v>
                </c:pt>
                <c:pt idx="3">
                  <c:v>UiB </c:v>
                </c:pt>
                <c:pt idx="4">
                  <c:v>HVL </c:v>
                </c:pt>
                <c:pt idx="5">
                  <c:v>UiA </c:v>
                </c:pt>
                <c:pt idx="6">
                  <c:v>NMBU </c:v>
                </c:pt>
                <c:pt idx="7">
                  <c:v>AHO </c:v>
                </c:pt>
                <c:pt idx="8">
                  <c:v>UiO </c:v>
                </c:pt>
                <c:pt idx="9">
                  <c:v>UiS </c:v>
                </c:pt>
                <c:pt idx="10">
                  <c:v>NMH </c:v>
                </c:pt>
                <c:pt idx="11">
                  <c:v>OsloMet </c:v>
                </c:pt>
                <c:pt idx="12">
                  <c:v>UiT </c:v>
                </c:pt>
                <c:pt idx="13">
                  <c:v>USN </c:v>
                </c:pt>
                <c:pt idx="14">
                  <c:v>KHiO </c:v>
                </c:pt>
                <c:pt idx="15">
                  <c:v>HINN </c:v>
                </c:pt>
                <c:pt idx="16">
                  <c:v>NU </c:v>
                </c:pt>
                <c:pt idx="17">
                  <c:v>HiØ </c:v>
                </c:pt>
                <c:pt idx="18">
                  <c:v>HiM </c:v>
                </c:pt>
                <c:pt idx="19">
                  <c:v>HVO </c:v>
                </c:pt>
                <c:pt idx="20">
                  <c:v>SH </c:v>
                </c:pt>
              </c:strCache>
            </c:strRef>
          </c:cat>
          <c:val>
            <c:numRef>
              <c:f>'Ark1'!$E$6:$E$26</c:f>
              <c:numCache>
                <c:formatCode>General</c:formatCode>
                <c:ptCount val="21"/>
                <c:pt idx="0">
                  <c:v>3.4000000000000002E-2</c:v>
                </c:pt>
                <c:pt idx="1">
                  <c:v>9.0999999999999998E-2</c:v>
                </c:pt>
                <c:pt idx="2">
                  <c:v>8.199999999999999E-2</c:v>
                </c:pt>
                <c:pt idx="3">
                  <c:v>0.10300000000000001</c:v>
                </c:pt>
                <c:pt idx="4">
                  <c:v>0.15100000000000002</c:v>
                </c:pt>
                <c:pt idx="5">
                  <c:v>0.14000000000000001</c:v>
                </c:pt>
                <c:pt idx="6">
                  <c:v>0.13200000000000001</c:v>
                </c:pt>
                <c:pt idx="7">
                  <c:v>0.11599999999999999</c:v>
                </c:pt>
                <c:pt idx="8">
                  <c:v>0.14300000000000002</c:v>
                </c:pt>
                <c:pt idx="9">
                  <c:v>0.17399999999999999</c:v>
                </c:pt>
                <c:pt idx="10">
                  <c:v>0.14899999999999999</c:v>
                </c:pt>
                <c:pt idx="11">
                  <c:v>0.19</c:v>
                </c:pt>
                <c:pt idx="12">
                  <c:v>0.19600000000000001</c:v>
                </c:pt>
                <c:pt idx="13">
                  <c:v>0.21299999999999999</c:v>
                </c:pt>
                <c:pt idx="14">
                  <c:v>0.20299999999999996</c:v>
                </c:pt>
                <c:pt idx="15">
                  <c:v>0.221</c:v>
                </c:pt>
                <c:pt idx="16">
                  <c:v>0.22099999999999997</c:v>
                </c:pt>
                <c:pt idx="17">
                  <c:v>0.21299999999999999</c:v>
                </c:pt>
                <c:pt idx="18">
                  <c:v>0.23</c:v>
                </c:pt>
                <c:pt idx="19">
                  <c:v>0.23</c:v>
                </c:pt>
                <c:pt idx="20">
                  <c:v>0.32600000000000001</c:v>
                </c:pt>
              </c:numCache>
            </c:numRef>
          </c:val>
          <c:extLst>
            <c:ext xmlns:c16="http://schemas.microsoft.com/office/drawing/2014/chart" uri="{C3380CC4-5D6E-409C-BE32-E72D297353CC}">
              <c16:uniqueId val="{00000003-A205-488A-8915-E5AA431F421D}"/>
            </c:ext>
          </c:extLst>
        </c:ser>
        <c:ser>
          <c:idx val="4"/>
          <c:order val="4"/>
          <c:tx>
            <c:strRef>
              <c:f>'Ark1'!$F$5</c:f>
              <c:strCache>
                <c:ptCount val="1"/>
                <c:pt idx="0">
                  <c:v>Over 40 år</c:v>
                </c:pt>
              </c:strCache>
            </c:strRef>
          </c:tx>
          <c:spPr>
            <a:solidFill>
              <a:schemeClr val="accent5"/>
            </a:solidFill>
            <a:ln>
              <a:noFill/>
            </a:ln>
            <a:effectLst/>
          </c:spPr>
          <c:invertIfNegative val="0"/>
          <c:cat>
            <c:strRef>
              <c:f>'Ark1'!$A$6:$A$26</c:f>
              <c:strCache>
                <c:ptCount val="21"/>
                <c:pt idx="0">
                  <c:v>NHH </c:v>
                </c:pt>
                <c:pt idx="1">
                  <c:v>NTNU </c:v>
                </c:pt>
                <c:pt idx="2">
                  <c:v>NIH </c:v>
                </c:pt>
                <c:pt idx="3">
                  <c:v>UiB </c:v>
                </c:pt>
                <c:pt idx="4">
                  <c:v>HVL </c:v>
                </c:pt>
                <c:pt idx="5">
                  <c:v>UiA </c:v>
                </c:pt>
                <c:pt idx="6">
                  <c:v>NMBU </c:v>
                </c:pt>
                <c:pt idx="7">
                  <c:v>AHO </c:v>
                </c:pt>
                <c:pt idx="8">
                  <c:v>UiO </c:v>
                </c:pt>
                <c:pt idx="9">
                  <c:v>UiS </c:v>
                </c:pt>
                <c:pt idx="10">
                  <c:v>NMH </c:v>
                </c:pt>
                <c:pt idx="11">
                  <c:v>OsloMet </c:v>
                </c:pt>
                <c:pt idx="12">
                  <c:v>UiT </c:v>
                </c:pt>
                <c:pt idx="13">
                  <c:v>USN </c:v>
                </c:pt>
                <c:pt idx="14">
                  <c:v>KHiO </c:v>
                </c:pt>
                <c:pt idx="15">
                  <c:v>HINN </c:v>
                </c:pt>
                <c:pt idx="16">
                  <c:v>NU </c:v>
                </c:pt>
                <c:pt idx="17">
                  <c:v>HiØ </c:v>
                </c:pt>
                <c:pt idx="18">
                  <c:v>HiM </c:v>
                </c:pt>
                <c:pt idx="19">
                  <c:v>HVO </c:v>
                </c:pt>
                <c:pt idx="20">
                  <c:v>SH </c:v>
                </c:pt>
              </c:strCache>
            </c:strRef>
          </c:cat>
          <c:val>
            <c:numRef>
              <c:f>'Ark1'!$F$6:$F$26</c:f>
              <c:numCache>
                <c:formatCode>General</c:formatCode>
                <c:ptCount val="21"/>
                <c:pt idx="0">
                  <c:v>1.1000000000000001E-2</c:v>
                </c:pt>
                <c:pt idx="1">
                  <c:v>4.0999999999999995E-2</c:v>
                </c:pt>
                <c:pt idx="2">
                  <c:v>6.5000000000000002E-2</c:v>
                </c:pt>
                <c:pt idx="3">
                  <c:v>5.2999999999999999E-2</c:v>
                </c:pt>
                <c:pt idx="4">
                  <c:v>8.5999999999999993E-2</c:v>
                </c:pt>
                <c:pt idx="5">
                  <c:v>9.1000000000000011E-2</c:v>
                </c:pt>
                <c:pt idx="6">
                  <c:v>5.7999999999999996E-2</c:v>
                </c:pt>
                <c:pt idx="7">
                  <c:v>3.4000000000000002E-2</c:v>
                </c:pt>
                <c:pt idx="8">
                  <c:v>7.400000000000001E-2</c:v>
                </c:pt>
                <c:pt idx="9">
                  <c:v>6.8000000000000005E-2</c:v>
                </c:pt>
                <c:pt idx="10">
                  <c:v>9.9000000000000005E-2</c:v>
                </c:pt>
                <c:pt idx="11">
                  <c:v>0.111</c:v>
                </c:pt>
                <c:pt idx="12">
                  <c:v>9.9000000000000005E-2</c:v>
                </c:pt>
                <c:pt idx="13">
                  <c:v>0.11399999999999999</c:v>
                </c:pt>
                <c:pt idx="14">
                  <c:v>3.5999999999999997E-2</c:v>
                </c:pt>
                <c:pt idx="15">
                  <c:v>0.14899999999999999</c:v>
                </c:pt>
                <c:pt idx="16">
                  <c:v>0.14300000000000002</c:v>
                </c:pt>
                <c:pt idx="17">
                  <c:v>0.155</c:v>
                </c:pt>
                <c:pt idx="18">
                  <c:v>0.13299999999999998</c:v>
                </c:pt>
                <c:pt idx="19">
                  <c:v>0.2</c:v>
                </c:pt>
                <c:pt idx="20">
                  <c:v>0.33900000000000008</c:v>
                </c:pt>
              </c:numCache>
            </c:numRef>
          </c:val>
          <c:extLst>
            <c:ext xmlns:c16="http://schemas.microsoft.com/office/drawing/2014/chart" uri="{C3380CC4-5D6E-409C-BE32-E72D297353CC}">
              <c16:uniqueId val="{00000004-A205-488A-8915-E5AA431F421D}"/>
            </c:ext>
          </c:extLst>
        </c:ser>
        <c:dLbls>
          <c:showLegendKey val="0"/>
          <c:showVal val="0"/>
          <c:showCatName val="0"/>
          <c:showSerName val="0"/>
          <c:showPercent val="0"/>
          <c:showBubbleSize val="0"/>
        </c:dLbls>
        <c:gapWidth val="150"/>
        <c:overlap val="100"/>
        <c:axId val="1656112079"/>
        <c:axId val="1656122479"/>
      </c:barChart>
      <c:catAx>
        <c:axId val="165611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56122479"/>
        <c:crosses val="autoZero"/>
        <c:auto val="1"/>
        <c:lblAlgn val="ctr"/>
        <c:lblOffset val="100"/>
        <c:noMultiLvlLbl val="0"/>
      </c:catAx>
      <c:valAx>
        <c:axId val="165612247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5611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1"/>
        <c:ser>
          <c:idx val="0"/>
          <c:order val="0"/>
          <c:tx>
            <c:strRef>
              <c:f>sheet1!$B$1</c:f>
              <c:strCache>
                <c:ptCount val="1"/>
                <c:pt idx="0">
                  <c:v>diamant</c:v>
                </c:pt>
              </c:strCache>
            </c:strRef>
          </c:tx>
          <c:spPr>
            <a:solidFill>
              <a:srgbClr val="00CDCD">
                <a:alpha val="100000"/>
              </a:srgbClr>
            </a:solidFill>
            <a:ln w="25400">
              <a:solidFill>
                <a:srgbClr val="00CDCD">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sheet1!$B$2:$B$11</c:f>
              <c:numCache>
                <c:formatCode>General</c:formatCode>
                <c:ptCount val="10"/>
                <c:pt idx="0">
                  <c:v>196</c:v>
                </c:pt>
                <c:pt idx="1">
                  <c:v>202</c:v>
                </c:pt>
                <c:pt idx="2">
                  <c:v>170</c:v>
                </c:pt>
                <c:pt idx="3">
                  <c:v>136</c:v>
                </c:pt>
                <c:pt idx="4">
                  <c:v>68</c:v>
                </c:pt>
                <c:pt idx="5">
                  <c:v>22</c:v>
                </c:pt>
                <c:pt idx="6">
                  <c:v>43</c:v>
                </c:pt>
                <c:pt idx="7">
                  <c:v>123</c:v>
                </c:pt>
                <c:pt idx="8">
                  <c:v>62</c:v>
                </c:pt>
                <c:pt idx="9">
                  <c:v>46</c:v>
                </c:pt>
              </c:numCache>
            </c:numRef>
          </c:val>
          <c:extLst>
            <c:ext xmlns:c16="http://schemas.microsoft.com/office/drawing/2014/chart" uri="{C3380CC4-5D6E-409C-BE32-E72D297353CC}">
              <c16:uniqueId val="{00000000-15AE-4BB9-BC23-5400D0D9E31B}"/>
            </c:ext>
          </c:extLst>
        </c:ser>
        <c:ser>
          <c:idx val="1"/>
          <c:order val="1"/>
          <c:tx>
            <c:strRef>
              <c:f>sheet1!$C$1</c:f>
              <c:strCache>
                <c:ptCount val="1"/>
                <c:pt idx="0">
                  <c:v>gull</c:v>
                </c:pt>
              </c:strCache>
            </c:strRef>
          </c:tx>
          <c:spPr>
            <a:solidFill>
              <a:srgbClr val="FFD700">
                <a:alpha val="100000"/>
              </a:srgbClr>
            </a:solidFill>
            <a:ln w="25400">
              <a:solidFill>
                <a:srgbClr val="FFD700">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sheet1!$C$2:$C$11</c:f>
              <c:numCache>
                <c:formatCode>General</c:formatCode>
                <c:ptCount val="10"/>
                <c:pt idx="0">
                  <c:v>1740</c:v>
                </c:pt>
                <c:pt idx="1">
                  <c:v>1386</c:v>
                </c:pt>
                <c:pt idx="2">
                  <c:v>1089</c:v>
                </c:pt>
                <c:pt idx="3">
                  <c:v>701</c:v>
                </c:pt>
                <c:pt idx="4">
                  <c:v>224</c:v>
                </c:pt>
                <c:pt idx="5">
                  <c:v>318</c:v>
                </c:pt>
                <c:pt idx="6">
                  <c:v>212</c:v>
                </c:pt>
                <c:pt idx="7">
                  <c:v>194</c:v>
                </c:pt>
                <c:pt idx="8">
                  <c:v>159</c:v>
                </c:pt>
                <c:pt idx="9">
                  <c:v>137</c:v>
                </c:pt>
              </c:numCache>
            </c:numRef>
          </c:val>
          <c:extLst>
            <c:ext xmlns:c16="http://schemas.microsoft.com/office/drawing/2014/chart" uri="{C3380CC4-5D6E-409C-BE32-E72D297353CC}">
              <c16:uniqueId val="{00000001-15AE-4BB9-BC23-5400D0D9E31B}"/>
            </c:ext>
          </c:extLst>
        </c:ser>
        <c:ser>
          <c:idx val="2"/>
          <c:order val="2"/>
          <c:tx>
            <c:strRef>
              <c:f>sheet1!$D$1</c:f>
              <c:strCache>
                <c:ptCount val="1"/>
                <c:pt idx="0">
                  <c:v>hybrid</c:v>
                </c:pt>
              </c:strCache>
            </c:strRef>
          </c:tx>
          <c:spPr>
            <a:solidFill>
              <a:srgbClr val="CDAD00">
                <a:alpha val="100000"/>
              </a:srgbClr>
            </a:solidFill>
            <a:ln w="25400">
              <a:solidFill>
                <a:srgbClr val="CDAD00">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sheet1!$D$2:$D$11</c:f>
              <c:numCache>
                <c:formatCode>General</c:formatCode>
                <c:ptCount val="10"/>
                <c:pt idx="0">
                  <c:v>810</c:v>
                </c:pt>
                <c:pt idx="1">
                  <c:v>569</c:v>
                </c:pt>
                <c:pt idx="2">
                  <c:v>432</c:v>
                </c:pt>
                <c:pt idx="3">
                  <c:v>239</c:v>
                </c:pt>
                <c:pt idx="4">
                  <c:v>110</c:v>
                </c:pt>
                <c:pt idx="5">
                  <c:v>117</c:v>
                </c:pt>
                <c:pt idx="6">
                  <c:v>121</c:v>
                </c:pt>
                <c:pt idx="7">
                  <c:v>104</c:v>
                </c:pt>
                <c:pt idx="8">
                  <c:v>62</c:v>
                </c:pt>
                <c:pt idx="9">
                  <c:v>99</c:v>
                </c:pt>
              </c:numCache>
            </c:numRef>
          </c:val>
          <c:extLst>
            <c:ext xmlns:c16="http://schemas.microsoft.com/office/drawing/2014/chart" uri="{C3380CC4-5D6E-409C-BE32-E72D297353CC}">
              <c16:uniqueId val="{00000002-15AE-4BB9-BC23-5400D0D9E31B}"/>
            </c:ext>
          </c:extLst>
        </c:ser>
        <c:ser>
          <c:idx val="3"/>
          <c:order val="3"/>
          <c:tx>
            <c:strRef>
              <c:f>sheet1!$E$1</c:f>
              <c:strCache>
                <c:ptCount val="1"/>
                <c:pt idx="0">
                  <c:v>hybrid_avtale</c:v>
                </c:pt>
              </c:strCache>
            </c:strRef>
          </c:tx>
          <c:spPr>
            <a:solidFill>
              <a:srgbClr val="B8860B">
                <a:alpha val="100000"/>
              </a:srgbClr>
            </a:solidFill>
            <a:ln w="25400">
              <a:solidFill>
                <a:srgbClr val="B8860B">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sheet1!$E$2:$E$11</c:f>
              <c:numCache>
                <c:formatCode>General</c:formatCode>
                <c:ptCount val="10"/>
                <c:pt idx="0">
                  <c:v>934</c:v>
                </c:pt>
                <c:pt idx="1">
                  <c:v>868</c:v>
                </c:pt>
                <c:pt idx="2">
                  <c:v>509</c:v>
                </c:pt>
                <c:pt idx="3">
                  <c:v>252</c:v>
                </c:pt>
                <c:pt idx="4">
                  <c:v>137</c:v>
                </c:pt>
                <c:pt idx="5">
                  <c:v>166</c:v>
                </c:pt>
                <c:pt idx="6">
                  <c:v>79</c:v>
                </c:pt>
                <c:pt idx="7">
                  <c:v>97</c:v>
                </c:pt>
                <c:pt idx="8">
                  <c:v>56</c:v>
                </c:pt>
                <c:pt idx="9">
                  <c:v>48</c:v>
                </c:pt>
              </c:numCache>
            </c:numRef>
          </c:val>
          <c:extLst>
            <c:ext xmlns:c16="http://schemas.microsoft.com/office/drawing/2014/chart" uri="{C3380CC4-5D6E-409C-BE32-E72D297353CC}">
              <c16:uniqueId val="{00000003-15AE-4BB9-BC23-5400D0D9E31B}"/>
            </c:ext>
          </c:extLst>
        </c:ser>
        <c:ser>
          <c:idx val="4"/>
          <c:order val="4"/>
          <c:tx>
            <c:strRef>
              <c:f>sheet1!$F$1</c:f>
              <c:strCache>
                <c:ptCount val="1"/>
                <c:pt idx="0">
                  <c:v>grønn</c:v>
                </c:pt>
              </c:strCache>
            </c:strRef>
          </c:tx>
          <c:spPr>
            <a:solidFill>
              <a:srgbClr val="3CB371">
                <a:alpha val="100000"/>
              </a:srgbClr>
            </a:solidFill>
            <a:ln w="25400">
              <a:solidFill>
                <a:srgbClr val="3CB371">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sheet1!$F$2:$F$11</c:f>
              <c:numCache>
                <c:formatCode>General</c:formatCode>
                <c:ptCount val="10"/>
                <c:pt idx="0">
                  <c:v>808</c:v>
                </c:pt>
                <c:pt idx="1">
                  <c:v>642</c:v>
                </c:pt>
                <c:pt idx="2">
                  <c:v>191</c:v>
                </c:pt>
                <c:pt idx="3">
                  <c:v>350</c:v>
                </c:pt>
                <c:pt idx="4">
                  <c:v>75</c:v>
                </c:pt>
                <c:pt idx="5">
                  <c:v>61</c:v>
                </c:pt>
                <c:pt idx="6">
                  <c:v>58</c:v>
                </c:pt>
                <c:pt idx="7">
                  <c:v>27</c:v>
                </c:pt>
                <c:pt idx="8">
                  <c:v>36</c:v>
                </c:pt>
                <c:pt idx="9">
                  <c:v>28</c:v>
                </c:pt>
              </c:numCache>
            </c:numRef>
          </c:val>
          <c:extLst>
            <c:ext xmlns:c16="http://schemas.microsoft.com/office/drawing/2014/chart" uri="{C3380CC4-5D6E-409C-BE32-E72D297353CC}">
              <c16:uniqueId val="{00000004-15AE-4BB9-BC23-5400D0D9E31B}"/>
            </c:ext>
          </c:extLst>
        </c:ser>
        <c:ser>
          <c:idx val="5"/>
          <c:order val="5"/>
          <c:tx>
            <c:strRef>
              <c:f>sheet1!$G$1</c:f>
              <c:strCache>
                <c:ptCount val="1"/>
                <c:pt idx="0">
                  <c:v>deponert</c:v>
                </c:pt>
              </c:strCache>
            </c:strRef>
          </c:tx>
          <c:spPr>
            <a:solidFill>
              <a:srgbClr val="919191">
                <a:alpha val="100000"/>
              </a:srgbClr>
            </a:solidFill>
            <a:ln w="25400">
              <a:solidFill>
                <a:srgbClr val="919191">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sheet1!$G$2:$G$11</c:f>
              <c:numCache>
                <c:formatCode>General</c:formatCode>
                <c:ptCount val="10"/>
                <c:pt idx="0">
                  <c:v>429</c:v>
                </c:pt>
                <c:pt idx="1">
                  <c:v>307</c:v>
                </c:pt>
                <c:pt idx="2">
                  <c:v>342</c:v>
                </c:pt>
                <c:pt idx="3">
                  <c:v>54</c:v>
                </c:pt>
                <c:pt idx="4">
                  <c:v>57</c:v>
                </c:pt>
                <c:pt idx="5">
                  <c:v>20</c:v>
                </c:pt>
                <c:pt idx="6">
                  <c:v>26</c:v>
                </c:pt>
                <c:pt idx="7">
                  <c:v>119</c:v>
                </c:pt>
                <c:pt idx="8">
                  <c:v>12</c:v>
                </c:pt>
                <c:pt idx="9">
                  <c:v>31</c:v>
                </c:pt>
              </c:numCache>
            </c:numRef>
          </c:val>
          <c:extLst>
            <c:ext xmlns:c16="http://schemas.microsoft.com/office/drawing/2014/chart" uri="{C3380CC4-5D6E-409C-BE32-E72D297353CC}">
              <c16:uniqueId val="{00000005-15AE-4BB9-BC23-5400D0D9E31B}"/>
            </c:ext>
          </c:extLst>
        </c:ser>
        <c:ser>
          <c:idx val="6"/>
          <c:order val="6"/>
          <c:tx>
            <c:strRef>
              <c:f>sheet1!$H$1</c:f>
              <c:strCache>
                <c:ptCount val="1"/>
                <c:pt idx="0">
                  <c:v>lukket</c:v>
                </c:pt>
              </c:strCache>
            </c:strRef>
          </c:tx>
          <c:spPr>
            <a:solidFill>
              <a:srgbClr val="B3B3B3">
                <a:alpha val="100000"/>
              </a:srgbClr>
            </a:solidFill>
            <a:ln w="25400">
              <a:solidFill>
                <a:srgbClr val="B3B3B3">
                  <a:alpha val="100000"/>
                </a:srgbClr>
              </a:solidFill>
            </a:ln>
            <a:effectLst/>
          </c:spPr>
          <c:invertIfNegative val="0"/>
          <c:dLbls>
            <c:numFmt formatCode="General" sourceLinked="0"/>
            <c:spPr>
              <a:noFill/>
              <a:ln>
                <a:noFill/>
              </a:ln>
              <a:effectLst/>
            </c:spPr>
            <c:txPr>
              <a:bodyPr/>
              <a:lstStyle/>
              <a:p>
                <a:pPr>
                  <a:defRPr sz="800" b="0" i="0" u="none" cap="none">
                    <a:solidFill>
                      <a:srgbClr val="000000">
                        <a:alpha val="100000"/>
                      </a:srgbClr>
                    </a:solidFill>
                    <a:latin typeface="Arial"/>
                    <a:cs typeface="Arial"/>
                    <a:sym typeface="Arial"/>
                  </a:defRPr>
                </a:pPr>
                <a:endParaRPr lang="nb-NO"/>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sheet1!$A$2:$A$11</c:f>
              <c:strCache>
                <c:ptCount val="10"/>
                <c:pt idx="0">
                  <c:v>UiO</c:v>
                </c:pt>
                <c:pt idx="1">
                  <c:v>NTNU</c:v>
                </c:pt>
                <c:pt idx="2">
                  <c:v>UiB</c:v>
                </c:pt>
                <c:pt idx="3">
                  <c:v>UiT</c:v>
                </c:pt>
                <c:pt idx="4">
                  <c:v>UiS</c:v>
                </c:pt>
                <c:pt idx="5">
                  <c:v>NMBU</c:v>
                </c:pt>
                <c:pt idx="6">
                  <c:v>UiA</c:v>
                </c:pt>
                <c:pt idx="7">
                  <c:v>OsloMet</c:v>
                </c:pt>
                <c:pt idx="8">
                  <c:v>HVL</c:v>
                </c:pt>
                <c:pt idx="9">
                  <c:v>USN</c:v>
                </c:pt>
              </c:strCache>
            </c:strRef>
          </c:cat>
          <c:val>
            <c:numRef>
              <c:f>sheet1!$H$2:$H$11</c:f>
              <c:numCache>
                <c:formatCode>General</c:formatCode>
                <c:ptCount val="10"/>
                <c:pt idx="0">
                  <c:v>451</c:v>
                </c:pt>
                <c:pt idx="1">
                  <c:v>854</c:v>
                </c:pt>
                <c:pt idx="2">
                  <c:v>243</c:v>
                </c:pt>
                <c:pt idx="3">
                  <c:v>122</c:v>
                </c:pt>
                <c:pt idx="4">
                  <c:v>204</c:v>
                </c:pt>
                <c:pt idx="5">
                  <c:v>155</c:v>
                </c:pt>
                <c:pt idx="6">
                  <c:v>207</c:v>
                </c:pt>
                <c:pt idx="7">
                  <c:v>48</c:v>
                </c:pt>
                <c:pt idx="8">
                  <c:v>192</c:v>
                </c:pt>
                <c:pt idx="9">
                  <c:v>131</c:v>
                </c:pt>
              </c:numCache>
            </c:numRef>
          </c:val>
          <c:extLst>
            <c:ext xmlns:c16="http://schemas.microsoft.com/office/drawing/2014/chart" uri="{C3380CC4-5D6E-409C-BE32-E72D297353CC}">
              <c16:uniqueId val="{00000006-15AE-4BB9-BC23-5400D0D9E31B}"/>
            </c:ext>
          </c:extLst>
        </c:ser>
        <c:dLbls>
          <c:dLblPos val="ctr"/>
          <c:showLegendKey val="0"/>
          <c:showVal val="1"/>
          <c:showCatName val="0"/>
          <c:showSerName val="0"/>
          <c:showPercent val="0"/>
          <c:showBubbleSize val="0"/>
          <c:separator>, </c:separator>
        </c:dLbls>
        <c:gapWidth val="50"/>
        <c:overlap val="100"/>
        <c:axId val="64451712"/>
        <c:axId val="64453248"/>
      </c:barChart>
      <c:catAx>
        <c:axId val="64451712"/>
        <c:scaling>
          <c:orientation val="minMax"/>
        </c:scaling>
        <c:delete val="0"/>
        <c:axPos val="b"/>
        <c:numFmt formatCode="General" sourceLinked="0"/>
        <c:majorTickMark val="none"/>
        <c:minorTickMark val="none"/>
        <c:tickLblPos val="nextTo"/>
        <c:txPr>
          <a:bodyPr rot="0" vert="horz"/>
          <a:lstStyle/>
          <a:p>
            <a:pPr>
              <a:defRPr sz="800" b="0" i="0" u="none" cap="none">
                <a:solidFill>
                  <a:srgbClr val="000000">
                    <a:alpha val="100000"/>
                  </a:srgbClr>
                </a:solidFill>
                <a:latin typeface="Arial"/>
                <a:cs typeface="Arial"/>
                <a:sym typeface="Arial"/>
              </a:defRPr>
            </a:pPr>
            <a:endParaRPr lang="nb-NO"/>
          </a:p>
        </c:txPr>
        <c:crossAx val="64453248"/>
        <c:crosses val="autoZero"/>
        <c:auto val="1"/>
        <c:lblAlgn val="ctr"/>
        <c:lblOffset val="100"/>
        <c:noMultiLvlLbl val="1"/>
      </c:catAx>
      <c:valAx>
        <c:axId val="64453248"/>
        <c:scaling>
          <c:orientation val="minMax"/>
        </c:scaling>
        <c:delete val="0"/>
        <c:axPos val="l"/>
        <c:majorGridlines>
          <c:spPr>
            <a:ln w="9525" algn="ctr">
              <a:solidFill>
                <a:srgbClr val="A5A5A5">
                  <a:lumMod val="40000"/>
                  <a:lumOff val="60000"/>
                </a:srgbClr>
              </a:solidFill>
              <a:prstDash val="solid"/>
            </a:ln>
          </c:spPr>
        </c:majorGridlines>
        <c:numFmt formatCode="0%" sourceLinked="0"/>
        <c:majorTickMark val="none"/>
        <c:minorTickMark val="none"/>
        <c:tickLblPos val="nextTo"/>
        <c:spPr>
          <a:ln>
            <a:noFill/>
          </a:ln>
        </c:spPr>
        <c:txPr>
          <a:bodyPr rot="0" vert="horz"/>
          <a:lstStyle/>
          <a:p>
            <a:pPr>
              <a:defRPr sz="1000" b="0" i="0" u="none" cap="none">
                <a:solidFill>
                  <a:srgbClr val="000000">
                    <a:alpha val="100000"/>
                  </a:srgbClr>
                </a:solidFill>
                <a:latin typeface="Arial"/>
                <a:cs typeface="Arial"/>
                <a:sym typeface="Arial"/>
              </a:defRPr>
            </a:pPr>
            <a:endParaRPr lang="nb-NO"/>
          </a:p>
        </c:txPr>
        <c:crossAx val="64451712"/>
        <c:crosses val="autoZero"/>
        <c:crossBetween val="between"/>
        <c:majorUnit val="0.2"/>
      </c:valAx>
    </c:plotArea>
    <c:legend>
      <c:legendPos val="b"/>
      <c:overlay val="0"/>
      <c:txPr>
        <a:bodyPr/>
        <a:lstStyle/>
        <a:p>
          <a:pPr>
            <a:defRPr sz="1000" b="0" i="0" u="none" cap="none">
              <a:solidFill>
                <a:srgbClr val="000000">
                  <a:alpha val="100000"/>
                </a:srgbClr>
              </a:solidFill>
              <a:latin typeface="Arial"/>
              <a:cs typeface="Arial"/>
              <a:sym typeface="Arial"/>
            </a:defRPr>
          </a:pPr>
          <a:endParaRPr lang="nb-NO"/>
        </a:p>
      </c:txPr>
    </c:legend>
    <c:plotVisOnly val="1"/>
    <c:dispBlanksAs val="gap"/>
    <c:showDLblsOverMax val="0"/>
  </c:chart>
  <c:spPr>
    <a:ln>
      <a:solidFill>
        <a:srgbClr val="A5A5A5">
          <a:lumMod val="40000"/>
          <a:lumOff val="60000"/>
        </a:srgbClr>
      </a:solidFill>
    </a:ln>
  </c:spPr>
  <c:txPr>
    <a:bodyPr/>
    <a:lstStyle/>
    <a:p>
      <a:pPr>
        <a:defRPr sz="1800"/>
      </a:pPr>
      <a:endParaRPr lang="nb-NO"/>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9732419767127"/>
          <c:y val="5.5151667084482325E-2"/>
          <c:w val="0.70605132503379586"/>
          <c:h val="0.63754948325371708"/>
        </c:manualLayout>
      </c:layout>
      <c:barChart>
        <c:barDir val="bar"/>
        <c:grouping val="stacked"/>
        <c:varyColors val="0"/>
        <c:ser>
          <c:idx val="1"/>
          <c:order val="0"/>
          <c:tx>
            <c:strRef>
              <c:f>Bearbeidet!$A$63</c:f>
              <c:strCache>
                <c:ptCount val="1"/>
                <c:pt idx="0">
                  <c:v>Matematikk, naturvitenskap og teknologi</c:v>
                </c:pt>
              </c:strCache>
            </c:strRef>
          </c:tx>
          <c:spPr>
            <a:solidFill>
              <a:schemeClr val="accent4"/>
            </a:solidFill>
            <a:ln>
              <a:noFill/>
            </a:ln>
            <a:effectLst/>
          </c:spPr>
          <c:invertIfNegative val="0"/>
          <c:cat>
            <c:strRef>
              <c:f>Bearbeidet!$B$60:$G$60</c:f>
              <c:strCache>
                <c:ptCount val="6"/>
                <c:pt idx="0">
                  <c:v>Øvrige institusjoner</c:v>
                </c:pt>
                <c:pt idx="1">
                  <c:v>UiO</c:v>
                </c:pt>
                <c:pt idx="2">
                  <c:v>NMBU</c:v>
                </c:pt>
                <c:pt idx="3">
                  <c:v>UiB</c:v>
                </c:pt>
                <c:pt idx="4">
                  <c:v>UiT</c:v>
                </c:pt>
                <c:pt idx="5">
                  <c:v>NTNU</c:v>
                </c:pt>
              </c:strCache>
            </c:strRef>
          </c:cat>
          <c:val>
            <c:numRef>
              <c:f>Bearbeidet!$B$63:$G$63</c:f>
              <c:numCache>
                <c:formatCode>0%</c:formatCode>
                <c:ptCount val="6"/>
                <c:pt idx="0">
                  <c:v>0.25433452120693523</c:v>
                </c:pt>
                <c:pt idx="1">
                  <c:v>0.36221009377517699</c:v>
                </c:pt>
                <c:pt idx="2">
                  <c:v>0.40715014949318173</c:v>
                </c:pt>
                <c:pt idx="3">
                  <c:v>0.41043706452688516</c:v>
                </c:pt>
                <c:pt idx="4">
                  <c:v>0.49216905657077908</c:v>
                </c:pt>
                <c:pt idx="5">
                  <c:v>0.73118375345150077</c:v>
                </c:pt>
              </c:numCache>
            </c:numRef>
          </c:val>
          <c:extLst>
            <c:ext xmlns:c16="http://schemas.microsoft.com/office/drawing/2014/chart" uri="{C3380CC4-5D6E-409C-BE32-E72D297353CC}">
              <c16:uniqueId val="{00000000-5AFA-4800-BD42-8A05DFA67720}"/>
            </c:ext>
          </c:extLst>
        </c:ser>
        <c:ser>
          <c:idx val="0"/>
          <c:order val="1"/>
          <c:tx>
            <c:strRef>
              <c:f>Bearbeidet!$A$64</c:f>
              <c:strCache>
                <c:ptCount val="1"/>
                <c:pt idx="0">
                  <c:v>Medisin og helsefag</c:v>
                </c:pt>
              </c:strCache>
            </c:strRef>
          </c:tx>
          <c:spPr>
            <a:solidFill>
              <a:schemeClr val="accent5"/>
            </a:solidFill>
            <a:ln>
              <a:noFill/>
            </a:ln>
            <a:effectLst/>
          </c:spPr>
          <c:invertIfNegative val="0"/>
          <c:cat>
            <c:strRef>
              <c:f>Bearbeidet!$B$60:$G$60</c:f>
              <c:strCache>
                <c:ptCount val="6"/>
                <c:pt idx="0">
                  <c:v>Øvrige institusjoner</c:v>
                </c:pt>
                <c:pt idx="1">
                  <c:v>UiO</c:v>
                </c:pt>
                <c:pt idx="2">
                  <c:v>NMBU</c:v>
                </c:pt>
                <c:pt idx="3">
                  <c:v>UiB</c:v>
                </c:pt>
                <c:pt idx="4">
                  <c:v>UiT</c:v>
                </c:pt>
                <c:pt idx="5">
                  <c:v>NTNU</c:v>
                </c:pt>
              </c:strCache>
            </c:strRef>
          </c:cat>
          <c:val>
            <c:numRef>
              <c:f>Bearbeidet!$B$64:$G$64</c:f>
              <c:numCache>
                <c:formatCode>0%</c:formatCode>
                <c:ptCount val="6"/>
                <c:pt idx="0">
                  <c:v>0.1264028822022446</c:v>
                </c:pt>
                <c:pt idx="1">
                  <c:v>0.2839925545590698</c:v>
                </c:pt>
                <c:pt idx="2">
                  <c:v>0</c:v>
                </c:pt>
                <c:pt idx="3">
                  <c:v>0.26195724189895508</c:v>
                </c:pt>
                <c:pt idx="4">
                  <c:v>0.21672532132552244</c:v>
                </c:pt>
                <c:pt idx="5">
                  <c:v>0.1099651685551279</c:v>
                </c:pt>
              </c:numCache>
            </c:numRef>
          </c:val>
          <c:extLst>
            <c:ext xmlns:c16="http://schemas.microsoft.com/office/drawing/2014/chart" uri="{C3380CC4-5D6E-409C-BE32-E72D297353CC}">
              <c16:uniqueId val="{00000001-5AFA-4800-BD42-8A05DFA67720}"/>
            </c:ext>
          </c:extLst>
        </c:ser>
        <c:ser>
          <c:idx val="3"/>
          <c:order val="2"/>
          <c:tx>
            <c:strRef>
              <c:f>Bearbeidet!$A$62</c:f>
              <c:strCache>
                <c:ptCount val="1"/>
                <c:pt idx="0">
                  <c:v>Samfunnsvitenskap</c:v>
                </c:pt>
              </c:strCache>
            </c:strRef>
          </c:tx>
          <c:spPr>
            <a:solidFill>
              <a:schemeClr val="accent3"/>
            </a:solidFill>
            <a:ln>
              <a:noFill/>
            </a:ln>
            <a:effectLst/>
          </c:spPr>
          <c:invertIfNegative val="0"/>
          <c:cat>
            <c:strRef>
              <c:f>Bearbeidet!$B$60:$G$60</c:f>
              <c:strCache>
                <c:ptCount val="6"/>
                <c:pt idx="0">
                  <c:v>Øvrige institusjoner</c:v>
                </c:pt>
                <c:pt idx="1">
                  <c:v>UiO</c:v>
                </c:pt>
                <c:pt idx="2">
                  <c:v>NMBU</c:v>
                </c:pt>
                <c:pt idx="3">
                  <c:v>UiB</c:v>
                </c:pt>
                <c:pt idx="4">
                  <c:v>UiT</c:v>
                </c:pt>
                <c:pt idx="5">
                  <c:v>NTNU</c:v>
                </c:pt>
              </c:strCache>
            </c:strRef>
          </c:cat>
          <c:val>
            <c:numRef>
              <c:f>Bearbeidet!$B$62:$G$62</c:f>
              <c:numCache>
                <c:formatCode>0%</c:formatCode>
                <c:ptCount val="6"/>
                <c:pt idx="0">
                  <c:v>0.51741895762787038</c:v>
                </c:pt>
                <c:pt idx="1">
                  <c:v>0.2369635329981033</c:v>
                </c:pt>
                <c:pt idx="2">
                  <c:v>0.10843724932545759</c:v>
                </c:pt>
                <c:pt idx="3">
                  <c:v>0.19151506753216385</c:v>
                </c:pt>
                <c:pt idx="4">
                  <c:v>0.20940259683483434</c:v>
                </c:pt>
                <c:pt idx="5">
                  <c:v>0.12266481649032172</c:v>
                </c:pt>
              </c:numCache>
            </c:numRef>
          </c:val>
          <c:extLst>
            <c:ext xmlns:c16="http://schemas.microsoft.com/office/drawing/2014/chart" uri="{C3380CC4-5D6E-409C-BE32-E72D297353CC}">
              <c16:uniqueId val="{00000002-5AFA-4800-BD42-8A05DFA67720}"/>
            </c:ext>
          </c:extLst>
        </c:ser>
        <c:ser>
          <c:idx val="2"/>
          <c:order val="3"/>
          <c:tx>
            <c:strRef>
              <c:f>Bearbeidet!$A$61</c:f>
              <c:strCache>
                <c:ptCount val="1"/>
                <c:pt idx="0">
                  <c:v>Humaniora og kunstfag</c:v>
                </c:pt>
              </c:strCache>
            </c:strRef>
          </c:tx>
          <c:spPr>
            <a:solidFill>
              <a:srgbClr val="FF0000"/>
            </a:solidFill>
            <a:ln>
              <a:noFill/>
            </a:ln>
            <a:effectLst/>
          </c:spPr>
          <c:invertIfNegative val="0"/>
          <c:cat>
            <c:strRef>
              <c:f>Bearbeidet!$B$60:$G$60</c:f>
              <c:strCache>
                <c:ptCount val="6"/>
                <c:pt idx="0">
                  <c:v>Øvrige institusjoner</c:v>
                </c:pt>
                <c:pt idx="1">
                  <c:v>UiO</c:v>
                </c:pt>
                <c:pt idx="2">
                  <c:v>NMBU</c:v>
                </c:pt>
                <c:pt idx="3">
                  <c:v>UiB</c:v>
                </c:pt>
                <c:pt idx="4">
                  <c:v>UiT</c:v>
                </c:pt>
                <c:pt idx="5">
                  <c:v>NTNU</c:v>
                </c:pt>
              </c:strCache>
            </c:strRef>
          </c:cat>
          <c:val>
            <c:numRef>
              <c:f>Bearbeidet!$B$61:$G$61</c:f>
              <c:numCache>
                <c:formatCode>0%</c:formatCode>
                <c:ptCount val="6"/>
                <c:pt idx="0">
                  <c:v>0.10184363896294983</c:v>
                </c:pt>
                <c:pt idx="1">
                  <c:v>0.11683381866764997</c:v>
                </c:pt>
                <c:pt idx="2">
                  <c:v>0</c:v>
                </c:pt>
                <c:pt idx="3">
                  <c:v>0.13609062604199595</c:v>
                </c:pt>
                <c:pt idx="4">
                  <c:v>8.1703025268864221E-2</c:v>
                </c:pt>
                <c:pt idx="5">
                  <c:v>3.6186261503049509E-2</c:v>
                </c:pt>
              </c:numCache>
            </c:numRef>
          </c:val>
          <c:extLst>
            <c:ext xmlns:c16="http://schemas.microsoft.com/office/drawing/2014/chart" uri="{C3380CC4-5D6E-409C-BE32-E72D297353CC}">
              <c16:uniqueId val="{00000003-5AFA-4800-BD42-8A05DFA67720}"/>
            </c:ext>
          </c:extLst>
        </c:ser>
        <c:ser>
          <c:idx val="4"/>
          <c:order val="4"/>
          <c:tx>
            <c:strRef>
              <c:f>Bearbeidet!$A$65</c:f>
              <c:strCache>
                <c:ptCount val="1"/>
                <c:pt idx="0">
                  <c:v>Landbruks-, fiskerifag og veterinærmedisin</c:v>
                </c:pt>
              </c:strCache>
            </c:strRef>
          </c:tx>
          <c:spPr>
            <a:solidFill>
              <a:schemeClr val="accent6"/>
            </a:solidFill>
            <a:ln>
              <a:noFill/>
            </a:ln>
            <a:effectLst/>
          </c:spPr>
          <c:invertIfNegative val="0"/>
          <c:cat>
            <c:strRef>
              <c:f>Bearbeidet!$B$60:$G$60</c:f>
              <c:strCache>
                <c:ptCount val="6"/>
                <c:pt idx="0">
                  <c:v>Øvrige institusjoner</c:v>
                </c:pt>
                <c:pt idx="1">
                  <c:v>UiO</c:v>
                </c:pt>
                <c:pt idx="2">
                  <c:v>NMBU</c:v>
                </c:pt>
                <c:pt idx="3">
                  <c:v>UiB</c:v>
                </c:pt>
                <c:pt idx="4">
                  <c:v>UiT</c:v>
                </c:pt>
                <c:pt idx="5">
                  <c:v>NTNU</c:v>
                </c:pt>
              </c:strCache>
            </c:strRef>
          </c:cat>
          <c:val>
            <c:numRef>
              <c:f>Bearbeidet!$B$65:$G$65</c:f>
              <c:numCache>
                <c:formatCode>0%</c:formatCode>
                <c:ptCount val="6"/>
                <c:pt idx="0">
                  <c:v>0</c:v>
                </c:pt>
                <c:pt idx="1">
                  <c:v>0</c:v>
                </c:pt>
                <c:pt idx="2">
                  <c:v>0.48441260118136076</c:v>
                </c:pt>
                <c:pt idx="3">
                  <c:v>0</c:v>
                </c:pt>
                <c:pt idx="4">
                  <c:v>0</c:v>
                </c:pt>
                <c:pt idx="5">
                  <c:v>0</c:v>
                </c:pt>
              </c:numCache>
            </c:numRef>
          </c:val>
          <c:extLst>
            <c:ext xmlns:c16="http://schemas.microsoft.com/office/drawing/2014/chart" uri="{C3380CC4-5D6E-409C-BE32-E72D297353CC}">
              <c16:uniqueId val="{00000004-5AFA-4800-BD42-8A05DFA67720}"/>
            </c:ext>
          </c:extLst>
        </c:ser>
        <c:ser>
          <c:idx val="5"/>
          <c:order val="5"/>
          <c:tx>
            <c:strRef>
              <c:f>Bearbeidet!$A$66</c:f>
              <c:strCache>
                <c:ptCount val="1"/>
                <c:pt idx="0">
                  <c:v>Sum </c:v>
                </c:pt>
              </c:strCache>
            </c:strRef>
          </c:tx>
          <c:spPr>
            <a:solidFill>
              <a:schemeClr val="accent6"/>
            </a:solidFill>
            <a:ln>
              <a:noFill/>
            </a:ln>
            <a:effectLst/>
          </c:spPr>
          <c:invertIfNegative val="0"/>
          <c:cat>
            <c:strRef>
              <c:f>Bearbeidet!$B$60:$G$60</c:f>
              <c:strCache>
                <c:ptCount val="6"/>
                <c:pt idx="0">
                  <c:v>Øvrige institusjoner</c:v>
                </c:pt>
                <c:pt idx="1">
                  <c:v>UiO</c:v>
                </c:pt>
                <c:pt idx="2">
                  <c:v>NMBU</c:v>
                </c:pt>
                <c:pt idx="3">
                  <c:v>UiB</c:v>
                </c:pt>
                <c:pt idx="4">
                  <c:v>UiT</c:v>
                </c:pt>
                <c:pt idx="5">
                  <c:v>NTNU</c:v>
                </c:pt>
              </c:strCache>
            </c:strRef>
          </c:cat>
          <c:val>
            <c:numRef>
              <c:f>Bearbeidet!$B$66:$G$66</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5-5AFA-4800-BD42-8A05DFA67720}"/>
            </c:ext>
          </c:extLst>
        </c:ser>
        <c:dLbls>
          <c:showLegendKey val="0"/>
          <c:showVal val="0"/>
          <c:showCatName val="0"/>
          <c:showSerName val="0"/>
          <c:showPercent val="0"/>
          <c:showBubbleSize val="0"/>
        </c:dLbls>
        <c:gapWidth val="150"/>
        <c:overlap val="100"/>
        <c:axId val="2008320591"/>
        <c:axId val="1130083359"/>
      </c:barChart>
      <c:catAx>
        <c:axId val="2008320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0083359"/>
        <c:crosses val="autoZero"/>
        <c:auto val="1"/>
        <c:lblAlgn val="ctr"/>
        <c:lblOffset val="100"/>
        <c:noMultiLvlLbl val="0"/>
      </c:catAx>
      <c:valAx>
        <c:axId val="113008335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08320591"/>
        <c:crosses val="autoZero"/>
        <c:crossBetween val="between"/>
      </c:valAx>
      <c:spPr>
        <a:noFill/>
        <a:ln>
          <a:noFill/>
        </a:ln>
        <a:effectLst/>
      </c:spPr>
    </c:plotArea>
    <c:legend>
      <c:legendPos val="b"/>
      <c:layout>
        <c:manualLayout>
          <c:xMode val="edge"/>
          <c:yMode val="edge"/>
          <c:x val="2.0603250714316963E-2"/>
          <c:y val="0.79017427960894249"/>
          <c:w val="0.95620964961087651"/>
          <c:h val="0.174729083385722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1684882673248"/>
          <c:y val="3.7655118468070105E-2"/>
          <c:w val="0.84891996709366557"/>
          <c:h val="0.65443221229616166"/>
        </c:manualLayout>
      </c:layout>
      <c:lineChart>
        <c:grouping val="standard"/>
        <c:varyColors val="0"/>
        <c:ser>
          <c:idx val="0"/>
          <c:order val="0"/>
          <c:tx>
            <c:strRef>
              <c:f>'Ark1'!$B$22</c:f>
              <c:strCache>
                <c:ptCount val="1"/>
                <c:pt idx="0">
                  <c:v>Totalt</c:v>
                </c:pt>
              </c:strCache>
            </c:strRef>
          </c:tx>
          <c:spPr>
            <a:ln w="28575" cap="rnd">
              <a:solidFill>
                <a:schemeClr val="accent1"/>
              </a:solidFill>
              <a:round/>
            </a:ln>
            <a:effectLst/>
          </c:spPr>
          <c:marker>
            <c:symbol val="none"/>
          </c:marker>
          <c:cat>
            <c:numRef>
              <c:f>'Ark1'!$A$23:$A$33</c:f>
              <c:numCache>
                <c:formatCode>General</c:formatCode>
                <c:ptCount val="11"/>
                <c:pt idx="0">
                  <c:v>2001</c:v>
                </c:pt>
                <c:pt idx="1">
                  <c:v>2003</c:v>
                </c:pt>
                <c:pt idx="2">
                  <c:v>2005</c:v>
                </c:pt>
                <c:pt idx="3">
                  <c:v>2007</c:v>
                </c:pt>
                <c:pt idx="4">
                  <c:v>2009</c:v>
                </c:pt>
                <c:pt idx="5">
                  <c:v>2011</c:v>
                </c:pt>
                <c:pt idx="6">
                  <c:v>2013</c:v>
                </c:pt>
                <c:pt idx="7">
                  <c:v>2015</c:v>
                </c:pt>
                <c:pt idx="8">
                  <c:v>2017</c:v>
                </c:pt>
                <c:pt idx="9">
                  <c:v>2019</c:v>
                </c:pt>
                <c:pt idx="10">
                  <c:v>2021</c:v>
                </c:pt>
              </c:numCache>
            </c:numRef>
          </c:cat>
          <c:val>
            <c:numRef>
              <c:f>'Ark1'!$B$23:$B$33</c:f>
              <c:numCache>
                <c:formatCode>0</c:formatCode>
                <c:ptCount val="11"/>
                <c:pt idx="0">
                  <c:v>100</c:v>
                </c:pt>
                <c:pt idx="1">
                  <c:v>118.53400718937965</c:v>
                </c:pt>
                <c:pt idx="2">
                  <c:v>145.75221553902554</c:v>
                </c:pt>
                <c:pt idx="3">
                  <c:v>187.43104246004913</c:v>
                </c:pt>
                <c:pt idx="4">
                  <c:v>215.09947681247112</c:v>
                </c:pt>
                <c:pt idx="5">
                  <c:v>238.24073744527888</c:v>
                </c:pt>
                <c:pt idx="6">
                  <c:v>268.17097910808985</c:v>
                </c:pt>
                <c:pt idx="7">
                  <c:v>306.81009378225451</c:v>
                </c:pt>
                <c:pt idx="8">
                  <c:v>375.48522867210033</c:v>
                </c:pt>
                <c:pt idx="9">
                  <c:v>420.78310389009505</c:v>
                </c:pt>
                <c:pt idx="10">
                  <c:v>432.74717336370435</c:v>
                </c:pt>
              </c:numCache>
            </c:numRef>
          </c:val>
          <c:smooth val="0"/>
          <c:extLst>
            <c:ext xmlns:c16="http://schemas.microsoft.com/office/drawing/2014/chart" uri="{C3380CC4-5D6E-409C-BE32-E72D297353CC}">
              <c16:uniqueId val="{00000000-408A-4ECA-86E2-52CC1170A8D9}"/>
            </c:ext>
          </c:extLst>
        </c:ser>
        <c:ser>
          <c:idx val="1"/>
          <c:order val="1"/>
          <c:tx>
            <c:strRef>
              <c:f>'Ark1'!$C$22</c:f>
              <c:strCache>
                <c:ptCount val="1"/>
                <c:pt idx="0">
                  <c:v>Humaniora</c:v>
                </c:pt>
              </c:strCache>
            </c:strRef>
          </c:tx>
          <c:spPr>
            <a:ln w="28575" cap="rnd">
              <a:solidFill>
                <a:schemeClr val="accent2"/>
              </a:solidFill>
              <a:round/>
            </a:ln>
            <a:effectLst/>
          </c:spPr>
          <c:marker>
            <c:symbol val="none"/>
          </c:marker>
          <c:cat>
            <c:numRef>
              <c:f>'Ark1'!$A$23:$A$33</c:f>
              <c:numCache>
                <c:formatCode>General</c:formatCode>
                <c:ptCount val="11"/>
                <c:pt idx="0">
                  <c:v>2001</c:v>
                </c:pt>
                <c:pt idx="1">
                  <c:v>2003</c:v>
                </c:pt>
                <c:pt idx="2">
                  <c:v>2005</c:v>
                </c:pt>
                <c:pt idx="3">
                  <c:v>2007</c:v>
                </c:pt>
                <c:pt idx="4">
                  <c:v>2009</c:v>
                </c:pt>
                <c:pt idx="5">
                  <c:v>2011</c:v>
                </c:pt>
                <c:pt idx="6">
                  <c:v>2013</c:v>
                </c:pt>
                <c:pt idx="7">
                  <c:v>2015</c:v>
                </c:pt>
                <c:pt idx="8">
                  <c:v>2017</c:v>
                </c:pt>
                <c:pt idx="9">
                  <c:v>2019</c:v>
                </c:pt>
                <c:pt idx="10">
                  <c:v>2021</c:v>
                </c:pt>
              </c:numCache>
            </c:numRef>
          </c:cat>
          <c:val>
            <c:numRef>
              <c:f>'Ark1'!$C$23:$C$33</c:f>
              <c:numCache>
                <c:formatCode>0</c:formatCode>
                <c:ptCount val="11"/>
                <c:pt idx="0">
                  <c:v>100</c:v>
                </c:pt>
                <c:pt idx="1">
                  <c:v>119.02990856965754</c:v>
                </c:pt>
                <c:pt idx="2">
                  <c:v>134.52657678599104</c:v>
                </c:pt>
                <c:pt idx="3">
                  <c:v>168.18534015186734</c:v>
                </c:pt>
                <c:pt idx="4">
                  <c:v>197.31907639857431</c:v>
                </c:pt>
                <c:pt idx="5">
                  <c:v>203.23880365721371</c:v>
                </c:pt>
                <c:pt idx="6">
                  <c:v>237.6104137610414</c:v>
                </c:pt>
                <c:pt idx="7">
                  <c:v>235.06514334418091</c:v>
                </c:pt>
                <c:pt idx="8">
                  <c:v>272.35481326514821</c:v>
                </c:pt>
                <c:pt idx="9">
                  <c:v>304.94296916163034</c:v>
                </c:pt>
                <c:pt idx="10">
                  <c:v>300.43628234929491</c:v>
                </c:pt>
              </c:numCache>
            </c:numRef>
          </c:val>
          <c:smooth val="0"/>
          <c:extLst>
            <c:ext xmlns:c16="http://schemas.microsoft.com/office/drawing/2014/chart" uri="{C3380CC4-5D6E-409C-BE32-E72D297353CC}">
              <c16:uniqueId val="{00000001-408A-4ECA-86E2-52CC1170A8D9}"/>
            </c:ext>
          </c:extLst>
        </c:ser>
        <c:ser>
          <c:idx val="2"/>
          <c:order val="2"/>
          <c:tx>
            <c:strRef>
              <c:f>'Ark1'!$D$22</c:f>
              <c:strCache>
                <c:ptCount val="1"/>
                <c:pt idx="0">
                  <c:v>Samfunnsvitenskap</c:v>
                </c:pt>
              </c:strCache>
            </c:strRef>
          </c:tx>
          <c:spPr>
            <a:ln w="28575" cap="rnd">
              <a:solidFill>
                <a:schemeClr val="accent3"/>
              </a:solidFill>
              <a:round/>
            </a:ln>
            <a:effectLst/>
          </c:spPr>
          <c:marker>
            <c:symbol val="none"/>
          </c:marker>
          <c:cat>
            <c:numRef>
              <c:f>'Ark1'!$A$23:$A$33</c:f>
              <c:numCache>
                <c:formatCode>General</c:formatCode>
                <c:ptCount val="11"/>
                <c:pt idx="0">
                  <c:v>2001</c:v>
                </c:pt>
                <c:pt idx="1">
                  <c:v>2003</c:v>
                </c:pt>
                <c:pt idx="2">
                  <c:v>2005</c:v>
                </c:pt>
                <c:pt idx="3">
                  <c:v>2007</c:v>
                </c:pt>
                <c:pt idx="4">
                  <c:v>2009</c:v>
                </c:pt>
                <c:pt idx="5">
                  <c:v>2011</c:v>
                </c:pt>
                <c:pt idx="6">
                  <c:v>2013</c:v>
                </c:pt>
                <c:pt idx="7">
                  <c:v>2015</c:v>
                </c:pt>
                <c:pt idx="8">
                  <c:v>2017</c:v>
                </c:pt>
                <c:pt idx="9">
                  <c:v>2019</c:v>
                </c:pt>
                <c:pt idx="10">
                  <c:v>2021</c:v>
                </c:pt>
              </c:numCache>
            </c:numRef>
          </c:cat>
          <c:val>
            <c:numRef>
              <c:f>'Ark1'!$D$23:$D$33</c:f>
              <c:numCache>
                <c:formatCode>0</c:formatCode>
                <c:ptCount val="11"/>
                <c:pt idx="0">
                  <c:v>100</c:v>
                </c:pt>
                <c:pt idx="1">
                  <c:v>120.16892958635934</c:v>
                </c:pt>
                <c:pt idx="2">
                  <c:v>139.72213451215663</c:v>
                </c:pt>
                <c:pt idx="3">
                  <c:v>180.462582886012</c:v>
                </c:pt>
                <c:pt idx="4">
                  <c:v>198.62646037259236</c:v>
                </c:pt>
                <c:pt idx="5">
                  <c:v>241.31670350489424</c:v>
                </c:pt>
                <c:pt idx="6">
                  <c:v>276.42879696874013</c:v>
                </c:pt>
                <c:pt idx="7">
                  <c:v>337.0069071676669</c:v>
                </c:pt>
                <c:pt idx="8">
                  <c:v>430.74872197663314</c:v>
                </c:pt>
                <c:pt idx="9">
                  <c:v>488.00086201452484</c:v>
                </c:pt>
                <c:pt idx="10">
                  <c:v>523.70949557941276</c:v>
                </c:pt>
              </c:numCache>
            </c:numRef>
          </c:val>
          <c:smooth val="0"/>
          <c:extLst>
            <c:ext xmlns:c16="http://schemas.microsoft.com/office/drawing/2014/chart" uri="{C3380CC4-5D6E-409C-BE32-E72D297353CC}">
              <c16:uniqueId val="{00000002-408A-4ECA-86E2-52CC1170A8D9}"/>
            </c:ext>
          </c:extLst>
        </c:ser>
        <c:ser>
          <c:idx val="3"/>
          <c:order val="3"/>
          <c:tx>
            <c:strRef>
              <c:f>'Ark1'!$E$22</c:f>
              <c:strCache>
                <c:ptCount val="1"/>
                <c:pt idx="0">
                  <c:v>MNT</c:v>
                </c:pt>
              </c:strCache>
            </c:strRef>
          </c:tx>
          <c:spPr>
            <a:ln w="28575" cap="rnd">
              <a:solidFill>
                <a:schemeClr val="accent4"/>
              </a:solidFill>
              <a:round/>
            </a:ln>
            <a:effectLst/>
          </c:spPr>
          <c:marker>
            <c:symbol val="none"/>
          </c:marker>
          <c:cat>
            <c:numRef>
              <c:f>'Ark1'!$A$23:$A$33</c:f>
              <c:numCache>
                <c:formatCode>General</c:formatCode>
                <c:ptCount val="11"/>
                <c:pt idx="0">
                  <c:v>2001</c:v>
                </c:pt>
                <c:pt idx="1">
                  <c:v>2003</c:v>
                </c:pt>
                <c:pt idx="2">
                  <c:v>2005</c:v>
                </c:pt>
                <c:pt idx="3">
                  <c:v>2007</c:v>
                </c:pt>
                <c:pt idx="4">
                  <c:v>2009</c:v>
                </c:pt>
                <c:pt idx="5">
                  <c:v>2011</c:v>
                </c:pt>
                <c:pt idx="6">
                  <c:v>2013</c:v>
                </c:pt>
                <c:pt idx="7">
                  <c:v>2015</c:v>
                </c:pt>
                <c:pt idx="8">
                  <c:v>2017</c:v>
                </c:pt>
                <c:pt idx="9">
                  <c:v>2019</c:v>
                </c:pt>
                <c:pt idx="10">
                  <c:v>2021</c:v>
                </c:pt>
              </c:numCache>
            </c:numRef>
          </c:cat>
          <c:val>
            <c:numRef>
              <c:f>'Ark1'!$E$23:$E$33</c:f>
              <c:numCache>
                <c:formatCode>0</c:formatCode>
                <c:ptCount val="11"/>
                <c:pt idx="0">
                  <c:v>100</c:v>
                </c:pt>
                <c:pt idx="1">
                  <c:v>125.65870613297456</c:v>
                </c:pt>
                <c:pt idx="2">
                  <c:v>144.58459468550288</c:v>
                </c:pt>
                <c:pt idx="3">
                  <c:v>183.75378405650861</c:v>
                </c:pt>
                <c:pt idx="4">
                  <c:v>212.36125126135218</c:v>
                </c:pt>
                <c:pt idx="5">
                  <c:v>235.41316291064024</c:v>
                </c:pt>
                <c:pt idx="6">
                  <c:v>255.27525507343873</c:v>
                </c:pt>
                <c:pt idx="7">
                  <c:v>272.83227379751122</c:v>
                </c:pt>
                <c:pt idx="8">
                  <c:v>348.88624565534292</c:v>
                </c:pt>
                <c:pt idx="9">
                  <c:v>400.95585940127813</c:v>
                </c:pt>
                <c:pt idx="10">
                  <c:v>409.66425888552533</c:v>
                </c:pt>
              </c:numCache>
            </c:numRef>
          </c:val>
          <c:smooth val="0"/>
          <c:extLst>
            <c:ext xmlns:c16="http://schemas.microsoft.com/office/drawing/2014/chart" uri="{C3380CC4-5D6E-409C-BE32-E72D297353CC}">
              <c16:uniqueId val="{00000003-408A-4ECA-86E2-52CC1170A8D9}"/>
            </c:ext>
          </c:extLst>
        </c:ser>
        <c:ser>
          <c:idx val="4"/>
          <c:order val="4"/>
          <c:tx>
            <c:strRef>
              <c:f>'Ark1'!$F$22</c:f>
              <c:strCache>
                <c:ptCount val="1"/>
                <c:pt idx="0">
                  <c:v>Medisin og helsefag</c:v>
                </c:pt>
              </c:strCache>
            </c:strRef>
          </c:tx>
          <c:spPr>
            <a:ln w="28575" cap="rnd">
              <a:solidFill>
                <a:schemeClr val="accent5"/>
              </a:solidFill>
              <a:round/>
            </a:ln>
            <a:effectLst/>
          </c:spPr>
          <c:marker>
            <c:symbol val="none"/>
          </c:marker>
          <c:cat>
            <c:numRef>
              <c:f>'Ark1'!$A$23:$A$33</c:f>
              <c:numCache>
                <c:formatCode>General</c:formatCode>
                <c:ptCount val="11"/>
                <c:pt idx="0">
                  <c:v>2001</c:v>
                </c:pt>
                <c:pt idx="1">
                  <c:v>2003</c:v>
                </c:pt>
                <c:pt idx="2">
                  <c:v>2005</c:v>
                </c:pt>
                <c:pt idx="3">
                  <c:v>2007</c:v>
                </c:pt>
                <c:pt idx="4">
                  <c:v>2009</c:v>
                </c:pt>
                <c:pt idx="5">
                  <c:v>2011</c:v>
                </c:pt>
                <c:pt idx="6">
                  <c:v>2013</c:v>
                </c:pt>
                <c:pt idx="7">
                  <c:v>2015</c:v>
                </c:pt>
                <c:pt idx="8">
                  <c:v>2017</c:v>
                </c:pt>
                <c:pt idx="9">
                  <c:v>2019</c:v>
                </c:pt>
                <c:pt idx="10">
                  <c:v>2021</c:v>
                </c:pt>
              </c:numCache>
            </c:numRef>
          </c:cat>
          <c:val>
            <c:numRef>
              <c:f>'Ark1'!$F$23:$F$33</c:f>
              <c:numCache>
                <c:formatCode>0</c:formatCode>
                <c:ptCount val="11"/>
                <c:pt idx="0">
                  <c:v>100</c:v>
                </c:pt>
                <c:pt idx="1">
                  <c:v>110.33819422897922</c:v>
                </c:pt>
                <c:pt idx="2">
                  <c:v>159.36084393422277</c:v>
                </c:pt>
                <c:pt idx="3">
                  <c:v>220.26683214396522</c:v>
                </c:pt>
                <c:pt idx="4">
                  <c:v>263.9838659633881</c:v>
                </c:pt>
                <c:pt idx="5">
                  <c:v>284.86503257834318</c:v>
                </c:pt>
                <c:pt idx="6">
                  <c:v>324.90226497052436</c:v>
                </c:pt>
                <c:pt idx="7">
                  <c:v>386.74464287930516</c:v>
                </c:pt>
                <c:pt idx="8">
                  <c:v>450.73174433757418</c:v>
                </c:pt>
                <c:pt idx="9">
                  <c:v>492.28212286689416</c:v>
                </c:pt>
                <c:pt idx="10">
                  <c:v>490.58095439031956</c:v>
                </c:pt>
              </c:numCache>
            </c:numRef>
          </c:val>
          <c:smooth val="0"/>
          <c:extLst>
            <c:ext xmlns:c16="http://schemas.microsoft.com/office/drawing/2014/chart" uri="{C3380CC4-5D6E-409C-BE32-E72D297353CC}">
              <c16:uniqueId val="{00000004-408A-4ECA-86E2-52CC1170A8D9}"/>
            </c:ext>
          </c:extLst>
        </c:ser>
        <c:ser>
          <c:idx val="5"/>
          <c:order val="5"/>
          <c:tx>
            <c:strRef>
              <c:f>'Ark1'!$G$22</c:f>
              <c:strCache>
                <c:ptCount val="1"/>
                <c:pt idx="0">
                  <c:v>Landbruks- og fiskerifag og veterinær-medisin</c:v>
                </c:pt>
              </c:strCache>
            </c:strRef>
          </c:tx>
          <c:spPr>
            <a:ln w="28575" cap="rnd">
              <a:solidFill>
                <a:schemeClr val="accent6"/>
              </a:solidFill>
              <a:round/>
            </a:ln>
            <a:effectLst/>
          </c:spPr>
          <c:marker>
            <c:symbol val="none"/>
          </c:marker>
          <c:cat>
            <c:numRef>
              <c:f>'Ark1'!$A$23:$A$33</c:f>
              <c:numCache>
                <c:formatCode>General</c:formatCode>
                <c:ptCount val="11"/>
                <c:pt idx="0">
                  <c:v>2001</c:v>
                </c:pt>
                <c:pt idx="1">
                  <c:v>2003</c:v>
                </c:pt>
                <c:pt idx="2">
                  <c:v>2005</c:v>
                </c:pt>
                <c:pt idx="3">
                  <c:v>2007</c:v>
                </c:pt>
                <c:pt idx="4">
                  <c:v>2009</c:v>
                </c:pt>
                <c:pt idx="5">
                  <c:v>2011</c:v>
                </c:pt>
                <c:pt idx="6">
                  <c:v>2013</c:v>
                </c:pt>
                <c:pt idx="7">
                  <c:v>2015</c:v>
                </c:pt>
                <c:pt idx="8">
                  <c:v>2017</c:v>
                </c:pt>
                <c:pt idx="9">
                  <c:v>2019</c:v>
                </c:pt>
                <c:pt idx="10">
                  <c:v>2021</c:v>
                </c:pt>
              </c:numCache>
            </c:numRef>
          </c:cat>
          <c:val>
            <c:numRef>
              <c:f>'Ark1'!$G$23:$G$33</c:f>
              <c:numCache>
                <c:formatCode>0</c:formatCode>
                <c:ptCount val="11"/>
                <c:pt idx="0">
                  <c:v>100</c:v>
                </c:pt>
                <c:pt idx="1">
                  <c:v>112.46794871794872</c:v>
                </c:pt>
                <c:pt idx="2">
                  <c:v>129.83974358974359</c:v>
                </c:pt>
                <c:pt idx="3">
                  <c:v>106.9551282051282</c:v>
                </c:pt>
                <c:pt idx="4">
                  <c:v>81.92307692307692</c:v>
                </c:pt>
                <c:pt idx="5">
                  <c:v>73.493589743589752</c:v>
                </c:pt>
                <c:pt idx="6">
                  <c:v>78.557692307692307</c:v>
                </c:pt>
                <c:pt idx="7">
                  <c:v>113.98574358974356</c:v>
                </c:pt>
                <c:pt idx="8">
                  <c:v>127.82423397435905</c:v>
                </c:pt>
                <c:pt idx="9">
                  <c:v>131.51179807692307</c:v>
                </c:pt>
                <c:pt idx="10">
                  <c:v>170.32830448717948</c:v>
                </c:pt>
              </c:numCache>
            </c:numRef>
          </c:val>
          <c:smooth val="0"/>
          <c:extLst>
            <c:ext xmlns:c16="http://schemas.microsoft.com/office/drawing/2014/chart" uri="{C3380CC4-5D6E-409C-BE32-E72D297353CC}">
              <c16:uniqueId val="{00000005-408A-4ECA-86E2-52CC1170A8D9}"/>
            </c:ext>
          </c:extLst>
        </c:ser>
        <c:dLbls>
          <c:showLegendKey val="0"/>
          <c:showVal val="0"/>
          <c:showCatName val="0"/>
          <c:showSerName val="0"/>
          <c:showPercent val="0"/>
          <c:showBubbleSize val="0"/>
        </c:dLbls>
        <c:smooth val="0"/>
        <c:axId val="1993157183"/>
        <c:axId val="1993170911"/>
      </c:lineChart>
      <c:catAx>
        <c:axId val="1993157183"/>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93170911"/>
        <c:crosses val="autoZero"/>
        <c:auto val="1"/>
        <c:lblAlgn val="ctr"/>
        <c:lblOffset val="100"/>
        <c:noMultiLvlLbl val="0"/>
      </c:catAx>
      <c:valAx>
        <c:axId val="199317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Indeksnivå (2001=100)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93157183"/>
        <c:crosses val="autoZero"/>
        <c:crossBetween val="midCat"/>
      </c:valAx>
      <c:spPr>
        <a:noFill/>
        <a:ln>
          <a:noFill/>
        </a:ln>
        <a:effectLst/>
      </c:spPr>
    </c:plotArea>
    <c:legend>
      <c:legendPos val="b"/>
      <c:layout>
        <c:manualLayout>
          <c:xMode val="edge"/>
          <c:yMode val="edge"/>
          <c:x val="0"/>
          <c:y val="0.81044601866238297"/>
          <c:w val="0.99720975899570619"/>
          <c:h val="0.18445843099044057"/>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'[figurer_7mars2023.xlsx]Figur 3.11'!$A$4:$A$31</c:f>
              <c:strCache>
                <c:ptCount val="28"/>
                <c:pt idx="0">
                  <c:v>NMBU</c:v>
                </c:pt>
                <c:pt idx="1">
                  <c:v>UiO</c:v>
                </c:pt>
                <c:pt idx="2">
                  <c:v>UiB</c:v>
                </c:pt>
                <c:pt idx="3">
                  <c:v>NTNU</c:v>
                </c:pt>
                <c:pt idx="4">
                  <c:v>NHH</c:v>
                </c:pt>
                <c:pt idx="5">
                  <c:v>MF</c:v>
                </c:pt>
                <c:pt idx="6">
                  <c:v>UiS</c:v>
                </c:pt>
                <c:pt idx="7">
                  <c:v>UiT</c:v>
                </c:pt>
                <c:pt idx="8">
                  <c:v>OsloMet</c:v>
                </c:pt>
                <c:pt idx="9">
                  <c:v>HFDK</c:v>
                </c:pt>
                <c:pt idx="10">
                  <c:v>DMMH</c:v>
                </c:pt>
                <c:pt idx="11">
                  <c:v>UiA</c:v>
                </c:pt>
                <c:pt idx="12">
                  <c:v>BI</c:v>
                </c:pt>
                <c:pt idx="13">
                  <c:v>USN</c:v>
                </c:pt>
                <c:pt idx="14">
                  <c:v>HVL</c:v>
                </c:pt>
                <c:pt idx="15">
                  <c:v>AHO</c:v>
                </c:pt>
                <c:pt idx="16">
                  <c:v>NIH</c:v>
                </c:pt>
                <c:pt idx="17">
                  <c:v>NU</c:v>
                </c:pt>
                <c:pt idx="18">
                  <c:v>SH</c:v>
                </c:pt>
                <c:pt idx="19">
                  <c:v>HINN</c:v>
                </c:pt>
                <c:pt idx="20">
                  <c:v>HK</c:v>
                </c:pt>
                <c:pt idx="21">
                  <c:v>HiØ</c:v>
                </c:pt>
                <c:pt idx="22">
                  <c:v>HiM</c:v>
                </c:pt>
                <c:pt idx="23">
                  <c:v>HVO</c:v>
                </c:pt>
                <c:pt idx="24">
                  <c:v>NMH</c:v>
                </c:pt>
                <c:pt idx="25">
                  <c:v>VID</c:v>
                </c:pt>
                <c:pt idx="26">
                  <c:v>LDH</c:v>
                </c:pt>
                <c:pt idx="27">
                  <c:v>KHiO</c:v>
                </c:pt>
              </c:strCache>
            </c:strRef>
          </c:cat>
          <c:val>
            <c:numRef>
              <c:f>'[figurer_7mars2023.xlsx]Figur 3.11'!$D$4:$D$31</c:f>
              <c:numCache>
                <c:formatCode>General</c:formatCode>
                <c:ptCount val="28"/>
                <c:pt idx="0">
                  <c:v>320.42748</c:v>
                </c:pt>
                <c:pt idx="1">
                  <c:v>310.66955000000002</c:v>
                </c:pt>
                <c:pt idx="2">
                  <c:v>251.33788000000001</c:v>
                </c:pt>
                <c:pt idx="3">
                  <c:v>231.12501</c:v>
                </c:pt>
                <c:pt idx="4">
                  <c:v>183.34557000000001</c:v>
                </c:pt>
                <c:pt idx="5">
                  <c:v>172.58789999999999</c:v>
                </c:pt>
                <c:pt idx="6">
                  <c:v>145.61089000000001</c:v>
                </c:pt>
                <c:pt idx="7">
                  <c:v>124.54874</c:v>
                </c:pt>
                <c:pt idx="8">
                  <c:v>100.79446</c:v>
                </c:pt>
                <c:pt idx="9">
                  <c:v>93.258430000000004</c:v>
                </c:pt>
                <c:pt idx="10">
                  <c:v>74.690910000000002</c:v>
                </c:pt>
                <c:pt idx="11">
                  <c:v>73.808139999999995</c:v>
                </c:pt>
                <c:pt idx="12">
                  <c:v>65.356260000000006</c:v>
                </c:pt>
                <c:pt idx="13">
                  <c:v>64.281459999999996</c:v>
                </c:pt>
                <c:pt idx="14">
                  <c:v>61.076590000000003</c:v>
                </c:pt>
                <c:pt idx="15">
                  <c:v>56.622390000000003</c:v>
                </c:pt>
                <c:pt idx="16">
                  <c:v>56.494160000000001</c:v>
                </c:pt>
                <c:pt idx="17">
                  <c:v>51.589089999999999</c:v>
                </c:pt>
                <c:pt idx="18">
                  <c:v>48.6967</c:v>
                </c:pt>
                <c:pt idx="19">
                  <c:v>41.884619999999998</c:v>
                </c:pt>
                <c:pt idx="20">
                  <c:v>32.309840000000001</c:v>
                </c:pt>
                <c:pt idx="21">
                  <c:v>31.925709999999999</c:v>
                </c:pt>
                <c:pt idx="22">
                  <c:v>28.84892</c:v>
                </c:pt>
                <c:pt idx="23">
                  <c:v>19.54618</c:v>
                </c:pt>
                <c:pt idx="24">
                  <c:v>17.91189</c:v>
                </c:pt>
                <c:pt idx="25">
                  <c:v>15.13259</c:v>
                </c:pt>
                <c:pt idx="26">
                  <c:v>0.26582</c:v>
                </c:pt>
                <c:pt idx="27">
                  <c:v>0</c:v>
                </c:pt>
              </c:numCache>
            </c:numRef>
          </c:val>
          <c:extLst>
            <c:ext xmlns:c16="http://schemas.microsoft.com/office/drawing/2014/chart" uri="{C3380CC4-5D6E-409C-BE32-E72D297353CC}">
              <c16:uniqueId val="{00000000-99CC-4A0F-8E21-C98BBDEC3DB0}"/>
            </c:ext>
          </c:extLst>
        </c:ser>
        <c:dLbls>
          <c:showLegendKey val="0"/>
          <c:showVal val="0"/>
          <c:showCatName val="0"/>
          <c:showSerName val="0"/>
          <c:showPercent val="0"/>
          <c:showBubbleSize val="0"/>
        </c:dLbls>
        <c:gapWidth val="50"/>
        <c:axId val="147671743"/>
        <c:axId val="147676319"/>
      </c:barChart>
      <c:catAx>
        <c:axId val="14767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6319"/>
        <c:crosses val="autoZero"/>
        <c:auto val="1"/>
        <c:lblAlgn val="ctr"/>
        <c:lblOffset val="100"/>
        <c:noMultiLvlLbl val="0"/>
      </c:catAx>
      <c:valAx>
        <c:axId val="14767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'Alle inst'!$C$62</c:f>
              <c:strCache>
                <c:ptCount val="1"/>
                <c:pt idx="0">
                  <c:v>UiB</c:v>
                </c:pt>
              </c:strCache>
            </c:strRef>
          </c:tx>
          <c:spPr>
            <a:ln w="28575" cap="rnd">
              <a:solidFill>
                <a:schemeClr val="accent1"/>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inst'!$D$62:$K$62</c:f>
              <c:numCache>
                <c:formatCode>0%</c:formatCode>
                <c:ptCount val="8"/>
                <c:pt idx="0">
                  <c:v>0.25860989355040703</c:v>
                </c:pt>
                <c:pt idx="1">
                  <c:v>0.22897526501766785</c:v>
                </c:pt>
                <c:pt idx="2">
                  <c:v>0.21883116883116882</c:v>
                </c:pt>
                <c:pt idx="3">
                  <c:v>0.17881619937694704</c:v>
                </c:pt>
                <c:pt idx="4">
                  <c:v>0.2182517866959868</c:v>
                </c:pt>
                <c:pt idx="5">
                  <c:v>0.19219924812030076</c:v>
                </c:pt>
                <c:pt idx="6">
                  <c:v>0.19677552707730467</c:v>
                </c:pt>
                <c:pt idx="7">
                  <c:v>0.19402338674750974</c:v>
                </c:pt>
              </c:numCache>
            </c:numRef>
          </c:val>
          <c:smooth val="0"/>
          <c:extLst>
            <c:ext xmlns:c16="http://schemas.microsoft.com/office/drawing/2014/chart" uri="{C3380CC4-5D6E-409C-BE32-E72D297353CC}">
              <c16:uniqueId val="{00000000-6758-4623-ABCF-6FEF5A55427A}"/>
            </c:ext>
          </c:extLst>
        </c:ser>
        <c:ser>
          <c:idx val="1"/>
          <c:order val="1"/>
          <c:tx>
            <c:strRef>
              <c:f>'Alle inst'!$C$63</c:f>
              <c:strCache>
                <c:ptCount val="1"/>
                <c:pt idx="0">
                  <c:v>UiO</c:v>
                </c:pt>
              </c:strCache>
            </c:strRef>
          </c:tx>
          <c:spPr>
            <a:ln w="28575" cap="rnd">
              <a:solidFill>
                <a:schemeClr val="accent2"/>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inst'!$D$63:$K$63</c:f>
              <c:numCache>
                <c:formatCode>0%</c:formatCode>
                <c:ptCount val="8"/>
                <c:pt idx="0">
                  <c:v>0.23943035157988429</c:v>
                </c:pt>
                <c:pt idx="1">
                  <c:v>0.25603318250377072</c:v>
                </c:pt>
                <c:pt idx="2">
                  <c:v>0.28160720471077244</c:v>
                </c:pt>
                <c:pt idx="3">
                  <c:v>0.23639834552974864</c:v>
                </c:pt>
                <c:pt idx="4">
                  <c:v>0.20076764098021849</c:v>
                </c:pt>
                <c:pt idx="5">
                  <c:v>0.22029404675825501</c:v>
                </c:pt>
                <c:pt idx="6">
                  <c:v>0.23906976744186045</c:v>
                </c:pt>
                <c:pt idx="7">
                  <c:v>0.23497688751926041</c:v>
                </c:pt>
              </c:numCache>
            </c:numRef>
          </c:val>
          <c:smooth val="0"/>
          <c:extLst>
            <c:ext xmlns:c16="http://schemas.microsoft.com/office/drawing/2014/chart" uri="{C3380CC4-5D6E-409C-BE32-E72D297353CC}">
              <c16:uniqueId val="{00000001-6758-4623-ABCF-6FEF5A55427A}"/>
            </c:ext>
          </c:extLst>
        </c:ser>
        <c:ser>
          <c:idx val="2"/>
          <c:order val="2"/>
          <c:tx>
            <c:strRef>
              <c:f>'Alle inst'!$C$64</c:f>
              <c:strCache>
                <c:ptCount val="1"/>
                <c:pt idx="0">
                  <c:v>NTNU</c:v>
                </c:pt>
              </c:strCache>
            </c:strRef>
          </c:tx>
          <c:spPr>
            <a:ln w="28575" cap="rnd">
              <a:solidFill>
                <a:schemeClr val="accent3"/>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inst'!$D$64:$K$64</c:f>
              <c:numCache>
                <c:formatCode>0%</c:formatCode>
                <c:ptCount val="8"/>
                <c:pt idx="0">
                  <c:v>0.24719101123595505</c:v>
                </c:pt>
                <c:pt idx="1">
                  <c:v>0.27667610953729932</c:v>
                </c:pt>
                <c:pt idx="2">
                  <c:v>0.25365853658536586</c:v>
                </c:pt>
                <c:pt idx="3">
                  <c:v>0.22557251908396947</c:v>
                </c:pt>
                <c:pt idx="4">
                  <c:v>0.21466152227288671</c:v>
                </c:pt>
                <c:pt idx="5">
                  <c:v>0.20411887382690302</c:v>
                </c:pt>
                <c:pt idx="6">
                  <c:v>0.21114304665045325</c:v>
                </c:pt>
                <c:pt idx="7">
                  <c:v>0.22678284797064893</c:v>
                </c:pt>
              </c:numCache>
            </c:numRef>
          </c:val>
          <c:smooth val="0"/>
          <c:extLst>
            <c:ext xmlns:c16="http://schemas.microsoft.com/office/drawing/2014/chart" uri="{C3380CC4-5D6E-409C-BE32-E72D297353CC}">
              <c16:uniqueId val="{00000002-6758-4623-ABCF-6FEF5A55427A}"/>
            </c:ext>
          </c:extLst>
        </c:ser>
        <c:ser>
          <c:idx val="3"/>
          <c:order val="3"/>
          <c:tx>
            <c:strRef>
              <c:f>'Alle inst'!$C$65</c:f>
              <c:strCache>
                <c:ptCount val="1"/>
                <c:pt idx="0">
                  <c:v>UiT</c:v>
                </c:pt>
              </c:strCache>
            </c:strRef>
          </c:tx>
          <c:spPr>
            <a:ln w="28575" cap="rnd">
              <a:solidFill>
                <a:schemeClr val="accent4"/>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inst'!$D$65:$K$65</c:f>
              <c:numCache>
                <c:formatCode>0%</c:formatCode>
                <c:ptCount val="8"/>
                <c:pt idx="0">
                  <c:v>0.15294117647058825</c:v>
                </c:pt>
                <c:pt idx="1">
                  <c:v>0.2060353798126951</c:v>
                </c:pt>
                <c:pt idx="2">
                  <c:v>0.17973231357552583</c:v>
                </c:pt>
                <c:pt idx="3">
                  <c:v>0.14179796107506951</c:v>
                </c:pt>
                <c:pt idx="4">
                  <c:v>0.13504823151125403</c:v>
                </c:pt>
                <c:pt idx="5">
                  <c:v>0.1343570057581574</c:v>
                </c:pt>
                <c:pt idx="6">
                  <c:v>0.16038812785388129</c:v>
                </c:pt>
                <c:pt idx="7">
                  <c:v>0.15689757252812314</c:v>
                </c:pt>
              </c:numCache>
            </c:numRef>
          </c:val>
          <c:smooth val="0"/>
          <c:extLst>
            <c:ext xmlns:c16="http://schemas.microsoft.com/office/drawing/2014/chart" uri="{C3380CC4-5D6E-409C-BE32-E72D297353CC}">
              <c16:uniqueId val="{00000003-6758-4623-ABCF-6FEF5A55427A}"/>
            </c:ext>
          </c:extLst>
        </c:ser>
        <c:ser>
          <c:idx val="4"/>
          <c:order val="4"/>
          <c:tx>
            <c:strRef>
              <c:f>'Alle inst'!$C$66</c:f>
              <c:strCache>
                <c:ptCount val="1"/>
                <c:pt idx="0">
                  <c:v>NMBU</c:v>
                </c:pt>
              </c:strCache>
            </c:strRef>
          </c:tx>
          <c:spPr>
            <a:ln w="28575" cap="rnd">
              <a:solidFill>
                <a:schemeClr val="accent5"/>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inst'!$D$66:$K$66</c:f>
              <c:numCache>
                <c:formatCode>0%</c:formatCode>
                <c:ptCount val="8"/>
                <c:pt idx="0">
                  <c:v>0.258252427184466</c:v>
                </c:pt>
                <c:pt idx="1">
                  <c:v>0.2628099173553719</c:v>
                </c:pt>
                <c:pt idx="2">
                  <c:v>0.23037542662116042</c:v>
                </c:pt>
                <c:pt idx="3">
                  <c:v>0.21671826625386997</c:v>
                </c:pt>
                <c:pt idx="4">
                  <c:v>0.24110671936758893</c:v>
                </c:pt>
                <c:pt idx="5">
                  <c:v>0.26267281105990781</c:v>
                </c:pt>
                <c:pt idx="6">
                  <c:v>0.24496288441145281</c:v>
                </c:pt>
                <c:pt idx="7">
                  <c:v>0.22011385199240988</c:v>
                </c:pt>
              </c:numCache>
            </c:numRef>
          </c:val>
          <c:smooth val="0"/>
          <c:extLst>
            <c:ext xmlns:c16="http://schemas.microsoft.com/office/drawing/2014/chart" uri="{C3380CC4-5D6E-409C-BE32-E72D297353CC}">
              <c16:uniqueId val="{00000004-6758-4623-ABCF-6FEF5A55427A}"/>
            </c:ext>
          </c:extLst>
        </c:ser>
        <c:ser>
          <c:idx val="5"/>
          <c:order val="5"/>
          <c:tx>
            <c:strRef>
              <c:f>'Alle inst'!$C$67</c:f>
              <c:strCache>
                <c:ptCount val="1"/>
                <c:pt idx="0">
                  <c:v>UiS</c:v>
                </c:pt>
              </c:strCache>
            </c:strRef>
          </c:tx>
          <c:spPr>
            <a:ln w="28575" cap="rnd">
              <a:solidFill>
                <a:schemeClr val="accent6"/>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inst'!$D$67:$K$67</c:f>
              <c:numCache>
                <c:formatCode>0%</c:formatCode>
                <c:ptCount val="8"/>
                <c:pt idx="0">
                  <c:v>9.1370558375634514E-2</c:v>
                </c:pt>
                <c:pt idx="1">
                  <c:v>8.9965397923875437E-2</c:v>
                </c:pt>
                <c:pt idx="2">
                  <c:v>8.4985835694050993E-2</c:v>
                </c:pt>
                <c:pt idx="3">
                  <c:v>0.10483870967741936</c:v>
                </c:pt>
                <c:pt idx="4">
                  <c:v>0.11830357142857142</c:v>
                </c:pt>
                <c:pt idx="5">
                  <c:v>0.11075949367088607</c:v>
                </c:pt>
                <c:pt idx="6">
                  <c:v>0.12116788321167883</c:v>
                </c:pt>
                <c:pt idx="7">
                  <c:v>0.17012448132780084</c:v>
                </c:pt>
              </c:numCache>
            </c:numRef>
          </c:val>
          <c:smooth val="0"/>
          <c:extLst>
            <c:ext xmlns:c16="http://schemas.microsoft.com/office/drawing/2014/chart" uri="{C3380CC4-5D6E-409C-BE32-E72D297353CC}">
              <c16:uniqueId val="{00000005-6758-4623-ABCF-6FEF5A55427A}"/>
            </c:ext>
          </c:extLst>
        </c:ser>
        <c:ser>
          <c:idx val="6"/>
          <c:order val="6"/>
          <c:tx>
            <c:strRef>
              <c:f>'Alle inst'!$C$68</c:f>
              <c:strCache>
                <c:ptCount val="1"/>
                <c:pt idx="0">
                  <c:v>UiA</c:v>
                </c:pt>
              </c:strCache>
            </c:strRef>
          </c:tx>
          <c:spPr>
            <a:ln w="28575" cap="rnd">
              <a:solidFill>
                <a:schemeClr val="accent1">
                  <a:lumMod val="60000"/>
                </a:schemeClr>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inst'!$D$68:$K$68</c:f>
              <c:numCache>
                <c:formatCode>0%</c:formatCode>
                <c:ptCount val="8"/>
                <c:pt idx="0">
                  <c:v>9.202453987730061E-2</c:v>
                </c:pt>
                <c:pt idx="1">
                  <c:v>9.5744680851063829E-2</c:v>
                </c:pt>
                <c:pt idx="2">
                  <c:v>6.0836501901140684E-2</c:v>
                </c:pt>
                <c:pt idx="3">
                  <c:v>4.72972972972973E-2</c:v>
                </c:pt>
                <c:pt idx="4">
                  <c:v>6.363636363636363E-2</c:v>
                </c:pt>
                <c:pt idx="5">
                  <c:v>9.2872570194384454E-2</c:v>
                </c:pt>
                <c:pt idx="6">
                  <c:v>8.5501858736059477E-2</c:v>
                </c:pt>
                <c:pt idx="7">
                  <c:v>0.10307414104882459</c:v>
                </c:pt>
              </c:numCache>
            </c:numRef>
          </c:val>
          <c:smooth val="0"/>
          <c:extLst>
            <c:ext xmlns:c16="http://schemas.microsoft.com/office/drawing/2014/chart" uri="{C3380CC4-5D6E-409C-BE32-E72D297353CC}">
              <c16:uniqueId val="{00000006-6758-4623-ABCF-6FEF5A55427A}"/>
            </c:ext>
          </c:extLst>
        </c:ser>
        <c:ser>
          <c:idx val="7"/>
          <c:order val="7"/>
          <c:tx>
            <c:strRef>
              <c:f>'Alle inst'!$C$69</c:f>
              <c:strCache>
                <c:ptCount val="1"/>
                <c:pt idx="0">
                  <c:v>Øvrige institusjoner</c:v>
                </c:pt>
              </c:strCache>
            </c:strRef>
          </c:tx>
          <c:spPr>
            <a:ln w="28575" cap="rnd">
              <a:solidFill>
                <a:schemeClr val="accent2">
                  <a:lumMod val="60000"/>
                </a:schemeClr>
              </a:solidFill>
              <a:round/>
            </a:ln>
            <a:effectLst/>
          </c:spPr>
          <c:marker>
            <c:symbol val="none"/>
          </c:marker>
          <c:cat>
            <c:strRef>
              <c:f>'Alle inst'!$D$61:$K$61</c:f>
              <c:strCache>
                <c:ptCount val="8"/>
                <c:pt idx="0">
                  <c:v>2007</c:v>
                </c:pt>
                <c:pt idx="1">
                  <c:v>2009</c:v>
                </c:pt>
                <c:pt idx="2">
                  <c:v>2011</c:v>
                </c:pt>
                <c:pt idx="3">
                  <c:v>2013</c:v>
                </c:pt>
                <c:pt idx="4">
                  <c:v>2015</c:v>
                </c:pt>
                <c:pt idx="5">
                  <c:v>2017</c:v>
                </c:pt>
                <c:pt idx="6">
                  <c:v>2019</c:v>
                </c:pt>
                <c:pt idx="7">
                  <c:v>2021</c:v>
                </c:pt>
              </c:strCache>
            </c:strRef>
          </c:cat>
          <c:val>
            <c:numRef>
              <c:f>'Alle inst'!$D$69:$K$69</c:f>
              <c:numCache>
                <c:formatCode>0%</c:formatCode>
                <c:ptCount val="8"/>
                <c:pt idx="0">
                  <c:v>9.9206349206349201E-2</c:v>
                </c:pt>
                <c:pt idx="1">
                  <c:v>0.11974270163285503</c:v>
                </c:pt>
                <c:pt idx="2">
                  <c:v>9.3281985451433458E-2</c:v>
                </c:pt>
                <c:pt idx="3">
                  <c:v>9.1769847050254913E-2</c:v>
                </c:pt>
                <c:pt idx="4">
                  <c:v>9.2711192436718506E-2</c:v>
                </c:pt>
                <c:pt idx="5">
                  <c:v>7.0781288268430081E-2</c:v>
                </c:pt>
                <c:pt idx="6">
                  <c:v>6.884899683210137E-2</c:v>
                </c:pt>
                <c:pt idx="7">
                  <c:v>8.1926426159587701E-2</c:v>
                </c:pt>
              </c:numCache>
            </c:numRef>
          </c:val>
          <c:smooth val="0"/>
          <c:extLst>
            <c:ext xmlns:c16="http://schemas.microsoft.com/office/drawing/2014/chart" uri="{C3380CC4-5D6E-409C-BE32-E72D297353CC}">
              <c16:uniqueId val="{00000007-6758-4623-ABCF-6FEF5A55427A}"/>
            </c:ext>
          </c:extLst>
        </c:ser>
        <c:dLbls>
          <c:showLegendKey val="0"/>
          <c:showVal val="0"/>
          <c:showCatName val="0"/>
          <c:showSerName val="0"/>
          <c:showPercent val="0"/>
          <c:showBubbleSize val="0"/>
        </c:dLbls>
        <c:smooth val="0"/>
        <c:axId val="1013306432"/>
        <c:axId val="1341441168"/>
      </c:lineChart>
      <c:catAx>
        <c:axId val="1013306432"/>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1441168"/>
        <c:crosses val="autoZero"/>
        <c:auto val="1"/>
        <c:lblAlgn val="ctr"/>
        <c:lblOffset val="100"/>
        <c:noMultiLvlLbl val="0"/>
      </c:catAx>
      <c:valAx>
        <c:axId val="134144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13306432"/>
        <c:crosses val="autoZero"/>
        <c:crossBetween val="midCat"/>
      </c:valAx>
      <c:spPr>
        <a:noFill/>
        <a:ln>
          <a:noFill/>
        </a:ln>
        <a:effectLst/>
      </c:spPr>
    </c:plotArea>
    <c:legend>
      <c:legendPos val="b"/>
      <c:layout>
        <c:manualLayout>
          <c:xMode val="edge"/>
          <c:yMode val="edge"/>
          <c:x val="2.5427168247771085E-2"/>
          <c:y val="0.80482876953813609"/>
          <c:w val="0.94669569108858942"/>
          <c:h val="0.171290633446938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'[figurer_13mars2023_skrivebeskytta.xlsx]Figur 3.13'!$A$4</c:f>
              <c:strCache>
                <c:ptCount val="1"/>
                <c:pt idx="0">
                  <c:v>Forskningsmidler</c:v>
                </c:pt>
              </c:strCache>
            </c:strRef>
          </c:tx>
          <c:spPr>
            <a:solidFill>
              <a:schemeClr val="accent1"/>
            </a:solidFill>
            <a:ln>
              <a:noFill/>
            </a:ln>
            <a:effectLst/>
          </c:spPr>
          <c:invertIfNegative val="0"/>
          <c:cat>
            <c:numRef>
              <c:f>'[figurer_13mars2023_skrivebeskytta.xlsx]Figur 3.13'!$B$3:$K$3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3.13'!$B$4:$K$4</c:f>
              <c:numCache>
                <c:formatCode>General</c:formatCode>
                <c:ptCount val="10"/>
                <c:pt idx="0">
                  <c:v>259333.204</c:v>
                </c:pt>
                <c:pt idx="1">
                  <c:v>331499.31800000003</c:v>
                </c:pt>
                <c:pt idx="2">
                  <c:v>374868.91899999999</c:v>
                </c:pt>
                <c:pt idx="3">
                  <c:v>444921.89199999999</c:v>
                </c:pt>
                <c:pt idx="4">
                  <c:v>493336.88400000002</c:v>
                </c:pt>
                <c:pt idx="5">
                  <c:v>531097.13199999998</c:v>
                </c:pt>
                <c:pt idx="6">
                  <c:v>584148.32999999996</c:v>
                </c:pt>
                <c:pt idx="7">
                  <c:v>640475.62300000002</c:v>
                </c:pt>
                <c:pt idx="8">
                  <c:v>720302.11300000001</c:v>
                </c:pt>
                <c:pt idx="9">
                  <c:v>850373.09</c:v>
                </c:pt>
              </c:numCache>
            </c:numRef>
          </c:val>
          <c:extLst>
            <c:ext xmlns:c16="http://schemas.microsoft.com/office/drawing/2014/chart" uri="{C3380CC4-5D6E-409C-BE32-E72D297353CC}">
              <c16:uniqueId val="{00000000-0981-4DB7-B909-FE3347662D51}"/>
            </c:ext>
          </c:extLst>
        </c:ser>
        <c:ser>
          <c:idx val="1"/>
          <c:order val="1"/>
          <c:tx>
            <c:strRef>
              <c:f>'[figurer_13mars2023_skrivebeskytta.xlsx]Figur 3.13'!$A$5</c:f>
              <c:strCache>
                <c:ptCount val="1"/>
                <c:pt idx="0">
                  <c:v>Øvrige midler</c:v>
                </c:pt>
              </c:strCache>
            </c:strRef>
          </c:tx>
          <c:spPr>
            <a:solidFill>
              <a:schemeClr val="accent2"/>
            </a:solidFill>
            <a:ln>
              <a:noFill/>
            </a:ln>
            <a:effectLst/>
          </c:spPr>
          <c:invertIfNegative val="0"/>
          <c:cat>
            <c:numRef>
              <c:f>'[figurer_13mars2023_skrivebeskytta.xlsx]Figur 3.13'!$B$3:$K$3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'[figurer_13mars2023_skrivebeskytta.xlsx]Figur 3.13'!$B$5:$K$5</c:f>
              <c:numCache>
                <c:formatCode>General</c:formatCode>
                <c:ptCount val="10"/>
                <c:pt idx="0">
                  <c:v>22835.661</c:v>
                </c:pt>
                <c:pt idx="1">
                  <c:v>51797.175999999999</c:v>
                </c:pt>
                <c:pt idx="2">
                  <c:v>51834.716</c:v>
                </c:pt>
                <c:pt idx="3">
                  <c:v>71691.792000000001</c:v>
                </c:pt>
                <c:pt idx="4">
                  <c:v>75232.247000000003</c:v>
                </c:pt>
                <c:pt idx="5">
                  <c:v>80901.076000000001</c:v>
                </c:pt>
                <c:pt idx="6">
                  <c:v>107344.163</c:v>
                </c:pt>
                <c:pt idx="7">
                  <c:v>73164.452000000005</c:v>
                </c:pt>
                <c:pt idx="8">
                  <c:v>123388.00599999999</c:v>
                </c:pt>
                <c:pt idx="9">
                  <c:v>215945.44500000001</c:v>
                </c:pt>
              </c:numCache>
            </c:numRef>
          </c:val>
          <c:extLst>
            <c:ext xmlns:c16="http://schemas.microsoft.com/office/drawing/2014/chart" uri="{C3380CC4-5D6E-409C-BE32-E72D297353CC}">
              <c16:uniqueId val="{00000001-0981-4DB7-B909-FE3347662D51}"/>
            </c:ext>
          </c:extLst>
        </c:ser>
        <c:dLbls>
          <c:showLegendKey val="0"/>
          <c:showVal val="0"/>
          <c:showCatName val="0"/>
          <c:showSerName val="0"/>
          <c:showPercent val="0"/>
          <c:showBubbleSize val="0"/>
        </c:dLbls>
        <c:gapWidth val="150"/>
        <c:overlap val="100"/>
        <c:axId val="433131839"/>
        <c:axId val="433109791"/>
      </c:barChart>
      <c:catAx>
        <c:axId val="433131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433109791"/>
        <c:crosses val="autoZero"/>
        <c:auto val="1"/>
        <c:lblAlgn val="ctr"/>
        <c:lblOffset val="100"/>
        <c:noMultiLvlLbl val="0"/>
      </c:catAx>
      <c:valAx>
        <c:axId val="433109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433131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5"/>
          <c:order val="5"/>
          <c:tx>
            <c:strRef>
              <c:f>'Figur 3.16'!$G$3</c:f>
              <c:strCache>
                <c:ptCount val="1"/>
                <c:pt idx="0">
                  <c:v>2019</c:v>
                </c:pt>
              </c:strCache>
            </c:strRef>
          </c:tx>
          <c:invertIfNegative val="0"/>
          <c:cat>
            <c:strRef>
              <c:f>'Figur 3.16'!$A$4:$A$17</c:f>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f>'Figur 3.16'!$G$4:$G$17</c:f>
              <c:numCache>
                <c:formatCode>General</c:formatCode>
                <c:ptCount val="14"/>
                <c:pt idx="1">
                  <c:v>13449.46249</c:v>
                </c:pt>
                <c:pt idx="2">
                  <c:v>7252.1950399999996</c:v>
                </c:pt>
                <c:pt idx="3">
                  <c:v>3869.8860199999999</c:v>
                </c:pt>
                <c:pt idx="5">
                  <c:v>9882.0724900000005</c:v>
                </c:pt>
                <c:pt idx="6">
                  <c:v>15427.89596</c:v>
                </c:pt>
                <c:pt idx="7">
                  <c:v>7033.0327299999999</c:v>
                </c:pt>
                <c:pt idx="8">
                  <c:v>1683.9786200000001</c:v>
                </c:pt>
                <c:pt idx="9">
                  <c:v>6114.5654299999997</c:v>
                </c:pt>
                <c:pt idx="11">
                  <c:v>2855.5276399999998</c:v>
                </c:pt>
                <c:pt idx="12">
                  <c:v>1893.32412</c:v>
                </c:pt>
                <c:pt idx="13">
                  <c:v>2323.0820899999999</c:v>
                </c:pt>
              </c:numCache>
            </c:numRef>
          </c:val>
          <c:extLst>
            <c:ext xmlns:c16="http://schemas.microsoft.com/office/drawing/2014/chart" uri="{C3380CC4-5D6E-409C-BE32-E72D297353CC}">
              <c16:uniqueId val="{00000000-21EC-4D8E-B949-19693A107922}"/>
            </c:ext>
          </c:extLst>
        </c:ser>
        <c:ser>
          <c:idx val="6"/>
          <c:order val="6"/>
          <c:tx>
            <c:strRef>
              <c:f>'Figur 3.16'!$H$3</c:f>
              <c:strCache>
                <c:ptCount val="1"/>
                <c:pt idx="0">
                  <c:v>2020</c:v>
                </c:pt>
              </c:strCache>
            </c:strRef>
          </c:tx>
          <c:invertIfNegative val="0"/>
          <c:cat>
            <c:strRef>
              <c:f>'Figur 3.16'!$A$4:$A$17</c:f>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f>'Figur 3.16'!$H$4:$H$17</c:f>
              <c:numCache>
                <c:formatCode>General</c:formatCode>
                <c:ptCount val="14"/>
                <c:pt idx="0">
                  <c:v>2836.6176500000001</c:v>
                </c:pt>
                <c:pt idx="1">
                  <c:v>7773.5359200000003</c:v>
                </c:pt>
                <c:pt idx="2">
                  <c:v>10325.061250000001</c:v>
                </c:pt>
                <c:pt idx="3">
                  <c:v>2791.7583500000001</c:v>
                </c:pt>
                <c:pt idx="4">
                  <c:v>712.53315999999995</c:v>
                </c:pt>
                <c:pt idx="5">
                  <c:v>5197.6844600000004</c:v>
                </c:pt>
                <c:pt idx="6">
                  <c:v>16775.035449999999</c:v>
                </c:pt>
                <c:pt idx="7">
                  <c:v>4109.9819100000004</c:v>
                </c:pt>
                <c:pt idx="8">
                  <c:v>2684.0878400000001</c:v>
                </c:pt>
                <c:pt idx="9">
                  <c:v>3596.29079</c:v>
                </c:pt>
                <c:pt idx="10">
                  <c:v>1497.6134300000001</c:v>
                </c:pt>
                <c:pt idx="11">
                  <c:v>1396.11751</c:v>
                </c:pt>
                <c:pt idx="13">
                  <c:v>2021.6071400000001</c:v>
                </c:pt>
              </c:numCache>
            </c:numRef>
          </c:val>
          <c:extLst>
            <c:ext xmlns:c16="http://schemas.microsoft.com/office/drawing/2014/chart" uri="{C3380CC4-5D6E-409C-BE32-E72D297353CC}">
              <c16:uniqueId val="{00000001-21EC-4D8E-B949-19693A107922}"/>
            </c:ext>
          </c:extLst>
        </c:ser>
        <c:ser>
          <c:idx val="7"/>
          <c:order val="7"/>
          <c:tx>
            <c:strRef>
              <c:f>'Figur 3.16'!$I$3</c:f>
              <c:strCache>
                <c:ptCount val="1"/>
                <c:pt idx="0">
                  <c:v>2021</c:v>
                </c:pt>
              </c:strCache>
            </c:strRef>
          </c:tx>
          <c:invertIfNegative val="0"/>
          <c:cat>
            <c:strRef>
              <c:f>'Figur 3.16'!$A$4:$A$17</c:f>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f>'Figur 3.16'!$I$4:$I$17</c:f>
              <c:numCache>
                <c:formatCode>General</c:formatCode>
                <c:ptCount val="14"/>
                <c:pt idx="0">
                  <c:v>2359.3768599999999</c:v>
                </c:pt>
                <c:pt idx="1">
                  <c:v>5006.18372</c:v>
                </c:pt>
                <c:pt idx="2">
                  <c:v>9526.9571300000007</c:v>
                </c:pt>
                <c:pt idx="3">
                  <c:v>2143.19794</c:v>
                </c:pt>
                <c:pt idx="5">
                  <c:v>14895.404070000001</c:v>
                </c:pt>
                <c:pt idx="6">
                  <c:v>7949.8980799999999</c:v>
                </c:pt>
                <c:pt idx="7">
                  <c:v>1158.1221499999999</c:v>
                </c:pt>
                <c:pt idx="8">
                  <c:v>1944.5877599999999</c:v>
                </c:pt>
                <c:pt idx="9">
                  <c:v>2990.1478999999999</c:v>
                </c:pt>
                <c:pt idx="10">
                  <c:v>2408.6625899999999</c:v>
                </c:pt>
              </c:numCache>
            </c:numRef>
          </c:val>
          <c:extLst>
            <c:ext xmlns:c16="http://schemas.microsoft.com/office/drawing/2014/chart" uri="{C3380CC4-5D6E-409C-BE32-E72D297353CC}">
              <c16:uniqueId val="{00000002-21EC-4D8E-B949-19693A107922}"/>
            </c:ext>
          </c:extLst>
        </c:ser>
        <c:ser>
          <c:idx val="8"/>
          <c:order val="8"/>
          <c:tx>
            <c:strRef>
              <c:f>'Figur 3.16'!$J$3</c:f>
              <c:strCache>
                <c:ptCount val="1"/>
                <c:pt idx="0">
                  <c:v>2022</c:v>
                </c:pt>
              </c:strCache>
            </c:strRef>
          </c:tx>
          <c:invertIfNegative val="0"/>
          <c:cat>
            <c:strRef>
              <c:f>'Figur 3.16'!$A$4:$A$17</c:f>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f>'Figur 3.16'!$J$4:$J$17</c:f>
              <c:numCache>
                <c:formatCode>General</c:formatCode>
                <c:ptCount val="14"/>
                <c:pt idx="0">
                  <c:v>3070.9212200000002</c:v>
                </c:pt>
                <c:pt idx="1">
                  <c:v>12301.045319999999</c:v>
                </c:pt>
                <c:pt idx="2">
                  <c:v>12668.56691</c:v>
                </c:pt>
                <c:pt idx="3">
                  <c:v>3060.0511799999999</c:v>
                </c:pt>
                <c:pt idx="4">
                  <c:v>6949.9114600000003</c:v>
                </c:pt>
                <c:pt idx="5">
                  <c:v>9423.6260999999995</c:v>
                </c:pt>
                <c:pt idx="6">
                  <c:v>18242.921259999999</c:v>
                </c:pt>
                <c:pt idx="7">
                  <c:v>5853.7315099999996</c:v>
                </c:pt>
                <c:pt idx="8">
                  <c:v>2452.0340900000001</c:v>
                </c:pt>
                <c:pt idx="9">
                  <c:v>7479.08151</c:v>
                </c:pt>
                <c:pt idx="10">
                  <c:v>1511.6736000000001</c:v>
                </c:pt>
                <c:pt idx="11">
                  <c:v>655.97785999999996</c:v>
                </c:pt>
                <c:pt idx="13">
                  <c:v>7561.0912500000004</c:v>
                </c:pt>
              </c:numCache>
            </c:numRef>
          </c:val>
          <c:extLst>
            <c:ext xmlns:c16="http://schemas.microsoft.com/office/drawing/2014/chart" uri="{C3380CC4-5D6E-409C-BE32-E72D297353CC}">
              <c16:uniqueId val="{00000003-21EC-4D8E-B949-19693A107922}"/>
            </c:ext>
          </c:extLst>
        </c:ser>
        <c:dLbls>
          <c:showLegendKey val="0"/>
          <c:showVal val="0"/>
          <c:showCatName val="0"/>
          <c:showSerName val="0"/>
          <c:showPercent val="0"/>
          <c:showBubbleSize val="0"/>
        </c:dLbls>
        <c:gapWidth val="150"/>
        <c:axId val="129158656"/>
        <c:axId val="129512512"/>
        <c:extLst>
          <c:ext xmlns:c15="http://schemas.microsoft.com/office/drawing/2012/chart" uri="{02D57815-91ED-43cb-92C2-25804820EDAC}">
            <c15:filteredBarSeries>
              <c15:ser>
                <c:idx val="0"/>
                <c:order val="0"/>
                <c:tx>
                  <c:strRef>
                    <c:extLst>
                      <c:ext uri="{02D57815-91ED-43cb-92C2-25804820EDAC}">
                        <c15:formulaRef>
                          <c15:sqref>'Figur 3.16'!$B$3</c15:sqref>
                        </c15:formulaRef>
                      </c:ext>
                    </c:extLst>
                    <c:strCache>
                      <c:ptCount val="1"/>
                      <c:pt idx="0">
                        <c:v>2014</c:v>
                      </c:pt>
                    </c:strCache>
                  </c:strRef>
                </c:tx>
                <c:invertIfNegative val="0"/>
                <c:cat>
                  <c:strRef>
                    <c:extLst>
                      <c:ext uri="{02D57815-91ED-43cb-92C2-25804820EDAC}">
                        <c15:formulaRef>
                          <c15:sqref>'Figur 3.16'!$A$4:$A$17</c15:sqref>
                        </c15:formulaRef>
                      </c:ext>
                    </c:extLst>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extLst>
                      <c:ext uri="{02D57815-91ED-43cb-92C2-25804820EDAC}">
                        <c15:formulaRef>
                          <c15:sqref>'Figur 3.16'!$B$4:$B$17</c15:sqref>
                        </c15:formulaRef>
                      </c:ext>
                    </c:extLst>
                    <c:numCache>
                      <c:formatCode>General</c:formatCode>
                      <c:ptCount val="14"/>
                      <c:pt idx="1">
                        <c:v>1947.4506100000001</c:v>
                      </c:pt>
                      <c:pt idx="2">
                        <c:v>1240.66336</c:v>
                      </c:pt>
                      <c:pt idx="5">
                        <c:v>492.3048</c:v>
                      </c:pt>
                      <c:pt idx="6">
                        <c:v>1282.8053299999999</c:v>
                      </c:pt>
                      <c:pt idx="7">
                        <c:v>5289.3330400000004</c:v>
                      </c:pt>
                      <c:pt idx="9">
                        <c:v>684.86900000000003</c:v>
                      </c:pt>
                    </c:numCache>
                  </c:numRef>
                </c:val>
                <c:extLst>
                  <c:ext xmlns:c16="http://schemas.microsoft.com/office/drawing/2014/chart" uri="{C3380CC4-5D6E-409C-BE32-E72D297353CC}">
                    <c16:uniqueId val="{00000004-21EC-4D8E-B949-19693A10792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'Figur 3.16'!$C$3</c15:sqref>
                        </c15:formulaRef>
                      </c:ext>
                    </c:extLst>
                    <c:strCache>
                      <c:ptCount val="1"/>
                      <c:pt idx="0">
                        <c:v>2015</c:v>
                      </c:pt>
                    </c:strCache>
                  </c:strRef>
                </c:tx>
                <c:invertIfNegative val="0"/>
                <c:cat>
                  <c:strRef>
                    <c:extLst xmlns:c15="http://schemas.microsoft.com/office/drawing/2012/chart">
                      <c:ext xmlns:c15="http://schemas.microsoft.com/office/drawing/2012/chart" uri="{02D57815-91ED-43cb-92C2-25804820EDAC}">
                        <c15:formulaRef>
                          <c15:sqref>'Figur 3.16'!$A$4:$A$17</c15:sqref>
                        </c15:formulaRef>
                      </c:ext>
                    </c:extLst>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extLst xmlns:c15="http://schemas.microsoft.com/office/drawing/2012/chart">
                      <c:ext xmlns:c15="http://schemas.microsoft.com/office/drawing/2012/chart" uri="{02D57815-91ED-43cb-92C2-25804820EDAC}">
                        <c15:formulaRef>
                          <c15:sqref>'Figur 3.16'!$C$4:$C$17</c15:sqref>
                        </c15:formulaRef>
                      </c:ext>
                    </c:extLst>
                    <c:numCache>
                      <c:formatCode>General</c:formatCode>
                      <c:ptCount val="14"/>
                      <c:pt idx="1">
                        <c:v>4962.8406999999997</c:v>
                      </c:pt>
                      <c:pt idx="2">
                        <c:v>8989.6083299999991</c:v>
                      </c:pt>
                      <c:pt idx="3">
                        <c:v>6454.6</c:v>
                      </c:pt>
                      <c:pt idx="4">
                        <c:v>4564.5940700000001</c:v>
                      </c:pt>
                      <c:pt idx="5">
                        <c:v>13392.315790000001</c:v>
                      </c:pt>
                      <c:pt idx="6">
                        <c:v>8469.0145200000006</c:v>
                      </c:pt>
                      <c:pt idx="7">
                        <c:v>839.22261000000003</c:v>
                      </c:pt>
                      <c:pt idx="9">
                        <c:v>2967.4718899999998</c:v>
                      </c:pt>
                      <c:pt idx="13">
                        <c:v>2608.1925700000002</c:v>
                      </c:pt>
                    </c:numCache>
                  </c:numRef>
                </c:val>
                <c:extLst xmlns:c15="http://schemas.microsoft.com/office/drawing/2012/chart">
                  <c:ext xmlns:c16="http://schemas.microsoft.com/office/drawing/2014/chart" uri="{C3380CC4-5D6E-409C-BE32-E72D297353CC}">
                    <c16:uniqueId val="{00000005-21EC-4D8E-B949-19693A10792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'Figur 3.16'!$D$3</c15:sqref>
                        </c15:formulaRef>
                      </c:ext>
                    </c:extLst>
                    <c:strCache>
                      <c:ptCount val="1"/>
                      <c:pt idx="0">
                        <c:v>2016</c:v>
                      </c:pt>
                    </c:strCache>
                  </c:strRef>
                </c:tx>
                <c:invertIfNegative val="0"/>
                <c:cat>
                  <c:strRef>
                    <c:extLst xmlns:c15="http://schemas.microsoft.com/office/drawing/2012/chart">
                      <c:ext xmlns:c15="http://schemas.microsoft.com/office/drawing/2012/chart" uri="{02D57815-91ED-43cb-92C2-25804820EDAC}">
                        <c15:formulaRef>
                          <c15:sqref>'Figur 3.16'!$A$4:$A$17</c15:sqref>
                        </c15:formulaRef>
                      </c:ext>
                    </c:extLst>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extLst xmlns:c15="http://schemas.microsoft.com/office/drawing/2012/chart">
                      <c:ext xmlns:c15="http://schemas.microsoft.com/office/drawing/2012/chart" uri="{02D57815-91ED-43cb-92C2-25804820EDAC}">
                        <c15:formulaRef>
                          <c15:sqref>'Figur 3.16'!$D$4:$D$17</c15:sqref>
                        </c15:formulaRef>
                      </c:ext>
                    </c:extLst>
                    <c:numCache>
                      <c:formatCode>General</c:formatCode>
                      <c:ptCount val="14"/>
                      <c:pt idx="0">
                        <c:v>9737.5073200000006</c:v>
                      </c:pt>
                      <c:pt idx="1">
                        <c:v>1875.16533</c:v>
                      </c:pt>
                      <c:pt idx="2">
                        <c:v>5995.6075000000001</c:v>
                      </c:pt>
                      <c:pt idx="3">
                        <c:v>2964.14347</c:v>
                      </c:pt>
                      <c:pt idx="4">
                        <c:v>3928.3394600000001</c:v>
                      </c:pt>
                      <c:pt idx="5">
                        <c:v>9761.0099499999997</c:v>
                      </c:pt>
                      <c:pt idx="6">
                        <c:v>6563.0544900000004</c:v>
                      </c:pt>
                      <c:pt idx="7">
                        <c:v>3250.8359</c:v>
                      </c:pt>
                      <c:pt idx="8">
                        <c:v>1341.82403</c:v>
                      </c:pt>
                      <c:pt idx="9">
                        <c:v>2440.4553900000001</c:v>
                      </c:pt>
                      <c:pt idx="11">
                        <c:v>1141.86508</c:v>
                      </c:pt>
                      <c:pt idx="13">
                        <c:v>4314.6531800000002</c:v>
                      </c:pt>
                    </c:numCache>
                  </c:numRef>
                </c:val>
                <c:extLst xmlns:c15="http://schemas.microsoft.com/office/drawing/2012/chart">
                  <c:ext xmlns:c16="http://schemas.microsoft.com/office/drawing/2014/chart" uri="{C3380CC4-5D6E-409C-BE32-E72D297353CC}">
                    <c16:uniqueId val="{00000006-21EC-4D8E-B949-19693A10792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'Figur 3.16'!$E$3</c15:sqref>
                        </c15:formulaRef>
                      </c:ext>
                    </c:extLst>
                    <c:strCache>
                      <c:ptCount val="1"/>
                      <c:pt idx="0">
                        <c:v>2017</c:v>
                      </c:pt>
                    </c:strCache>
                  </c:strRef>
                </c:tx>
                <c:invertIfNegative val="0"/>
                <c:cat>
                  <c:strRef>
                    <c:extLst xmlns:c15="http://schemas.microsoft.com/office/drawing/2012/chart">
                      <c:ext xmlns:c15="http://schemas.microsoft.com/office/drawing/2012/chart" uri="{02D57815-91ED-43cb-92C2-25804820EDAC}">
                        <c15:formulaRef>
                          <c15:sqref>'Figur 3.16'!$A$4:$A$17</c15:sqref>
                        </c15:formulaRef>
                      </c:ext>
                    </c:extLst>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extLst xmlns:c15="http://schemas.microsoft.com/office/drawing/2012/chart">
                      <c:ext xmlns:c15="http://schemas.microsoft.com/office/drawing/2012/chart" uri="{02D57815-91ED-43cb-92C2-25804820EDAC}">
                        <c15:formulaRef>
                          <c15:sqref>'Figur 3.16'!$E$4:$E$17</c15:sqref>
                        </c15:formulaRef>
                      </c:ext>
                    </c:extLst>
                    <c:numCache>
                      <c:formatCode>General</c:formatCode>
                      <c:ptCount val="14"/>
                      <c:pt idx="0">
                        <c:v>1129.9619499999999</c:v>
                      </c:pt>
                      <c:pt idx="1">
                        <c:v>8731.4328600000008</c:v>
                      </c:pt>
                      <c:pt idx="2">
                        <c:v>5706.9230200000002</c:v>
                      </c:pt>
                      <c:pt idx="3">
                        <c:v>3698.9908799999998</c:v>
                      </c:pt>
                      <c:pt idx="5">
                        <c:v>9286.42526</c:v>
                      </c:pt>
                      <c:pt idx="6">
                        <c:v>7312.9246499999999</c:v>
                      </c:pt>
                      <c:pt idx="7">
                        <c:v>2571.3344900000002</c:v>
                      </c:pt>
                      <c:pt idx="9">
                        <c:v>4808.9951799999999</c:v>
                      </c:pt>
                      <c:pt idx="11">
                        <c:v>3556.5476199999998</c:v>
                      </c:pt>
                      <c:pt idx="12">
                        <c:v>2730.2966099999999</c:v>
                      </c:pt>
                    </c:numCache>
                  </c:numRef>
                </c:val>
                <c:extLst xmlns:c15="http://schemas.microsoft.com/office/drawing/2012/chart">
                  <c:ext xmlns:c16="http://schemas.microsoft.com/office/drawing/2014/chart" uri="{C3380CC4-5D6E-409C-BE32-E72D297353CC}">
                    <c16:uniqueId val="{00000007-21EC-4D8E-B949-19693A10792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'Figur 3.16'!$F$3</c15:sqref>
                        </c15:formulaRef>
                      </c:ext>
                    </c:extLst>
                    <c:strCache>
                      <c:ptCount val="1"/>
                      <c:pt idx="0">
                        <c:v>2018</c:v>
                      </c:pt>
                    </c:strCache>
                  </c:strRef>
                </c:tx>
                <c:invertIfNegative val="0"/>
                <c:cat>
                  <c:strRef>
                    <c:extLst xmlns:c15="http://schemas.microsoft.com/office/drawing/2012/chart">
                      <c:ext xmlns:c15="http://schemas.microsoft.com/office/drawing/2012/chart" uri="{02D57815-91ED-43cb-92C2-25804820EDAC}">
                        <c15:formulaRef>
                          <c15:sqref>'Figur 3.16'!$A$4:$A$17</c15:sqref>
                        </c15:formulaRef>
                      </c:ext>
                    </c:extLst>
                    <c:strCache>
                      <c:ptCount val="14"/>
                      <c:pt idx="0">
                        <c:v>NU</c:v>
                      </c:pt>
                      <c:pt idx="1">
                        <c:v>NMBU</c:v>
                      </c:pt>
                      <c:pt idx="2">
                        <c:v>NTNU</c:v>
                      </c:pt>
                      <c:pt idx="3">
                        <c:v>OsloMet</c:v>
                      </c:pt>
                      <c:pt idx="4">
                        <c:v>UiA</c:v>
                      </c:pt>
                      <c:pt idx="5">
                        <c:v>UiB</c:v>
                      </c:pt>
                      <c:pt idx="6">
                        <c:v>UiO</c:v>
                      </c:pt>
                      <c:pt idx="7">
                        <c:v>UiS</c:v>
                      </c:pt>
                      <c:pt idx="8">
                        <c:v>USN</c:v>
                      </c:pt>
                      <c:pt idx="9">
                        <c:v>UiT</c:v>
                      </c:pt>
                      <c:pt idx="10">
                        <c:v>NHH</c:v>
                      </c:pt>
                      <c:pt idx="11">
                        <c:v>HINN</c:v>
                      </c:pt>
                      <c:pt idx="12">
                        <c:v>HiØ</c:v>
                      </c:pt>
                      <c:pt idx="13">
                        <c:v>HVL</c:v>
                      </c:pt>
                    </c:strCache>
                  </c:strRef>
                </c:cat>
                <c:val>
                  <c:numRef>
                    <c:extLst xmlns:c15="http://schemas.microsoft.com/office/drawing/2012/chart">
                      <c:ext xmlns:c15="http://schemas.microsoft.com/office/drawing/2012/chart" uri="{02D57815-91ED-43cb-92C2-25804820EDAC}">
                        <c15:formulaRef>
                          <c15:sqref>'Figur 3.16'!$F$4:$F$17</c15:sqref>
                        </c15:formulaRef>
                      </c:ext>
                    </c:extLst>
                    <c:numCache>
                      <c:formatCode>General</c:formatCode>
                      <c:ptCount val="14"/>
                      <c:pt idx="0">
                        <c:v>3372.9309800000001</c:v>
                      </c:pt>
                      <c:pt idx="1">
                        <c:v>7203.0251799999996</c:v>
                      </c:pt>
                      <c:pt idx="2">
                        <c:v>7948.5394500000002</c:v>
                      </c:pt>
                      <c:pt idx="3">
                        <c:v>2562.1662099999999</c:v>
                      </c:pt>
                      <c:pt idx="4">
                        <c:v>1207.83276</c:v>
                      </c:pt>
                      <c:pt idx="5">
                        <c:v>16404.9463</c:v>
                      </c:pt>
                      <c:pt idx="6">
                        <c:v>14045.722180000001</c:v>
                      </c:pt>
                      <c:pt idx="7">
                        <c:v>482.40832999999998</c:v>
                      </c:pt>
                      <c:pt idx="8">
                        <c:v>2451.7392500000001</c:v>
                      </c:pt>
                      <c:pt idx="9">
                        <c:v>5471.6262299999999</c:v>
                      </c:pt>
                      <c:pt idx="10">
                        <c:v>27828.344229999999</c:v>
                      </c:pt>
                      <c:pt idx="13">
                        <c:v>112.87313</c:v>
                      </c:pt>
                    </c:numCache>
                  </c:numRef>
                </c:val>
                <c:extLst xmlns:c15="http://schemas.microsoft.com/office/drawing/2012/chart">
                  <c:ext xmlns:c16="http://schemas.microsoft.com/office/drawing/2014/chart" uri="{C3380CC4-5D6E-409C-BE32-E72D297353CC}">
                    <c16:uniqueId val="{00000008-21EC-4D8E-B949-19693A107922}"/>
                  </c:ext>
                </c:extLst>
              </c15:ser>
            </c15:filteredBarSeries>
          </c:ext>
        </c:extLst>
      </c:barChart>
      <c:catAx>
        <c:axId val="129158656"/>
        <c:scaling>
          <c:orientation val="minMax"/>
        </c:scaling>
        <c:delete val="0"/>
        <c:axPos val="b"/>
        <c:numFmt formatCode="General" sourceLinked="1"/>
        <c:majorTickMark val="out"/>
        <c:minorTickMark val="none"/>
        <c:tickLblPos val="nextTo"/>
        <c:crossAx val="129512512"/>
        <c:crosses val="autoZero"/>
        <c:auto val="1"/>
        <c:lblAlgn val="ctr"/>
        <c:lblOffset val="100"/>
        <c:noMultiLvlLbl val="0"/>
      </c:catAx>
      <c:valAx>
        <c:axId val="129512512"/>
        <c:scaling>
          <c:orientation val="minMax"/>
        </c:scaling>
        <c:delete val="0"/>
        <c:axPos val="l"/>
        <c:majorGridlines>
          <c:spPr>
            <a:ln>
              <a:solidFill>
                <a:schemeClr val="accent3">
                  <a:lumMod val="40000"/>
                  <a:lumOff val="60000"/>
                </a:schemeClr>
              </a:solidFill>
            </a:ln>
          </c:spPr>
        </c:majorGridlines>
        <c:numFmt formatCode="#,##0" sourceLinked="0"/>
        <c:majorTickMark val="out"/>
        <c:minorTickMark val="none"/>
        <c:tickLblPos val="nextTo"/>
        <c:spPr>
          <a:ln>
            <a:noFill/>
          </a:ln>
        </c:spPr>
        <c:crossAx val="129158656"/>
        <c:crosses val="autoZero"/>
        <c:crossBetween val="between"/>
        <c:majorUnit val="4000"/>
      </c:valAx>
    </c:plotArea>
    <c:legend>
      <c:legendPos val="b"/>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62300400837941"/>
          <c:y val="6.6393795935512312E-2"/>
          <c:w val="0.51130254969966094"/>
          <c:h val="0.82312258626219414"/>
        </c:manualLayout>
      </c:layout>
      <c:barChart>
        <c:barDir val="bar"/>
        <c:grouping val="clustered"/>
        <c:varyColors val="0"/>
        <c:ser>
          <c:idx val="1"/>
          <c:order val="0"/>
          <c:tx>
            <c:strRef>
              <c:f>'Fig X.XX'!$B$4</c:f>
              <c:strCache>
                <c:ptCount val="1"/>
                <c:pt idx="0">
                  <c:v>EU støtte i innstilte prosjekter euro</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E620-436F-9B62-3CE43A3A1107}"/>
              </c:ext>
            </c:extLst>
          </c:dPt>
          <c:dPt>
            <c:idx val="1"/>
            <c:invertIfNegative val="0"/>
            <c:bubble3D val="0"/>
            <c:extLst>
              <c:ext xmlns:c16="http://schemas.microsoft.com/office/drawing/2014/chart" uri="{C3380CC4-5D6E-409C-BE32-E72D297353CC}">
                <c16:uniqueId val="{00000001-E620-436F-9B62-3CE43A3A1107}"/>
              </c:ext>
            </c:extLst>
          </c:dPt>
          <c:dPt>
            <c:idx val="2"/>
            <c:invertIfNegative val="0"/>
            <c:bubble3D val="0"/>
            <c:extLst>
              <c:ext xmlns:c16="http://schemas.microsoft.com/office/drawing/2014/chart" uri="{C3380CC4-5D6E-409C-BE32-E72D297353CC}">
                <c16:uniqueId val="{00000002-E620-436F-9B62-3CE43A3A1107}"/>
              </c:ext>
            </c:extLst>
          </c:dPt>
          <c:dPt>
            <c:idx val="3"/>
            <c:invertIfNegative val="0"/>
            <c:bubble3D val="0"/>
            <c:extLst>
              <c:ext xmlns:c16="http://schemas.microsoft.com/office/drawing/2014/chart" uri="{C3380CC4-5D6E-409C-BE32-E72D297353CC}">
                <c16:uniqueId val="{00000003-E620-436F-9B62-3CE43A3A1107}"/>
              </c:ext>
            </c:extLst>
          </c:dPt>
          <c:dPt>
            <c:idx val="4"/>
            <c:invertIfNegative val="0"/>
            <c:bubble3D val="0"/>
            <c:extLst>
              <c:ext xmlns:c16="http://schemas.microsoft.com/office/drawing/2014/chart" uri="{C3380CC4-5D6E-409C-BE32-E72D297353CC}">
                <c16:uniqueId val="{00000004-E620-436F-9B62-3CE43A3A1107}"/>
              </c:ext>
            </c:extLst>
          </c:dPt>
          <c:dPt>
            <c:idx val="5"/>
            <c:invertIfNegative val="0"/>
            <c:bubble3D val="0"/>
            <c:extLst>
              <c:ext xmlns:c16="http://schemas.microsoft.com/office/drawing/2014/chart" uri="{C3380CC4-5D6E-409C-BE32-E72D297353CC}">
                <c16:uniqueId val="{00000005-E620-436F-9B62-3CE43A3A1107}"/>
              </c:ext>
            </c:extLst>
          </c:dPt>
          <c:dPt>
            <c:idx val="6"/>
            <c:invertIfNegative val="0"/>
            <c:bubble3D val="0"/>
            <c:extLst>
              <c:ext xmlns:c16="http://schemas.microsoft.com/office/drawing/2014/chart" uri="{C3380CC4-5D6E-409C-BE32-E72D297353CC}">
                <c16:uniqueId val="{00000006-E620-436F-9B62-3CE43A3A1107}"/>
              </c:ext>
            </c:extLst>
          </c:dPt>
          <c:dPt>
            <c:idx val="7"/>
            <c:invertIfNegative val="0"/>
            <c:bubble3D val="0"/>
            <c:extLst>
              <c:ext xmlns:c16="http://schemas.microsoft.com/office/drawing/2014/chart" uri="{C3380CC4-5D6E-409C-BE32-E72D297353CC}">
                <c16:uniqueId val="{00000007-E620-436F-9B62-3CE43A3A1107}"/>
              </c:ext>
            </c:extLst>
          </c:dPt>
          <c:dPt>
            <c:idx val="8"/>
            <c:invertIfNegative val="0"/>
            <c:bubble3D val="0"/>
            <c:extLst>
              <c:ext xmlns:c16="http://schemas.microsoft.com/office/drawing/2014/chart" uri="{C3380CC4-5D6E-409C-BE32-E72D297353CC}">
                <c16:uniqueId val="{00000008-E620-436F-9B62-3CE43A3A1107}"/>
              </c:ext>
            </c:extLst>
          </c:dPt>
          <c:dPt>
            <c:idx val="9"/>
            <c:invertIfNegative val="0"/>
            <c:bubble3D val="0"/>
            <c:extLst>
              <c:ext xmlns:c16="http://schemas.microsoft.com/office/drawing/2014/chart" uri="{C3380CC4-5D6E-409C-BE32-E72D297353CC}">
                <c16:uniqueId val="{00000009-E620-436F-9B62-3CE43A3A1107}"/>
              </c:ext>
            </c:extLst>
          </c:dPt>
          <c:dPt>
            <c:idx val="10"/>
            <c:invertIfNegative val="0"/>
            <c:bubble3D val="0"/>
            <c:extLst>
              <c:ext xmlns:c16="http://schemas.microsoft.com/office/drawing/2014/chart" uri="{C3380CC4-5D6E-409C-BE32-E72D297353CC}">
                <c16:uniqueId val="{0000000A-E620-436F-9B62-3CE43A3A1107}"/>
              </c:ext>
            </c:extLst>
          </c:dPt>
          <c:dPt>
            <c:idx val="11"/>
            <c:invertIfNegative val="0"/>
            <c:bubble3D val="0"/>
            <c:extLst>
              <c:ext xmlns:c16="http://schemas.microsoft.com/office/drawing/2014/chart" uri="{C3380CC4-5D6E-409C-BE32-E72D297353CC}">
                <c16:uniqueId val="{0000000B-E620-436F-9B62-3CE43A3A1107}"/>
              </c:ext>
            </c:extLst>
          </c:dPt>
          <c:dPt>
            <c:idx val="12"/>
            <c:invertIfNegative val="0"/>
            <c:bubble3D val="0"/>
            <c:extLst>
              <c:ext xmlns:c16="http://schemas.microsoft.com/office/drawing/2014/chart" uri="{C3380CC4-5D6E-409C-BE32-E72D297353CC}">
                <c16:uniqueId val="{0000000C-E620-436F-9B62-3CE43A3A1107}"/>
              </c:ext>
            </c:extLst>
          </c:dPt>
          <c:cat>
            <c:strRef>
              <c:f>'Fig X.XX'!$A$5:$A$16</c:f>
              <c:strCache>
                <c:ptCount val="12"/>
                <c:pt idx="0">
                  <c:v>EIE (Økosystemer for innovasjon)</c:v>
                </c:pt>
                <c:pt idx="1">
                  <c:v>Samfunnssikkerhet</c:v>
                </c:pt>
                <c:pt idx="2">
                  <c:v>EIC (Europeisk innovasjonsråd)</c:v>
                </c:pt>
                <c:pt idx="3">
                  <c:v>WIDERA</c:v>
                </c:pt>
                <c:pt idx="4">
                  <c:v>Infrastruktur</c:v>
                </c:pt>
                <c:pt idx="5">
                  <c:v>Helse</c:v>
                </c:pt>
                <c:pt idx="6">
                  <c:v>Kultur, kreativitet &amp; inkluderende samfunn</c:v>
                </c:pt>
                <c:pt idx="7">
                  <c:v>Digitalisering, næringsliv &amp; romvirksomhet</c:v>
                </c:pt>
                <c:pt idx="8">
                  <c:v>Mat, bioøk., naturressurser, landbruk &amp; miljø</c:v>
                </c:pt>
                <c:pt idx="9">
                  <c:v>MSCA</c:v>
                </c:pt>
                <c:pt idx="10">
                  <c:v>Klima, energi &amp; mobilitet</c:v>
                </c:pt>
                <c:pt idx="11">
                  <c:v>ERC</c:v>
                </c:pt>
              </c:strCache>
            </c:strRef>
          </c:cat>
          <c:val>
            <c:numRef>
              <c:f>'Fig X.XX'!$B$5:$B$16</c:f>
              <c:numCache>
                <c:formatCode>#\ ##0.0</c:formatCode>
                <c:ptCount val="12"/>
                <c:pt idx="0">
                  <c:v>0.26950000000000002</c:v>
                </c:pt>
                <c:pt idx="1">
                  <c:v>0.64631249999964002</c:v>
                </c:pt>
                <c:pt idx="2">
                  <c:v>3.6988814999991599</c:v>
                </c:pt>
                <c:pt idx="3">
                  <c:v>4.2322382499980407</c:v>
                </c:pt>
                <c:pt idx="4">
                  <c:v>5.8575194999968803</c:v>
                </c:pt>
                <c:pt idx="5">
                  <c:v>7.2864579999968404</c:v>
                </c:pt>
                <c:pt idx="6">
                  <c:v>7.5684917499983397</c:v>
                </c:pt>
                <c:pt idx="7">
                  <c:v>9.99987924999642</c:v>
                </c:pt>
                <c:pt idx="8">
                  <c:v>13.188293249995599</c:v>
                </c:pt>
                <c:pt idx="9">
                  <c:v>14.342076879999601</c:v>
                </c:pt>
                <c:pt idx="10">
                  <c:v>19.5301455599947</c:v>
                </c:pt>
                <c:pt idx="11">
                  <c:v>35.216800149996999</c:v>
                </c:pt>
              </c:numCache>
            </c:numRef>
          </c:val>
          <c:extLst>
            <c:ext xmlns:c16="http://schemas.microsoft.com/office/drawing/2014/chart" uri="{C3380CC4-5D6E-409C-BE32-E72D297353CC}">
              <c16:uniqueId val="{0000000D-E620-436F-9B62-3CE43A3A1107}"/>
            </c:ext>
          </c:extLst>
        </c:ser>
        <c:dLbls>
          <c:showLegendKey val="0"/>
          <c:showVal val="0"/>
          <c:showCatName val="0"/>
          <c:showSerName val="0"/>
          <c:showPercent val="0"/>
          <c:showBubbleSize val="0"/>
        </c:dLbls>
        <c:gapWidth val="30"/>
        <c:axId val="241366912"/>
        <c:axId val="241368448"/>
      </c:barChart>
      <c:catAx>
        <c:axId val="241366912"/>
        <c:scaling>
          <c:orientation val="minMax"/>
        </c:scaling>
        <c:delete val="0"/>
        <c:axPos val="l"/>
        <c:numFmt formatCode="General" sourceLinked="0"/>
        <c:majorTickMark val="none"/>
        <c:minorTickMark val="none"/>
        <c:tickLblPos val="nextTo"/>
        <c:txPr>
          <a:bodyPr rot="0"/>
          <a:lstStyle/>
          <a:p>
            <a:pPr>
              <a:defRPr sz="900" baseline="0"/>
            </a:pPr>
            <a:endParaRPr lang="nb-NO"/>
          </a:p>
        </c:txPr>
        <c:crossAx val="241368448"/>
        <c:crosses val="autoZero"/>
        <c:auto val="1"/>
        <c:lblAlgn val="ctr"/>
        <c:lblOffset val="100"/>
        <c:noMultiLvlLbl val="0"/>
      </c:catAx>
      <c:valAx>
        <c:axId val="241368448"/>
        <c:scaling>
          <c:orientation val="minMax"/>
          <c:max val="40"/>
          <c:min val="0"/>
        </c:scaling>
        <c:delete val="0"/>
        <c:axPos val="b"/>
        <c:majorGridlines>
          <c:spPr>
            <a:ln>
              <a:solidFill>
                <a:schemeClr val="accent3">
                  <a:lumMod val="40000"/>
                  <a:lumOff val="60000"/>
                </a:schemeClr>
              </a:solidFill>
            </a:ln>
          </c:spPr>
        </c:majorGridlines>
        <c:numFmt formatCode="#,##0" sourceLinked="0"/>
        <c:majorTickMark val="none"/>
        <c:minorTickMark val="none"/>
        <c:tickLblPos val="nextTo"/>
        <c:spPr>
          <a:ln>
            <a:noFill/>
          </a:ln>
        </c:spPr>
        <c:txPr>
          <a:bodyPr/>
          <a:lstStyle/>
          <a:p>
            <a:pPr>
              <a:defRPr sz="1000" baseline="0"/>
            </a:pPr>
            <a:endParaRPr lang="nb-NO"/>
          </a:p>
        </c:txPr>
        <c:crossAx val="241366912"/>
        <c:crosses val="autoZero"/>
        <c:crossBetween val="between"/>
        <c:majorUnit val="10"/>
      </c:valAx>
    </c:plotArea>
    <c:plotVisOnly val="1"/>
    <c:dispBlanksAs val="gap"/>
    <c:showDLblsOverMax val="0"/>
  </c:chart>
  <c:spPr>
    <a:ln>
      <a:solidFill>
        <a:schemeClr val="accent3">
          <a:lumMod val="40000"/>
          <a:lumOff val="60000"/>
        </a:schemeClr>
      </a:solidFill>
    </a:ln>
  </c:spPr>
  <c:txPr>
    <a:bodyPr/>
    <a:lstStyle/>
    <a:p>
      <a:pPr>
        <a:defRPr sz="1800"/>
      </a:pPr>
      <a:endParaRPr lang="nb-NO"/>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'[figurer_7mars2023.xlsx]Figur 3.12'!$A$4:$A$24</c:f>
              <c:strCache>
                <c:ptCount val="21"/>
                <c:pt idx="0">
                  <c:v>SH</c:v>
                </c:pt>
                <c:pt idx="1">
                  <c:v>HINN</c:v>
                </c:pt>
                <c:pt idx="2">
                  <c:v>NIH</c:v>
                </c:pt>
                <c:pt idx="3">
                  <c:v>UiO</c:v>
                </c:pt>
                <c:pt idx="4">
                  <c:v>NMBU</c:v>
                </c:pt>
                <c:pt idx="5">
                  <c:v>OsloMet</c:v>
                </c:pt>
                <c:pt idx="6">
                  <c:v>UiB</c:v>
                </c:pt>
                <c:pt idx="7">
                  <c:v>NTNU</c:v>
                </c:pt>
                <c:pt idx="8">
                  <c:v>UiT</c:v>
                </c:pt>
                <c:pt idx="9">
                  <c:v>HiØ</c:v>
                </c:pt>
                <c:pt idx="10">
                  <c:v>USN</c:v>
                </c:pt>
                <c:pt idx="11">
                  <c:v>NHH</c:v>
                </c:pt>
                <c:pt idx="12">
                  <c:v>UiA</c:v>
                </c:pt>
                <c:pt idx="13">
                  <c:v>HVO</c:v>
                </c:pt>
                <c:pt idx="14">
                  <c:v>UiS</c:v>
                </c:pt>
                <c:pt idx="15">
                  <c:v>HVL</c:v>
                </c:pt>
                <c:pt idx="16">
                  <c:v>NU</c:v>
                </c:pt>
                <c:pt idx="17">
                  <c:v>NMH</c:v>
                </c:pt>
                <c:pt idx="18">
                  <c:v>KHiO</c:v>
                </c:pt>
                <c:pt idx="19">
                  <c:v>AHO</c:v>
                </c:pt>
                <c:pt idx="20">
                  <c:v>HiM</c:v>
                </c:pt>
              </c:strCache>
            </c:strRef>
          </c:cat>
          <c:val>
            <c:numRef>
              <c:f>'[figurer_7mars2023.xlsx]Figur 3.12'!$D$4:$D$24</c:f>
              <c:numCache>
                <c:formatCode>General</c:formatCode>
                <c:ptCount val="21"/>
                <c:pt idx="0">
                  <c:v>488.16856000000001</c:v>
                </c:pt>
                <c:pt idx="1">
                  <c:v>252.23329000000001</c:v>
                </c:pt>
                <c:pt idx="2">
                  <c:v>251.29268999999999</c:v>
                </c:pt>
                <c:pt idx="3">
                  <c:v>245.58143000000001</c:v>
                </c:pt>
                <c:pt idx="4">
                  <c:v>240.40738999999999</c:v>
                </c:pt>
                <c:pt idx="5">
                  <c:v>228.17740000000001</c:v>
                </c:pt>
                <c:pt idx="6">
                  <c:v>225.53733</c:v>
                </c:pt>
                <c:pt idx="7">
                  <c:v>215.97416000000001</c:v>
                </c:pt>
                <c:pt idx="8">
                  <c:v>186.28645</c:v>
                </c:pt>
                <c:pt idx="9">
                  <c:v>170.60686000000001</c:v>
                </c:pt>
                <c:pt idx="10">
                  <c:v>168.06458000000001</c:v>
                </c:pt>
                <c:pt idx="11">
                  <c:v>158.06676999999999</c:v>
                </c:pt>
                <c:pt idx="12">
                  <c:v>150.90781999999999</c:v>
                </c:pt>
                <c:pt idx="13">
                  <c:v>147.59585999999999</c:v>
                </c:pt>
                <c:pt idx="14">
                  <c:v>131.34483</c:v>
                </c:pt>
                <c:pt idx="15">
                  <c:v>125.90348</c:v>
                </c:pt>
                <c:pt idx="16">
                  <c:v>120.34404000000001</c:v>
                </c:pt>
                <c:pt idx="17">
                  <c:v>93.636020000000002</c:v>
                </c:pt>
                <c:pt idx="18">
                  <c:v>69.211029999999994</c:v>
                </c:pt>
                <c:pt idx="19">
                  <c:v>52.144599999999997</c:v>
                </c:pt>
                <c:pt idx="20">
                  <c:v>38.518439999999998</c:v>
                </c:pt>
              </c:numCache>
            </c:numRef>
          </c:val>
          <c:extLst>
            <c:ext xmlns:c16="http://schemas.microsoft.com/office/drawing/2014/chart" uri="{C3380CC4-5D6E-409C-BE32-E72D297353CC}">
              <c16:uniqueId val="{00000000-5572-46F5-9683-79AA2B72C1AB}"/>
            </c:ext>
          </c:extLst>
        </c:ser>
        <c:dLbls>
          <c:showLegendKey val="0"/>
          <c:showVal val="0"/>
          <c:showCatName val="0"/>
          <c:showSerName val="0"/>
          <c:showPercent val="0"/>
          <c:showBubbleSize val="0"/>
        </c:dLbls>
        <c:gapWidth val="50"/>
        <c:axId val="147671743"/>
        <c:axId val="147676319"/>
      </c:barChart>
      <c:catAx>
        <c:axId val="14767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6319"/>
        <c:crosses val="autoZero"/>
        <c:auto val="1"/>
        <c:lblAlgn val="ctr"/>
        <c:lblOffset val="100"/>
        <c:noMultiLvlLbl val="0"/>
      </c:catAx>
      <c:valAx>
        <c:axId val="14767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711790467816"/>
          <c:y val="3.8882997525627433E-2"/>
          <c:w val="0.78906012382969892"/>
          <c:h val="0.76666722333091186"/>
        </c:manualLayout>
      </c:layout>
      <c:areaChart>
        <c:grouping val="stacked"/>
        <c:varyColors val="0"/>
        <c:ser>
          <c:idx val="0"/>
          <c:order val="0"/>
          <c:tx>
            <c:strRef>
              <c:f>'Figur 4.1'!$A$4</c:f>
              <c:strCache>
                <c:ptCount val="1"/>
                <c:pt idx="0">
                  <c:v>Bevilgning/statstilskudd</c:v>
                </c:pt>
              </c:strCache>
            </c:strRef>
          </c:tx>
          <c:cat>
            <c:numRef>
              <c:f>'Figur 4.1'!$B$3:$K$3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4.1'!$B$4:$K$4</c:f>
              <c:numCache>
                <c:formatCode>General</c:formatCode>
                <c:ptCount val="10"/>
                <c:pt idx="0">
                  <c:v>28776353.938999999</c:v>
                </c:pt>
                <c:pt idx="1">
                  <c:v>30479961.987</c:v>
                </c:pt>
                <c:pt idx="2">
                  <c:v>32086578.420000002</c:v>
                </c:pt>
                <c:pt idx="3">
                  <c:v>33488573.166999999</c:v>
                </c:pt>
                <c:pt idx="4">
                  <c:v>35276286.004000001</c:v>
                </c:pt>
                <c:pt idx="5">
                  <c:v>36386287.141000003</c:v>
                </c:pt>
                <c:pt idx="6">
                  <c:v>37340689.780000001</c:v>
                </c:pt>
                <c:pt idx="7">
                  <c:v>39551675.397</c:v>
                </c:pt>
                <c:pt idx="8">
                  <c:v>42000286.081</c:v>
                </c:pt>
                <c:pt idx="9">
                  <c:v>43234918.123000003</c:v>
                </c:pt>
              </c:numCache>
            </c:numRef>
          </c:val>
          <c:extLst>
            <c:ext xmlns:c16="http://schemas.microsoft.com/office/drawing/2014/chart" uri="{C3380CC4-5D6E-409C-BE32-E72D297353CC}">
              <c16:uniqueId val="{00000000-6036-4A66-B8DC-5E706A2728AB}"/>
            </c:ext>
          </c:extLst>
        </c:ser>
        <c:ser>
          <c:idx val="1"/>
          <c:order val="1"/>
          <c:tx>
            <c:strRef>
              <c:f>'Figur 4.1'!$A$5</c:f>
              <c:strCache>
                <c:ptCount val="1"/>
                <c:pt idx="0">
                  <c:v>Finansiering fra Forskningsrådet, RFF og EU</c:v>
                </c:pt>
              </c:strCache>
            </c:strRef>
          </c:tx>
          <c:cat>
            <c:numRef>
              <c:f>'Figur 4.1'!$B$3:$K$3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4.1'!$B$5:$K$5</c:f>
              <c:numCache>
                <c:formatCode>General</c:formatCode>
                <c:ptCount val="10"/>
                <c:pt idx="0">
                  <c:v>2548352.6349999998</c:v>
                </c:pt>
                <c:pt idx="1">
                  <c:v>2870497.2250000001</c:v>
                </c:pt>
                <c:pt idx="2">
                  <c:v>3211087.423</c:v>
                </c:pt>
                <c:pt idx="3">
                  <c:v>3627085.878</c:v>
                </c:pt>
                <c:pt idx="4">
                  <c:v>3900399.6940000001</c:v>
                </c:pt>
                <c:pt idx="5">
                  <c:v>4020276.591</c:v>
                </c:pt>
                <c:pt idx="6">
                  <c:v>4347371.1540000001</c:v>
                </c:pt>
                <c:pt idx="7">
                  <c:v>4094101.8659999999</c:v>
                </c:pt>
                <c:pt idx="8">
                  <c:v>4759754.2379999999</c:v>
                </c:pt>
                <c:pt idx="9">
                  <c:v>5432343.2019999996</c:v>
                </c:pt>
              </c:numCache>
            </c:numRef>
          </c:val>
          <c:extLst>
            <c:ext xmlns:c16="http://schemas.microsoft.com/office/drawing/2014/chart" uri="{C3380CC4-5D6E-409C-BE32-E72D297353CC}">
              <c16:uniqueId val="{00000001-6036-4A66-B8DC-5E706A2728AB}"/>
            </c:ext>
          </c:extLst>
        </c:ser>
        <c:ser>
          <c:idx val="5"/>
          <c:order val="2"/>
          <c:tx>
            <c:strRef>
              <c:f>'Figur 4.1'!$A$6</c:f>
              <c:strCache>
                <c:ptCount val="1"/>
                <c:pt idx="0">
                  <c:v>Annen bidrags- og oppdragsfinansiering</c:v>
                </c:pt>
              </c:strCache>
            </c:strRef>
          </c:tx>
          <c:cat>
            <c:numRef>
              <c:f>'Figur 4.1'!$B$3:$K$3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4.1'!$B$6:$K$6</c:f>
              <c:numCache>
                <c:formatCode>General</c:formatCode>
                <c:ptCount val="10"/>
                <c:pt idx="0">
                  <c:v>2930019.267</c:v>
                </c:pt>
                <c:pt idx="1">
                  <c:v>2902592.5860000001</c:v>
                </c:pt>
                <c:pt idx="2">
                  <c:v>3075935.8420000002</c:v>
                </c:pt>
                <c:pt idx="3">
                  <c:v>3017296.7089999998</c:v>
                </c:pt>
                <c:pt idx="4">
                  <c:v>3075314.3760000002</c:v>
                </c:pt>
                <c:pt idx="5">
                  <c:v>3247237.3879999998</c:v>
                </c:pt>
                <c:pt idx="6">
                  <c:v>3722878.5419999999</c:v>
                </c:pt>
                <c:pt idx="7">
                  <c:v>3747580.219</c:v>
                </c:pt>
                <c:pt idx="8">
                  <c:v>4115192.5120000001</c:v>
                </c:pt>
                <c:pt idx="9">
                  <c:v>5075516.2079999996</c:v>
                </c:pt>
              </c:numCache>
            </c:numRef>
          </c:val>
          <c:extLst>
            <c:ext xmlns:c16="http://schemas.microsoft.com/office/drawing/2014/chart" uri="{C3380CC4-5D6E-409C-BE32-E72D297353CC}">
              <c16:uniqueId val="{00000002-6036-4A66-B8DC-5E706A2728AB}"/>
            </c:ext>
          </c:extLst>
        </c:ser>
        <c:ser>
          <c:idx val="6"/>
          <c:order val="3"/>
          <c:tx>
            <c:strRef>
              <c:f>'Figur 4.1'!$A$7</c:f>
              <c:strCache>
                <c:ptCount val="1"/>
                <c:pt idx="0">
                  <c:v>Andre inntekter</c:v>
                </c:pt>
              </c:strCache>
            </c:strRef>
          </c:tx>
          <c:cat>
            <c:numRef>
              <c:f>'Figur 4.1'!$B$3:$K$3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4.1'!$B$7:$K$7</c:f>
              <c:numCache>
                <c:formatCode>General</c:formatCode>
                <c:ptCount val="10"/>
                <c:pt idx="0">
                  <c:v>3015363.656</c:v>
                </c:pt>
                <c:pt idx="1">
                  <c:v>3366825.9909999999</c:v>
                </c:pt>
                <c:pt idx="2">
                  <c:v>3650731.5150000001</c:v>
                </c:pt>
                <c:pt idx="3">
                  <c:v>3669710.5240000002</c:v>
                </c:pt>
                <c:pt idx="4">
                  <c:v>4204378.091</c:v>
                </c:pt>
                <c:pt idx="5">
                  <c:v>4119841.469</c:v>
                </c:pt>
                <c:pt idx="6">
                  <c:v>4226808.3389999997</c:v>
                </c:pt>
                <c:pt idx="7">
                  <c:v>4206940.0439999998</c:v>
                </c:pt>
                <c:pt idx="8">
                  <c:v>4319104.88</c:v>
                </c:pt>
                <c:pt idx="9">
                  <c:v>4452219.76</c:v>
                </c:pt>
              </c:numCache>
            </c:numRef>
          </c:val>
          <c:extLst>
            <c:ext xmlns:c16="http://schemas.microsoft.com/office/drawing/2014/chart" uri="{C3380CC4-5D6E-409C-BE32-E72D297353CC}">
              <c16:uniqueId val="{00000003-6036-4A66-B8DC-5E706A2728AB}"/>
            </c:ext>
          </c:extLst>
        </c:ser>
        <c:dLbls>
          <c:showLegendKey val="0"/>
          <c:showVal val="0"/>
          <c:showCatName val="0"/>
          <c:showSerName val="0"/>
          <c:showPercent val="0"/>
          <c:showBubbleSize val="0"/>
        </c:dLbls>
        <c:axId val="130320384"/>
        <c:axId val="129875968"/>
      </c:areaChart>
      <c:catAx>
        <c:axId val="130320384"/>
        <c:scaling>
          <c:orientation val="minMax"/>
        </c:scaling>
        <c:delete val="0"/>
        <c:axPos val="b"/>
        <c:numFmt formatCode="General" sourceLinked="1"/>
        <c:majorTickMark val="out"/>
        <c:minorTickMark val="none"/>
        <c:tickLblPos val="nextTo"/>
        <c:crossAx val="129875968"/>
        <c:crosses val="autoZero"/>
        <c:auto val="1"/>
        <c:lblAlgn val="ctr"/>
        <c:lblOffset val="100"/>
        <c:noMultiLvlLbl val="0"/>
      </c:catAx>
      <c:valAx>
        <c:axId val="129875968"/>
        <c:scaling>
          <c:orientation val="minMax"/>
        </c:scaling>
        <c:delete val="0"/>
        <c:axPos val="l"/>
        <c:majorGridlines/>
        <c:numFmt formatCode="#,##0" sourceLinked="0"/>
        <c:majorTickMark val="out"/>
        <c:minorTickMark val="none"/>
        <c:tickLblPos val="nextTo"/>
        <c:crossAx val="130320384"/>
        <c:crosses val="autoZero"/>
        <c:crossBetween val="midCat"/>
        <c:majorUnit val="10000000"/>
      </c:valAx>
    </c:plotArea>
    <c:legend>
      <c:legendPos val="b"/>
      <c:layout>
        <c:manualLayout>
          <c:xMode val="edge"/>
          <c:yMode val="edge"/>
          <c:x val="0"/>
          <c:y val="0.86668308826189944"/>
          <c:w val="0.9675286199592944"/>
          <c:h val="0.12532265651311084"/>
        </c:manualLayout>
      </c:layout>
      <c:overlay val="0"/>
      <c:txPr>
        <a:bodyPr/>
        <a:lstStyle/>
        <a:p>
          <a:pPr>
            <a:defRPr sz="900"/>
          </a:pPr>
          <a:endParaRPr lang="nb-NO"/>
        </a:p>
      </c:txPr>
    </c:legend>
    <c:plotVisOnly val="1"/>
    <c:dispBlanksAs val="zero"/>
    <c:showDLblsOverMax val="0"/>
  </c:chart>
  <c:spPr>
    <a:ln>
      <a:solidFill>
        <a:schemeClr val="accent3">
          <a:lumMod val="40000"/>
          <a:lumOff val="6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 2.3'!$B$3</c:f>
              <c:strCache>
                <c:ptCount val="1"/>
                <c:pt idx="0">
                  <c:v>Studiepoeng per faglige årsverk</c:v>
                </c:pt>
              </c:strCache>
            </c:strRef>
          </c:tx>
          <c:invertIfNegative val="0"/>
          <c:cat>
            <c:numRef>
              <c:f>'Figur 2.3'!$A$4:$A$13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2.3'!$B$4:$B$13</c:f>
              <c:numCache>
                <c:formatCode>General</c:formatCode>
                <c:ptCount val="10"/>
                <c:pt idx="0">
                  <c:v>506.54019</c:v>
                </c:pt>
                <c:pt idx="1">
                  <c:v>509.07486</c:v>
                </c:pt>
                <c:pt idx="2">
                  <c:v>503.98104999999998</c:v>
                </c:pt>
                <c:pt idx="3">
                  <c:v>498.03924000000001</c:v>
                </c:pt>
                <c:pt idx="4">
                  <c:v>488.50135</c:v>
                </c:pt>
                <c:pt idx="5">
                  <c:v>473.89566000000002</c:v>
                </c:pt>
                <c:pt idx="6">
                  <c:v>464.80131999999998</c:v>
                </c:pt>
                <c:pt idx="7">
                  <c:v>485.58406000000002</c:v>
                </c:pt>
                <c:pt idx="8">
                  <c:v>477.40496000000002</c:v>
                </c:pt>
                <c:pt idx="9">
                  <c:v>454.50268999999997</c:v>
                </c:pt>
              </c:numCache>
            </c:numRef>
          </c:val>
          <c:extLst>
            <c:ext xmlns:c16="http://schemas.microsoft.com/office/drawing/2014/chart" uri="{C3380CC4-5D6E-409C-BE32-E72D297353CC}">
              <c16:uniqueId val="{00000000-3FA3-40C3-938A-C1BD3A74CBE7}"/>
            </c:ext>
          </c:extLst>
        </c:ser>
        <c:dLbls>
          <c:showLegendKey val="0"/>
          <c:showVal val="0"/>
          <c:showCatName val="0"/>
          <c:showSerName val="0"/>
          <c:showPercent val="0"/>
          <c:showBubbleSize val="0"/>
        </c:dLbls>
        <c:gapWidth val="150"/>
        <c:axId val="90676224"/>
        <c:axId val="101876288"/>
      </c:barChart>
      <c:catAx>
        <c:axId val="90676224"/>
        <c:scaling>
          <c:orientation val="minMax"/>
        </c:scaling>
        <c:delete val="0"/>
        <c:axPos val="b"/>
        <c:numFmt formatCode="General" sourceLinked="1"/>
        <c:majorTickMark val="none"/>
        <c:minorTickMark val="none"/>
        <c:tickLblPos val="nextTo"/>
        <c:spPr>
          <a:ln>
            <a:noFill/>
          </a:ln>
        </c:spPr>
        <c:crossAx val="101876288"/>
        <c:crosses val="autoZero"/>
        <c:auto val="1"/>
        <c:lblAlgn val="ctr"/>
        <c:lblOffset val="100"/>
        <c:noMultiLvlLbl val="0"/>
      </c:catAx>
      <c:valAx>
        <c:axId val="101876288"/>
        <c:scaling>
          <c:orientation val="minMax"/>
          <c:max val="520"/>
          <c:min val="400"/>
        </c:scaling>
        <c:delete val="0"/>
        <c:axPos val="l"/>
        <c:majorGridlines>
          <c:spPr>
            <a:ln w="9525">
              <a:solidFill>
                <a:schemeClr val="accent3">
                  <a:lumMod val="40000"/>
                  <a:lumOff val="60000"/>
                </a:schemeClr>
              </a:solidFill>
            </a:ln>
          </c:spPr>
        </c:majorGridlines>
        <c:numFmt formatCode="General" sourceLinked="1"/>
        <c:majorTickMark val="out"/>
        <c:minorTickMark val="none"/>
        <c:tickLblPos val="nextTo"/>
        <c:spPr>
          <a:ln>
            <a:noFill/>
          </a:ln>
        </c:spPr>
        <c:crossAx val="90676224"/>
        <c:crosses val="autoZero"/>
        <c:crossBetween val="between"/>
      </c:valAx>
      <c:spPr>
        <a:ln>
          <a:noFill/>
        </a:ln>
      </c:spPr>
    </c:plotArea>
    <c:plotVisOnly val="1"/>
    <c:dispBlanksAs val="gap"/>
    <c:showDLblsOverMax val="0"/>
  </c:chart>
  <c:spPr>
    <a:ln w="9525">
      <a:solidFill>
        <a:schemeClr val="accent3">
          <a:lumMod val="40000"/>
          <a:lumOff val="60000"/>
        </a:schemeClr>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'[figurer_7mars2023.xlsx]Figur 4.2'!$A$4:$A$18</c:f>
              <c:strCache>
                <c:ptCount val="15"/>
                <c:pt idx="0">
                  <c:v>DMMH</c:v>
                </c:pt>
                <c:pt idx="1">
                  <c:v>MF</c:v>
                </c:pt>
                <c:pt idx="2">
                  <c:v>LDH</c:v>
                </c:pt>
                <c:pt idx="3">
                  <c:v>FIH</c:v>
                </c:pt>
                <c:pt idx="4">
                  <c:v>ATH</c:v>
                </c:pt>
                <c:pt idx="5">
                  <c:v>NLA</c:v>
                </c:pt>
                <c:pt idx="6">
                  <c:v>HLT</c:v>
                </c:pt>
                <c:pt idx="7">
                  <c:v>VID</c:v>
                </c:pt>
                <c:pt idx="8">
                  <c:v>RS</c:v>
                </c:pt>
                <c:pt idx="9">
                  <c:v>BDM</c:v>
                </c:pt>
                <c:pt idx="10">
                  <c:v>BAS</c:v>
                </c:pt>
                <c:pt idx="11">
                  <c:v>HGUT</c:v>
                </c:pt>
                <c:pt idx="12">
                  <c:v>HK</c:v>
                </c:pt>
                <c:pt idx="13">
                  <c:v>HFDK</c:v>
                </c:pt>
                <c:pt idx="14">
                  <c:v>BI</c:v>
                </c:pt>
              </c:strCache>
            </c:strRef>
          </c:cat>
          <c:val>
            <c:numRef>
              <c:f>'[figurer_7mars2023.xlsx]Figur 4.2'!$E$4:$E$18</c:f>
              <c:numCache>
                <c:formatCode>General</c:formatCode>
                <c:ptCount val="15"/>
                <c:pt idx="0">
                  <c:v>4.9417900000000001</c:v>
                </c:pt>
                <c:pt idx="1">
                  <c:v>6.3758999999999997</c:v>
                </c:pt>
                <c:pt idx="2">
                  <c:v>7.17178</c:v>
                </c:pt>
                <c:pt idx="3">
                  <c:v>7.7235500000000004</c:v>
                </c:pt>
                <c:pt idx="4">
                  <c:v>10.418670000000001</c:v>
                </c:pt>
                <c:pt idx="5">
                  <c:v>10.95518</c:v>
                </c:pt>
                <c:pt idx="6">
                  <c:v>12.04194</c:v>
                </c:pt>
                <c:pt idx="7">
                  <c:v>14.318429999999999</c:v>
                </c:pt>
                <c:pt idx="8">
                  <c:v>21.83165</c:v>
                </c:pt>
                <c:pt idx="9">
                  <c:v>22.202059999999999</c:v>
                </c:pt>
                <c:pt idx="10">
                  <c:v>33.127650000000003</c:v>
                </c:pt>
                <c:pt idx="11">
                  <c:v>46.85</c:v>
                </c:pt>
                <c:pt idx="12">
                  <c:v>54.67633</c:v>
                </c:pt>
                <c:pt idx="13">
                  <c:v>60.142859999999999</c:v>
                </c:pt>
                <c:pt idx="14">
                  <c:v>62.981099999999998</c:v>
                </c:pt>
              </c:numCache>
            </c:numRef>
          </c:val>
          <c:extLst>
            <c:ext xmlns:c16="http://schemas.microsoft.com/office/drawing/2014/chart" uri="{C3380CC4-5D6E-409C-BE32-E72D297353CC}">
              <c16:uniqueId val="{00000000-3F31-4DE5-A625-EFCE2EB8915B}"/>
            </c:ext>
          </c:extLst>
        </c:ser>
        <c:dLbls>
          <c:showLegendKey val="0"/>
          <c:showVal val="0"/>
          <c:showCatName val="0"/>
          <c:showSerName val="0"/>
          <c:showPercent val="0"/>
          <c:showBubbleSize val="0"/>
        </c:dLbls>
        <c:gapWidth val="150"/>
        <c:axId val="128927744"/>
        <c:axId val="129878272"/>
      </c:barChart>
      <c:catAx>
        <c:axId val="128927744"/>
        <c:scaling>
          <c:orientation val="minMax"/>
        </c:scaling>
        <c:delete val="0"/>
        <c:axPos val="l"/>
        <c:numFmt formatCode="General" sourceLinked="1"/>
        <c:majorTickMark val="none"/>
        <c:minorTickMark val="none"/>
        <c:tickLblPos val="nextTo"/>
        <c:crossAx val="129878272"/>
        <c:crosses val="autoZero"/>
        <c:auto val="1"/>
        <c:lblAlgn val="ctr"/>
        <c:lblOffset val="100"/>
        <c:noMultiLvlLbl val="0"/>
      </c:catAx>
      <c:valAx>
        <c:axId val="129878272"/>
        <c:scaling>
          <c:orientation val="minMax"/>
        </c:scaling>
        <c:delete val="0"/>
        <c:axPos val="b"/>
        <c:majorGridlines>
          <c:spPr>
            <a:ln>
              <a:solidFill>
                <a:schemeClr val="bg2">
                  <a:lumMod val="75000"/>
                </a:schemeClr>
              </a:solidFill>
            </a:ln>
          </c:spPr>
        </c:majorGridlines>
        <c:numFmt formatCode="General" sourceLinked="1"/>
        <c:majorTickMark val="none"/>
        <c:minorTickMark val="none"/>
        <c:tickLblPos val="nextTo"/>
        <c:spPr>
          <a:ln>
            <a:noFill/>
          </a:ln>
        </c:spPr>
        <c:crossAx val="128927744"/>
        <c:crosses val="autoZero"/>
        <c:crossBetween val="between"/>
      </c:valAx>
    </c:plotArea>
    <c:plotVisOnly val="1"/>
    <c:dispBlanksAs val="gap"/>
    <c:showDLblsOverMax val="0"/>
  </c:chart>
  <c:spPr>
    <a:ln>
      <a:solidFill>
        <a:schemeClr val="bg2">
          <a:lumMod val="75000"/>
        </a:schemeClr>
      </a:solid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 4.3'!$A$4</c:f>
              <c:strCache>
                <c:ptCount val="1"/>
                <c:pt idx="0">
                  <c:v>Professor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4.3'!$B$4:$K$4</c:f>
              <c:numCache>
                <c:formatCode>0.0</c:formatCode>
                <c:ptCount val="10"/>
                <c:pt idx="0">
                  <c:v>3443.1169999999961</c:v>
                </c:pt>
                <c:pt idx="1">
                  <c:v>3524.8072999999968</c:v>
                </c:pt>
                <c:pt idx="2">
                  <c:v>3635.8039999999996</c:v>
                </c:pt>
                <c:pt idx="3">
                  <c:v>3758.3760199999983</c:v>
                </c:pt>
                <c:pt idx="4">
                  <c:v>3891.8800199999941</c:v>
                </c:pt>
                <c:pt idx="5">
                  <c:v>3998.0660199999984</c:v>
                </c:pt>
                <c:pt idx="6">
                  <c:v>4126.5749999999971</c:v>
                </c:pt>
                <c:pt idx="7">
                  <c:v>4291.6604999999954</c:v>
                </c:pt>
                <c:pt idx="8">
                  <c:v>4419.5177999999987</c:v>
                </c:pt>
                <c:pt idx="9">
                  <c:v>4493.5607999999938</c:v>
                </c:pt>
              </c:numCache>
            </c:numRef>
          </c:val>
          <c:smooth val="0"/>
          <c:extLst>
            <c:ext xmlns:c16="http://schemas.microsoft.com/office/drawing/2014/chart" uri="{C3380CC4-5D6E-409C-BE32-E72D297353CC}">
              <c16:uniqueId val="{00000000-F7D9-4FCB-AB45-3DB2EE954ACD}"/>
            </c:ext>
          </c:extLst>
        </c:ser>
        <c:ser>
          <c:idx val="1"/>
          <c:order val="1"/>
          <c:tx>
            <c:strRef>
              <c:f>'Figur 4.3'!$A$5</c:f>
              <c:strCache>
                <c:ptCount val="1"/>
                <c:pt idx="0">
                  <c:v>Førsteamanuensis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4.3'!$B$5:$K$5</c:f>
              <c:numCache>
                <c:formatCode>0.0</c:formatCode>
                <c:ptCount val="10"/>
                <c:pt idx="0">
                  <c:v>3504.3339999999921</c:v>
                </c:pt>
                <c:pt idx="1">
                  <c:v>3683.716299999991</c:v>
                </c:pt>
                <c:pt idx="2">
                  <c:v>3910.9250099999917</c:v>
                </c:pt>
                <c:pt idx="3">
                  <c:v>4131.6116199999842</c:v>
                </c:pt>
                <c:pt idx="4">
                  <c:v>4350.9000199999837</c:v>
                </c:pt>
                <c:pt idx="5">
                  <c:v>4602.2479199999871</c:v>
                </c:pt>
                <c:pt idx="6">
                  <c:v>4859.0649999999878</c:v>
                </c:pt>
                <c:pt idx="7">
                  <c:v>4973.0490999999893</c:v>
                </c:pt>
                <c:pt idx="8">
                  <c:v>5249.854799999981</c:v>
                </c:pt>
                <c:pt idx="9">
                  <c:v>5498.1451999999781</c:v>
                </c:pt>
              </c:numCache>
            </c:numRef>
          </c:val>
          <c:smooth val="0"/>
          <c:extLst>
            <c:ext xmlns:c16="http://schemas.microsoft.com/office/drawing/2014/chart" uri="{C3380CC4-5D6E-409C-BE32-E72D297353CC}">
              <c16:uniqueId val="{00000001-F7D9-4FCB-AB45-3DB2EE954ACD}"/>
            </c:ext>
          </c:extLst>
        </c:ser>
        <c:ser>
          <c:idx val="2"/>
          <c:order val="2"/>
          <c:tx>
            <c:strRef>
              <c:f>'Figur 4.3'!$A$6</c:f>
              <c:strCache>
                <c:ptCount val="1"/>
                <c:pt idx="0">
                  <c:v>Dosent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4.3'!$B$6:$K$6</c:f>
              <c:numCache>
                <c:formatCode>0.0</c:formatCode>
                <c:ptCount val="10"/>
                <c:pt idx="0">
                  <c:v>115.11999999999999</c:v>
                </c:pt>
                <c:pt idx="1">
                  <c:v>129.69999999999999</c:v>
                </c:pt>
                <c:pt idx="2">
                  <c:v>158.13</c:v>
                </c:pt>
                <c:pt idx="3">
                  <c:v>167.33999999999997</c:v>
                </c:pt>
                <c:pt idx="4">
                  <c:v>177.59999999999991</c:v>
                </c:pt>
                <c:pt idx="5">
                  <c:v>186.03999999999996</c:v>
                </c:pt>
                <c:pt idx="6">
                  <c:v>189.39999999999998</c:v>
                </c:pt>
                <c:pt idx="7">
                  <c:v>192.74999999999994</c:v>
                </c:pt>
                <c:pt idx="8">
                  <c:v>193.96099999999993</c:v>
                </c:pt>
                <c:pt idx="9">
                  <c:v>202.39999999999998</c:v>
                </c:pt>
              </c:numCache>
            </c:numRef>
          </c:val>
          <c:smooth val="0"/>
          <c:extLst>
            <c:ext xmlns:c16="http://schemas.microsoft.com/office/drawing/2014/chart" uri="{C3380CC4-5D6E-409C-BE32-E72D297353CC}">
              <c16:uniqueId val="{00000002-F7D9-4FCB-AB45-3DB2EE954ACD}"/>
            </c:ext>
          </c:extLst>
        </c:ser>
        <c:ser>
          <c:idx val="3"/>
          <c:order val="3"/>
          <c:tx>
            <c:strRef>
              <c:f>'Figur 4.3'!$A$7</c:f>
              <c:strCache>
                <c:ptCount val="1"/>
                <c:pt idx="0">
                  <c:v>Førstelektor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4.3'!$B$7:$K$7</c:f>
              <c:numCache>
                <c:formatCode>0.0</c:formatCode>
                <c:ptCount val="10"/>
                <c:pt idx="0">
                  <c:v>888.50000000000045</c:v>
                </c:pt>
                <c:pt idx="1">
                  <c:v>926.2200000000006</c:v>
                </c:pt>
                <c:pt idx="2">
                  <c:v>936.53100000000086</c:v>
                </c:pt>
                <c:pt idx="3">
                  <c:v>937.73500000000058</c:v>
                </c:pt>
                <c:pt idx="4">
                  <c:v>933.15840000000071</c:v>
                </c:pt>
                <c:pt idx="5">
                  <c:v>966.84200000000044</c:v>
                </c:pt>
                <c:pt idx="6">
                  <c:v>997.63800000000037</c:v>
                </c:pt>
                <c:pt idx="7">
                  <c:v>977.51700000000051</c:v>
                </c:pt>
                <c:pt idx="8">
                  <c:v>983.28070000000059</c:v>
                </c:pt>
                <c:pt idx="9">
                  <c:v>990.08260000000087</c:v>
                </c:pt>
              </c:numCache>
            </c:numRef>
          </c:val>
          <c:smooth val="0"/>
          <c:extLst>
            <c:ext xmlns:c16="http://schemas.microsoft.com/office/drawing/2014/chart" uri="{C3380CC4-5D6E-409C-BE32-E72D297353CC}">
              <c16:uniqueId val="{00000003-F7D9-4FCB-AB45-3DB2EE954ACD}"/>
            </c:ext>
          </c:extLst>
        </c:ser>
        <c:ser>
          <c:idx val="4"/>
          <c:order val="4"/>
          <c:tx>
            <c:strRef>
              <c:f>'Figur 4.3'!$A$8</c:f>
              <c:strCache>
                <c:ptCount val="1"/>
                <c:pt idx="0">
                  <c:v>Forsker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4.3'!$B$8:$K$8</c:f>
              <c:numCache>
                <c:formatCode>0.0</c:formatCode>
                <c:ptCount val="10"/>
                <c:pt idx="0">
                  <c:v>769.66350000000045</c:v>
                </c:pt>
                <c:pt idx="1">
                  <c:v>823.19670000000076</c:v>
                </c:pt>
                <c:pt idx="2">
                  <c:v>918.58</c:v>
                </c:pt>
                <c:pt idx="3">
                  <c:v>1038.6300000000006</c:v>
                </c:pt>
                <c:pt idx="4">
                  <c:v>1123.3060100000012</c:v>
                </c:pt>
                <c:pt idx="5">
                  <c:v>1175.0460000000007</c:v>
                </c:pt>
                <c:pt idx="6">
                  <c:v>1197.3099999999997</c:v>
                </c:pt>
                <c:pt idx="7">
                  <c:v>1260.3138000000006</c:v>
                </c:pt>
                <c:pt idx="8">
                  <c:v>1329.3663000000006</c:v>
                </c:pt>
                <c:pt idx="9">
                  <c:v>1335.5550000000017</c:v>
                </c:pt>
              </c:numCache>
            </c:numRef>
          </c:val>
          <c:smooth val="0"/>
          <c:extLst>
            <c:ext xmlns:c16="http://schemas.microsoft.com/office/drawing/2014/chart" uri="{C3380CC4-5D6E-409C-BE32-E72D297353CC}">
              <c16:uniqueId val="{00000004-F7D9-4FCB-AB45-3DB2EE954ACD}"/>
            </c:ext>
          </c:extLst>
        </c:ser>
        <c:ser>
          <c:idx val="5"/>
          <c:order val="5"/>
          <c:tx>
            <c:strRef>
              <c:f>'Figur 4.3'!$A$9</c:f>
              <c:strCache>
                <c:ptCount val="1"/>
                <c:pt idx="0">
                  <c:v>Postdoktor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4.3'!$B$9:$K$9</c:f>
              <c:numCache>
                <c:formatCode>0.0</c:formatCode>
                <c:ptCount val="10"/>
                <c:pt idx="0">
                  <c:v>1149.4799999999993</c:v>
                </c:pt>
                <c:pt idx="1">
                  <c:v>1291.9899999999996</c:v>
                </c:pt>
                <c:pt idx="2">
                  <c:v>1374.2830999999999</c:v>
                </c:pt>
                <c:pt idx="3">
                  <c:v>1461.037</c:v>
                </c:pt>
                <c:pt idx="4">
                  <c:v>1552.1020000000001</c:v>
                </c:pt>
                <c:pt idx="5">
                  <c:v>1554.9819999999997</c:v>
                </c:pt>
                <c:pt idx="6">
                  <c:v>1611.0716999999995</c:v>
                </c:pt>
                <c:pt idx="7">
                  <c:v>1649.5566999999994</c:v>
                </c:pt>
                <c:pt idx="8">
                  <c:v>1712.6709999999998</c:v>
                </c:pt>
                <c:pt idx="9">
                  <c:v>1817.0999999999995</c:v>
                </c:pt>
              </c:numCache>
            </c:numRef>
          </c:val>
          <c:smooth val="0"/>
          <c:extLst>
            <c:ext xmlns:c16="http://schemas.microsoft.com/office/drawing/2014/chart" uri="{C3380CC4-5D6E-409C-BE32-E72D297353CC}">
              <c16:uniqueId val="{00000005-F7D9-4FCB-AB45-3DB2EE954ACD}"/>
            </c:ext>
          </c:extLst>
        </c:ser>
        <c:ser>
          <c:idx val="6"/>
          <c:order val="6"/>
          <c:tx>
            <c:strRef>
              <c:f>'Figur 4.3'!$A$10</c:f>
              <c:strCache>
                <c:ptCount val="1"/>
                <c:pt idx="0">
                  <c:v>Professor II</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4.3'!$B$10:$K$10</c:f>
              <c:numCache>
                <c:formatCode>0.0</c:formatCode>
                <c:ptCount val="10"/>
                <c:pt idx="0">
                  <c:v>259.55000999999959</c:v>
                </c:pt>
                <c:pt idx="1">
                  <c:v>265.48999999999944</c:v>
                </c:pt>
                <c:pt idx="2">
                  <c:v>277.79999999999944</c:v>
                </c:pt>
                <c:pt idx="3">
                  <c:v>285.5825399999992</c:v>
                </c:pt>
                <c:pt idx="4">
                  <c:v>274.30254999999931</c:v>
                </c:pt>
                <c:pt idx="5">
                  <c:v>268.45002999999923</c:v>
                </c:pt>
                <c:pt idx="6">
                  <c:v>253.8309999999999</c:v>
                </c:pt>
                <c:pt idx="7">
                  <c:v>256.05099999999948</c:v>
                </c:pt>
                <c:pt idx="8">
                  <c:v>236.61499999999921</c:v>
                </c:pt>
                <c:pt idx="9">
                  <c:v>264.4299999999995</c:v>
                </c:pt>
              </c:numCache>
            </c:numRef>
          </c:val>
          <c:smooth val="0"/>
          <c:extLst>
            <c:ext xmlns:c16="http://schemas.microsoft.com/office/drawing/2014/chart" uri="{C3380CC4-5D6E-409C-BE32-E72D297353CC}">
              <c16:uniqueId val="{00000006-F7D9-4FCB-AB45-3DB2EE954ACD}"/>
            </c:ext>
          </c:extLst>
        </c:ser>
        <c:ser>
          <c:idx val="7"/>
          <c:order val="7"/>
          <c:tx>
            <c:strRef>
              <c:f>'Figur 4.3'!$A$11</c:f>
              <c:strCache>
                <c:ptCount val="1"/>
                <c:pt idx="0">
                  <c:v>Øvrige UF-stillinger</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'Figur 4.3'!$B$3:$K$3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4.3'!$B$11:$K$11</c:f>
              <c:numCache>
                <c:formatCode>0.0</c:formatCode>
                <c:ptCount val="10"/>
                <c:pt idx="0">
                  <c:v>4338.1561300000003</c:v>
                </c:pt>
                <c:pt idx="1">
                  <c:v>4302.8820999999944</c:v>
                </c:pt>
                <c:pt idx="2">
                  <c:v>4285.0526999999956</c:v>
                </c:pt>
                <c:pt idx="3">
                  <c:v>4343.8033999999907</c:v>
                </c:pt>
                <c:pt idx="4">
                  <c:v>4369.2284999999947</c:v>
                </c:pt>
                <c:pt idx="5">
                  <c:v>4433.4191999999894</c:v>
                </c:pt>
                <c:pt idx="6">
                  <c:v>4446.0291999999954</c:v>
                </c:pt>
                <c:pt idx="7">
                  <c:v>4404.0727999999935</c:v>
                </c:pt>
                <c:pt idx="8">
                  <c:v>4580.6738999999934</c:v>
                </c:pt>
                <c:pt idx="9">
                  <c:v>4661.8897999999981</c:v>
                </c:pt>
              </c:numCache>
            </c:numRef>
          </c:val>
          <c:smooth val="0"/>
          <c:extLst>
            <c:ext xmlns:c16="http://schemas.microsoft.com/office/drawing/2014/chart" uri="{C3380CC4-5D6E-409C-BE32-E72D297353CC}">
              <c16:uniqueId val="{00000007-F7D9-4FCB-AB45-3DB2EE954ACD}"/>
            </c:ext>
          </c:extLst>
        </c:ser>
        <c:dLbls>
          <c:showLegendKey val="0"/>
          <c:showVal val="0"/>
          <c:showCatName val="0"/>
          <c:showSerName val="0"/>
          <c:showPercent val="0"/>
          <c:showBubbleSize val="0"/>
        </c:dLbls>
        <c:marker val="1"/>
        <c:smooth val="0"/>
        <c:axId val="1329148624"/>
        <c:axId val="1329149040"/>
      </c:lineChart>
      <c:catAx>
        <c:axId val="1329148624"/>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9149040"/>
        <c:crosses val="autoZero"/>
        <c:auto val="1"/>
        <c:lblAlgn val="ctr"/>
        <c:lblOffset val="100"/>
        <c:noMultiLvlLbl val="0"/>
      </c:catAx>
      <c:valAx>
        <c:axId val="132914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91486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'Figur 4.4'!$B$3</c:f>
              <c:strCache>
                <c:ptCount val="1"/>
                <c:pt idx="0">
                  <c:v>Førstestillinger</c:v>
                </c:pt>
              </c:strCache>
            </c:strRef>
          </c:tx>
          <c:invertIfNegative val="0"/>
          <c:cat>
            <c:strRef>
              <c:f>'Figur 4.4'!$A$4:$A$39</c:f>
              <c:strCache>
                <c:ptCount val="36"/>
                <c:pt idx="0">
                  <c:v>LDH</c:v>
                </c:pt>
                <c:pt idx="1">
                  <c:v>ATH</c:v>
                </c:pt>
                <c:pt idx="2">
                  <c:v>RS</c:v>
                </c:pt>
                <c:pt idx="3">
                  <c:v>BDM</c:v>
                </c:pt>
                <c:pt idx="4">
                  <c:v>HVO</c:v>
                </c:pt>
                <c:pt idx="5">
                  <c:v>DMMH</c:v>
                </c:pt>
                <c:pt idx="6">
                  <c:v>HLT</c:v>
                </c:pt>
                <c:pt idx="7">
                  <c:v>NLA</c:v>
                </c:pt>
                <c:pt idx="8">
                  <c:v>HK</c:v>
                </c:pt>
                <c:pt idx="9">
                  <c:v>VID</c:v>
                </c:pt>
                <c:pt idx="10">
                  <c:v>HVL</c:v>
                </c:pt>
                <c:pt idx="11">
                  <c:v>HiM</c:v>
                </c:pt>
                <c:pt idx="12">
                  <c:v>SH</c:v>
                </c:pt>
                <c:pt idx="13">
                  <c:v>HiØ</c:v>
                </c:pt>
                <c:pt idx="14">
                  <c:v>AHO</c:v>
                </c:pt>
                <c:pt idx="15">
                  <c:v>NU</c:v>
                </c:pt>
                <c:pt idx="16">
                  <c:v>HINN</c:v>
                </c:pt>
                <c:pt idx="17">
                  <c:v>USN</c:v>
                </c:pt>
                <c:pt idx="18">
                  <c:v>OsloMet</c:v>
                </c:pt>
                <c:pt idx="19">
                  <c:v>HGUT</c:v>
                </c:pt>
                <c:pt idx="20">
                  <c:v>UiT</c:v>
                </c:pt>
                <c:pt idx="21">
                  <c:v>UiA</c:v>
                </c:pt>
                <c:pt idx="22">
                  <c:v>FIH</c:v>
                </c:pt>
                <c:pt idx="23">
                  <c:v>KHiO</c:v>
                </c:pt>
                <c:pt idx="24">
                  <c:v>UiS</c:v>
                </c:pt>
                <c:pt idx="25">
                  <c:v>NMH</c:v>
                </c:pt>
                <c:pt idx="26">
                  <c:v>NTNU</c:v>
                </c:pt>
                <c:pt idx="27">
                  <c:v>BI</c:v>
                </c:pt>
                <c:pt idx="28">
                  <c:v>NIH</c:v>
                </c:pt>
                <c:pt idx="29">
                  <c:v>BAS</c:v>
                </c:pt>
                <c:pt idx="30">
                  <c:v>NMBU</c:v>
                </c:pt>
                <c:pt idx="31">
                  <c:v>UiO</c:v>
                </c:pt>
                <c:pt idx="32">
                  <c:v>UiB</c:v>
                </c:pt>
                <c:pt idx="33">
                  <c:v>MF</c:v>
                </c:pt>
                <c:pt idx="34">
                  <c:v>NHH</c:v>
                </c:pt>
                <c:pt idx="35">
                  <c:v>HFDK</c:v>
                </c:pt>
              </c:strCache>
            </c:strRef>
          </c:cat>
          <c:val>
            <c:numRef>
              <c:f>'Figur 4.4'!$B$4:$B$39</c:f>
              <c:numCache>
                <c:formatCode>0.0000000</c:formatCode>
                <c:ptCount val="36"/>
                <c:pt idx="0">
                  <c:v>0.34861999999999999</c:v>
                </c:pt>
                <c:pt idx="1">
                  <c:v>0.45084999999999997</c:v>
                </c:pt>
                <c:pt idx="2">
                  <c:v>0.45252999999999999</c:v>
                </c:pt>
                <c:pt idx="3">
                  <c:v>0.47905999999999999</c:v>
                </c:pt>
                <c:pt idx="4">
                  <c:v>0.49119000000000002</c:v>
                </c:pt>
                <c:pt idx="5">
                  <c:v>0.52270000000000005</c:v>
                </c:pt>
                <c:pt idx="6">
                  <c:v>0.53981999999999997</c:v>
                </c:pt>
                <c:pt idx="7">
                  <c:v>0.54659999999999997</c:v>
                </c:pt>
                <c:pt idx="8">
                  <c:v>0.55515000000000003</c:v>
                </c:pt>
                <c:pt idx="9">
                  <c:v>0.59038999999999997</c:v>
                </c:pt>
                <c:pt idx="10">
                  <c:v>0.59408000000000005</c:v>
                </c:pt>
                <c:pt idx="11">
                  <c:v>0.60424999999999995</c:v>
                </c:pt>
                <c:pt idx="12">
                  <c:v>0.60640000000000005</c:v>
                </c:pt>
                <c:pt idx="13">
                  <c:v>0.60877000000000003</c:v>
                </c:pt>
                <c:pt idx="14">
                  <c:v>0.62</c:v>
                </c:pt>
                <c:pt idx="15">
                  <c:v>0.62539999999999996</c:v>
                </c:pt>
                <c:pt idx="16">
                  <c:v>0.6502</c:v>
                </c:pt>
                <c:pt idx="17">
                  <c:v>0.65544999999999998</c:v>
                </c:pt>
                <c:pt idx="18">
                  <c:v>0.70345999999999997</c:v>
                </c:pt>
                <c:pt idx="19">
                  <c:v>0.71428999999999998</c:v>
                </c:pt>
                <c:pt idx="20">
                  <c:v>0.72155000000000002</c:v>
                </c:pt>
                <c:pt idx="21">
                  <c:v>0.72713000000000005</c:v>
                </c:pt>
                <c:pt idx="22">
                  <c:v>0.74414999999999998</c:v>
                </c:pt>
                <c:pt idx="23">
                  <c:v>0.75695999999999997</c:v>
                </c:pt>
                <c:pt idx="24">
                  <c:v>0.78527999999999998</c:v>
                </c:pt>
                <c:pt idx="25">
                  <c:v>0.78793000000000002</c:v>
                </c:pt>
                <c:pt idx="26">
                  <c:v>0.79200999999999999</c:v>
                </c:pt>
                <c:pt idx="27">
                  <c:v>0.85560999999999998</c:v>
                </c:pt>
                <c:pt idx="28">
                  <c:v>0.86082000000000003</c:v>
                </c:pt>
                <c:pt idx="29">
                  <c:v>0.89510000000000001</c:v>
                </c:pt>
                <c:pt idx="30">
                  <c:v>0.89778000000000002</c:v>
                </c:pt>
                <c:pt idx="31">
                  <c:v>0.90634999999999999</c:v>
                </c:pt>
                <c:pt idx="32">
                  <c:v>0.90839999999999999</c:v>
                </c:pt>
                <c:pt idx="33">
                  <c:v>0.91198999999999997</c:v>
                </c:pt>
                <c:pt idx="34">
                  <c:v>0.93789</c:v>
                </c:pt>
                <c:pt idx="35">
                  <c:v>0.93820000000000003</c:v>
                </c:pt>
              </c:numCache>
            </c:numRef>
          </c:val>
          <c:extLst>
            <c:ext xmlns:c16="http://schemas.microsoft.com/office/drawing/2014/chart" uri="{C3380CC4-5D6E-409C-BE32-E72D297353CC}">
              <c16:uniqueId val="{00000000-C67E-4D81-82EF-337684FDD44A}"/>
            </c:ext>
          </c:extLst>
        </c:ser>
        <c:ser>
          <c:idx val="1"/>
          <c:order val="1"/>
          <c:tx>
            <c:strRef>
              <c:f>'Figur 4.4'!$C$3</c:f>
              <c:strCache>
                <c:ptCount val="1"/>
                <c:pt idx="0">
                  <c:v>Øvrige UF-stillinger</c:v>
                </c:pt>
              </c:strCache>
            </c:strRef>
          </c:tx>
          <c:invertIfNegative val="0"/>
          <c:cat>
            <c:strRef>
              <c:f>'Figur 4.4'!$A$4:$A$39</c:f>
              <c:strCache>
                <c:ptCount val="36"/>
                <c:pt idx="0">
                  <c:v>LDH</c:v>
                </c:pt>
                <c:pt idx="1">
                  <c:v>ATH</c:v>
                </c:pt>
                <c:pt idx="2">
                  <c:v>RS</c:v>
                </c:pt>
                <c:pt idx="3">
                  <c:v>BDM</c:v>
                </c:pt>
                <c:pt idx="4">
                  <c:v>HVO</c:v>
                </c:pt>
                <c:pt idx="5">
                  <c:v>DMMH</c:v>
                </c:pt>
                <c:pt idx="6">
                  <c:v>HLT</c:v>
                </c:pt>
                <c:pt idx="7">
                  <c:v>NLA</c:v>
                </c:pt>
                <c:pt idx="8">
                  <c:v>HK</c:v>
                </c:pt>
                <c:pt idx="9">
                  <c:v>VID</c:v>
                </c:pt>
                <c:pt idx="10">
                  <c:v>HVL</c:v>
                </c:pt>
                <c:pt idx="11">
                  <c:v>HiM</c:v>
                </c:pt>
                <c:pt idx="12">
                  <c:v>SH</c:v>
                </c:pt>
                <c:pt idx="13">
                  <c:v>HiØ</c:v>
                </c:pt>
                <c:pt idx="14">
                  <c:v>AHO</c:v>
                </c:pt>
                <c:pt idx="15">
                  <c:v>NU</c:v>
                </c:pt>
                <c:pt idx="16">
                  <c:v>HINN</c:v>
                </c:pt>
                <c:pt idx="17">
                  <c:v>USN</c:v>
                </c:pt>
                <c:pt idx="18">
                  <c:v>OsloMet</c:v>
                </c:pt>
                <c:pt idx="19">
                  <c:v>HGUT</c:v>
                </c:pt>
                <c:pt idx="20">
                  <c:v>UiT</c:v>
                </c:pt>
                <c:pt idx="21">
                  <c:v>UiA</c:v>
                </c:pt>
                <c:pt idx="22">
                  <c:v>FIH</c:v>
                </c:pt>
                <c:pt idx="23">
                  <c:v>KHiO</c:v>
                </c:pt>
                <c:pt idx="24">
                  <c:v>UiS</c:v>
                </c:pt>
                <c:pt idx="25">
                  <c:v>NMH</c:v>
                </c:pt>
                <c:pt idx="26">
                  <c:v>NTNU</c:v>
                </c:pt>
                <c:pt idx="27">
                  <c:v>BI</c:v>
                </c:pt>
                <c:pt idx="28">
                  <c:v>NIH</c:v>
                </c:pt>
                <c:pt idx="29">
                  <c:v>BAS</c:v>
                </c:pt>
                <c:pt idx="30">
                  <c:v>NMBU</c:v>
                </c:pt>
                <c:pt idx="31">
                  <c:v>UiO</c:v>
                </c:pt>
                <c:pt idx="32">
                  <c:v>UiB</c:v>
                </c:pt>
                <c:pt idx="33">
                  <c:v>MF</c:v>
                </c:pt>
                <c:pt idx="34">
                  <c:v>NHH</c:v>
                </c:pt>
                <c:pt idx="35">
                  <c:v>HFDK</c:v>
                </c:pt>
              </c:strCache>
            </c:strRef>
          </c:cat>
          <c:val>
            <c:numRef>
              <c:f>'Figur 4.4'!$C$4:$C$39</c:f>
              <c:numCache>
                <c:formatCode>0.0000000</c:formatCode>
                <c:ptCount val="36"/>
                <c:pt idx="0">
                  <c:v>0.65137999999999996</c:v>
                </c:pt>
                <c:pt idx="1">
                  <c:v>0.54915000000000003</c:v>
                </c:pt>
                <c:pt idx="2">
                  <c:v>0.54747000000000001</c:v>
                </c:pt>
                <c:pt idx="3">
                  <c:v>0.52093999999999996</c:v>
                </c:pt>
                <c:pt idx="4">
                  <c:v>0.50880999999999998</c:v>
                </c:pt>
                <c:pt idx="5">
                  <c:v>0.4773</c:v>
                </c:pt>
                <c:pt idx="6">
                  <c:v>0.46017999999999998</c:v>
                </c:pt>
                <c:pt idx="7">
                  <c:v>0.45340000000000003</c:v>
                </c:pt>
                <c:pt idx="8">
                  <c:v>0.44485000000000002</c:v>
                </c:pt>
                <c:pt idx="9">
                  <c:v>0.40960999999999997</c:v>
                </c:pt>
                <c:pt idx="10">
                  <c:v>0.40592</c:v>
                </c:pt>
                <c:pt idx="11">
                  <c:v>0.39574999999999999</c:v>
                </c:pt>
                <c:pt idx="12">
                  <c:v>0.39360000000000001</c:v>
                </c:pt>
                <c:pt idx="13">
                  <c:v>0.39123000000000002</c:v>
                </c:pt>
                <c:pt idx="14">
                  <c:v>0.38</c:v>
                </c:pt>
                <c:pt idx="15">
                  <c:v>0.37459999999999999</c:v>
                </c:pt>
                <c:pt idx="16">
                  <c:v>0.3498</c:v>
                </c:pt>
                <c:pt idx="17">
                  <c:v>0.34455000000000002</c:v>
                </c:pt>
                <c:pt idx="18">
                  <c:v>0.29654000000000003</c:v>
                </c:pt>
                <c:pt idx="19">
                  <c:v>0.28571000000000002</c:v>
                </c:pt>
                <c:pt idx="20">
                  <c:v>0.27844999999999998</c:v>
                </c:pt>
                <c:pt idx="21">
                  <c:v>0.27287</c:v>
                </c:pt>
                <c:pt idx="22">
                  <c:v>0.25585000000000002</c:v>
                </c:pt>
                <c:pt idx="23">
                  <c:v>0.24304000000000001</c:v>
                </c:pt>
                <c:pt idx="24">
                  <c:v>0.21471999999999999</c:v>
                </c:pt>
                <c:pt idx="25">
                  <c:v>0.21207000000000001</c:v>
                </c:pt>
                <c:pt idx="26">
                  <c:v>0.20799000000000001</c:v>
                </c:pt>
                <c:pt idx="27">
                  <c:v>0.14438999999999999</c:v>
                </c:pt>
                <c:pt idx="28">
                  <c:v>0.13918</c:v>
                </c:pt>
                <c:pt idx="29">
                  <c:v>0.10489999999999999</c:v>
                </c:pt>
                <c:pt idx="30">
                  <c:v>0.10222000000000001</c:v>
                </c:pt>
                <c:pt idx="31">
                  <c:v>9.3649999999999997E-2</c:v>
                </c:pt>
                <c:pt idx="32">
                  <c:v>9.1600000000000001E-2</c:v>
                </c:pt>
                <c:pt idx="33">
                  <c:v>8.8010000000000005E-2</c:v>
                </c:pt>
                <c:pt idx="34">
                  <c:v>6.2109999999999999E-2</c:v>
                </c:pt>
                <c:pt idx="35">
                  <c:v>6.1800000000000001E-2</c:v>
                </c:pt>
              </c:numCache>
            </c:numRef>
          </c:val>
          <c:extLst>
            <c:ext xmlns:c16="http://schemas.microsoft.com/office/drawing/2014/chart" uri="{C3380CC4-5D6E-409C-BE32-E72D297353CC}">
              <c16:uniqueId val="{00000001-C67E-4D81-82EF-337684FDD44A}"/>
            </c:ext>
          </c:extLst>
        </c:ser>
        <c:dLbls>
          <c:showLegendKey val="0"/>
          <c:showVal val="0"/>
          <c:showCatName val="0"/>
          <c:showSerName val="0"/>
          <c:showPercent val="0"/>
          <c:showBubbleSize val="0"/>
        </c:dLbls>
        <c:gapWidth val="150"/>
        <c:overlap val="100"/>
        <c:axId val="130416640"/>
        <c:axId val="129882880"/>
      </c:barChart>
      <c:catAx>
        <c:axId val="130416640"/>
        <c:scaling>
          <c:orientation val="minMax"/>
        </c:scaling>
        <c:delete val="0"/>
        <c:axPos val="l"/>
        <c:numFmt formatCode="General" sourceLinked="1"/>
        <c:majorTickMark val="none"/>
        <c:minorTickMark val="none"/>
        <c:tickLblPos val="nextTo"/>
        <c:crossAx val="129882880"/>
        <c:crosses val="autoZero"/>
        <c:auto val="1"/>
        <c:lblAlgn val="ctr"/>
        <c:lblOffset val="100"/>
        <c:noMultiLvlLbl val="0"/>
      </c:catAx>
      <c:valAx>
        <c:axId val="129882880"/>
        <c:scaling>
          <c:orientation val="minMax"/>
        </c:scaling>
        <c:delete val="0"/>
        <c:axPos val="b"/>
        <c:majorGridlines/>
        <c:numFmt formatCode="0%" sourceLinked="1"/>
        <c:majorTickMark val="out"/>
        <c:minorTickMark val="none"/>
        <c:tickLblPos val="nextTo"/>
        <c:crossAx val="130416640"/>
        <c:crosses val="autoZero"/>
        <c:crossBetween val="between"/>
      </c:valAx>
    </c:plotArea>
    <c:legend>
      <c:legendPos val="b"/>
      <c:overlay val="0"/>
    </c:legend>
    <c:plotVisOnly val="1"/>
    <c:dispBlanksAs val="gap"/>
    <c:showDLblsOverMax val="0"/>
  </c:chart>
  <c:spPr>
    <a:ln>
      <a:solidFill>
        <a:schemeClr val="accent3">
          <a:lumMod val="40000"/>
          <a:lumOff val="60000"/>
        </a:schemeClr>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7"/>
            <c:invertIfNegative val="0"/>
            <c:bubble3D val="0"/>
            <c:spPr>
              <a:solidFill>
                <a:schemeClr val="accent2"/>
              </a:solidFill>
              <a:ln>
                <a:noFill/>
              </a:ln>
              <a:effectLst/>
            </c:spPr>
            <c:extLst>
              <c:ext xmlns:c16="http://schemas.microsoft.com/office/drawing/2014/chart" uri="{C3380CC4-5D6E-409C-BE32-E72D297353CC}">
                <c16:uniqueId val="{00000001-7859-4879-932C-A5B086D7F1C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 4.5'!$A$4:$B$41</c:f>
              <c:multiLvlStrCache>
                <c:ptCount val="38"/>
                <c:lvl>
                  <c:pt idx="0">
                    <c:v>SH</c:v>
                  </c:pt>
                  <c:pt idx="1">
                    <c:v>BDM</c:v>
                  </c:pt>
                  <c:pt idx="2">
                    <c:v>HK</c:v>
                  </c:pt>
                  <c:pt idx="3">
                    <c:v>HLT</c:v>
                  </c:pt>
                  <c:pt idx="4">
                    <c:v>BAS</c:v>
                  </c:pt>
                  <c:pt idx="5">
                    <c:v>LDH</c:v>
                  </c:pt>
                  <c:pt idx="6">
                    <c:v>NLA</c:v>
                  </c:pt>
                  <c:pt idx="7">
                    <c:v>HINN</c:v>
                  </c:pt>
                  <c:pt idx="8">
                    <c:v>HVO</c:v>
                  </c:pt>
                  <c:pt idx="9">
                    <c:v>FIH</c:v>
                  </c:pt>
                  <c:pt idx="10">
                    <c:v>HVL</c:v>
                  </c:pt>
                  <c:pt idx="11">
                    <c:v>DMMH</c:v>
                  </c:pt>
                  <c:pt idx="12">
                    <c:v>ATH</c:v>
                  </c:pt>
                  <c:pt idx="13">
                    <c:v>HiØ</c:v>
                  </c:pt>
                  <c:pt idx="14">
                    <c:v>HFDK</c:v>
                  </c:pt>
                  <c:pt idx="15">
                    <c:v>HGUT</c:v>
                  </c:pt>
                  <c:pt idx="16">
                    <c:v>RS</c:v>
                  </c:pt>
                  <c:pt idx="17">
                    <c:v>BI</c:v>
                  </c:pt>
                  <c:pt idx="18">
                    <c:v>KHiO</c:v>
                  </c:pt>
                  <c:pt idx="19">
                    <c:v>NHH</c:v>
                  </c:pt>
                  <c:pt idx="20">
                    <c:v>NIH</c:v>
                  </c:pt>
                  <c:pt idx="21">
                    <c:v>AHO</c:v>
                  </c:pt>
                  <c:pt idx="22">
                    <c:v>VID</c:v>
                  </c:pt>
                  <c:pt idx="23">
                    <c:v>NMH</c:v>
                  </c:pt>
                  <c:pt idx="24">
                    <c:v>MF</c:v>
                  </c:pt>
                  <c:pt idx="25">
                    <c:v>HiM</c:v>
                  </c:pt>
                  <c:pt idx="26">
                    <c:v>OsloMet</c:v>
                  </c:pt>
                  <c:pt idx="27">
                    <c:v>UiO</c:v>
                  </c:pt>
                  <c:pt idx="28">
                    <c:v>UiA</c:v>
                  </c:pt>
                  <c:pt idx="29">
                    <c:v>NU</c:v>
                  </c:pt>
                  <c:pt idx="30">
                    <c:v>UiB</c:v>
                  </c:pt>
                  <c:pt idx="31">
                    <c:v>UiS</c:v>
                  </c:pt>
                  <c:pt idx="32">
                    <c:v>NMBU</c:v>
                  </c:pt>
                  <c:pt idx="33">
                    <c:v>UiT</c:v>
                  </c:pt>
                  <c:pt idx="34">
                    <c:v>USN</c:v>
                  </c:pt>
                  <c:pt idx="35">
                    <c:v>NTNU</c:v>
                  </c:pt>
                  <c:pt idx="37">
                    <c:v>Gjennomsnitt</c:v>
                  </c:pt>
                </c:lvl>
                <c:lvl>
                  <c:pt idx="0">
                    <c:v>Høyskoler</c:v>
                  </c:pt>
                  <c:pt idx="17">
                    <c:v>Vitenskapelige høyskoler</c:v>
                  </c:pt>
                  <c:pt idx="26">
                    <c:v>Universiteter</c:v>
                  </c:pt>
                  <c:pt idx="36">
                    <c:v>    </c:v>
                  </c:pt>
                </c:lvl>
              </c:multiLvlStrCache>
            </c:multiLvlStrRef>
          </c:cat>
          <c:val>
            <c:numRef>
              <c:f>'Figur 4.5'!$E$4:$E$41</c:f>
              <c:numCache>
                <c:formatCode>General</c:formatCode>
                <c:ptCount val="38"/>
                <c:pt idx="0">
                  <c:v>0.88221000000000005</c:v>
                </c:pt>
                <c:pt idx="1">
                  <c:v>1.3624000000000001</c:v>
                </c:pt>
                <c:pt idx="2">
                  <c:v>1.5322</c:v>
                </c:pt>
                <c:pt idx="3">
                  <c:v>2.11321</c:v>
                </c:pt>
                <c:pt idx="4">
                  <c:v>2.1625000000000001</c:v>
                </c:pt>
                <c:pt idx="5">
                  <c:v>2.44096</c:v>
                </c:pt>
                <c:pt idx="6">
                  <c:v>2.49553</c:v>
                </c:pt>
                <c:pt idx="7">
                  <c:v>2.7185299999999999</c:v>
                </c:pt>
                <c:pt idx="8">
                  <c:v>2.7773400000000001</c:v>
                </c:pt>
                <c:pt idx="9">
                  <c:v>3.0396200000000002</c:v>
                </c:pt>
                <c:pt idx="10">
                  <c:v>3.06073</c:v>
                </c:pt>
                <c:pt idx="11">
                  <c:v>3.10825</c:v>
                </c:pt>
                <c:pt idx="12">
                  <c:v>3.1998500000000001</c:v>
                </c:pt>
                <c:pt idx="13">
                  <c:v>3.2587000000000002</c:v>
                </c:pt>
                <c:pt idx="14">
                  <c:v>3.56</c:v>
                </c:pt>
                <c:pt idx="15">
                  <c:v>4.2</c:v>
                </c:pt>
                <c:pt idx="16">
                  <c:v>4.2</c:v>
                </c:pt>
                <c:pt idx="17">
                  <c:v>0.77442</c:v>
                </c:pt>
                <c:pt idx="18">
                  <c:v>1.6868000000000001</c:v>
                </c:pt>
                <c:pt idx="19">
                  <c:v>2.0581399999999999</c:v>
                </c:pt>
                <c:pt idx="20">
                  <c:v>2.62723</c:v>
                </c:pt>
                <c:pt idx="21">
                  <c:v>2.7128399999999999</c:v>
                </c:pt>
                <c:pt idx="22">
                  <c:v>2.7226599999999999</c:v>
                </c:pt>
                <c:pt idx="23">
                  <c:v>2.7533699999999999</c:v>
                </c:pt>
                <c:pt idx="24">
                  <c:v>2.7784200000000001</c:v>
                </c:pt>
                <c:pt idx="25">
                  <c:v>3.1278100000000002</c:v>
                </c:pt>
                <c:pt idx="26">
                  <c:v>2.3237399999999999</c:v>
                </c:pt>
                <c:pt idx="27">
                  <c:v>2.3465799999999999</c:v>
                </c:pt>
                <c:pt idx="28">
                  <c:v>2.47193</c:v>
                </c:pt>
                <c:pt idx="29">
                  <c:v>2.4781399999999998</c:v>
                </c:pt>
                <c:pt idx="30">
                  <c:v>2.6261100000000002</c:v>
                </c:pt>
                <c:pt idx="31">
                  <c:v>2.7159</c:v>
                </c:pt>
                <c:pt idx="32">
                  <c:v>2.8418000000000001</c:v>
                </c:pt>
                <c:pt idx="33">
                  <c:v>2.8593899999999999</c:v>
                </c:pt>
                <c:pt idx="34">
                  <c:v>3.0625800000000001</c:v>
                </c:pt>
                <c:pt idx="35">
                  <c:v>3.3559600000000001</c:v>
                </c:pt>
                <c:pt idx="37">
                  <c:v>2.60276</c:v>
                </c:pt>
              </c:numCache>
            </c:numRef>
          </c:val>
          <c:extLst>
            <c:ext xmlns:c16="http://schemas.microsoft.com/office/drawing/2014/chart" uri="{C3380CC4-5D6E-409C-BE32-E72D297353CC}">
              <c16:uniqueId val="{00000002-7859-4879-932C-A5B086D7F1CE}"/>
            </c:ext>
          </c:extLst>
        </c:ser>
        <c:dLbls>
          <c:showLegendKey val="0"/>
          <c:showVal val="0"/>
          <c:showCatName val="0"/>
          <c:showSerName val="0"/>
          <c:showPercent val="0"/>
          <c:showBubbleSize val="0"/>
        </c:dLbls>
        <c:gapWidth val="182"/>
        <c:axId val="1371579088"/>
        <c:axId val="1371579920"/>
      </c:barChart>
      <c:catAx>
        <c:axId val="1371579088"/>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920"/>
        <c:crosses val="autoZero"/>
        <c:auto val="1"/>
        <c:lblAlgn val="ctr"/>
        <c:lblOffset val="100"/>
        <c:noMultiLvlLbl val="0"/>
      </c:catAx>
      <c:valAx>
        <c:axId val="1371579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 4.6'!$A$4</c:f>
              <c:strCache>
                <c:ptCount val="1"/>
                <c:pt idx="0">
                  <c:v>Dosent- og professorstillinger</c:v>
                </c:pt>
              </c:strCache>
            </c:strRef>
          </c:tx>
          <c:spPr>
            <a:solidFill>
              <a:schemeClr val="accent1"/>
            </a:solidFill>
            <a:ln>
              <a:noFill/>
            </a:ln>
            <a:effectLst/>
          </c:spPr>
          <c:invertIfNegative val="0"/>
          <c:dLbls>
            <c:delete val="1"/>
          </c:dLbls>
          <c:cat>
            <c:numRef>
              <c:f>'Figur 4.6'!$B$3:$K$3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4.6'!$B$4:$K$4</c:f>
              <c:numCache>
                <c:formatCode>General</c:formatCode>
                <c:ptCount val="10"/>
                <c:pt idx="0">
                  <c:v>0.25392999999999999</c:v>
                </c:pt>
                <c:pt idx="1">
                  <c:v>0.26499</c:v>
                </c:pt>
                <c:pt idx="2">
                  <c:v>0.27266000000000001</c:v>
                </c:pt>
                <c:pt idx="3">
                  <c:v>0.28171000000000002</c:v>
                </c:pt>
                <c:pt idx="4">
                  <c:v>0.29538999999999999</c:v>
                </c:pt>
                <c:pt idx="5">
                  <c:v>0.31108000000000002</c:v>
                </c:pt>
                <c:pt idx="6">
                  <c:v>0.32232</c:v>
                </c:pt>
                <c:pt idx="7">
                  <c:v>0.33545999999999998</c:v>
                </c:pt>
                <c:pt idx="8">
                  <c:v>0.34691</c:v>
                </c:pt>
                <c:pt idx="9">
                  <c:v>0.36170000000000002</c:v>
                </c:pt>
              </c:numCache>
            </c:numRef>
          </c:val>
          <c:extLst>
            <c:ext xmlns:c16="http://schemas.microsoft.com/office/drawing/2014/chart" uri="{C3380CC4-5D6E-409C-BE32-E72D297353CC}">
              <c16:uniqueId val="{00000000-9BC1-4C7D-8244-C1A6E74EF409}"/>
            </c:ext>
          </c:extLst>
        </c:ser>
        <c:dLbls>
          <c:dLblPos val="outEnd"/>
          <c:showLegendKey val="0"/>
          <c:showVal val="1"/>
          <c:showCatName val="0"/>
          <c:showSerName val="0"/>
          <c:showPercent val="0"/>
          <c:showBubbleSize val="0"/>
        </c:dLbls>
        <c:gapWidth val="124"/>
        <c:axId val="1371575344"/>
        <c:axId val="1371558704"/>
      </c:barChart>
      <c:catAx>
        <c:axId val="137157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1371558704"/>
        <c:crosses val="autoZero"/>
        <c:auto val="1"/>
        <c:lblAlgn val="ctr"/>
        <c:lblOffset val="100"/>
        <c:noMultiLvlLbl val="0"/>
      </c:catAx>
      <c:valAx>
        <c:axId val="1371558704"/>
        <c:scaling>
          <c:orientation val="minMax"/>
        </c:scaling>
        <c:delete val="0"/>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137157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 4.7'!$A$4</c:f>
              <c:strCache>
                <c:ptCount val="1"/>
                <c:pt idx="0">
                  <c:v>Undervisnings- og forskerstillinger</c:v>
                </c:pt>
              </c:strCache>
            </c:strRef>
          </c:tx>
          <c:spPr>
            <a:ln w="31750"/>
          </c:spPr>
          <c:marker>
            <c:symbol val="circle"/>
            <c:size val="7"/>
          </c:marker>
          <c:cat>
            <c:numRef>
              <c:f>'Figur 4.7'!$B$3:$H$3</c:f>
              <c:numCache>
                <c:formatCode>General</c:formatCode>
                <c:ptCount val="7"/>
                <c:pt idx="0">
                  <c:v>2016</c:v>
                </c:pt>
                <c:pt idx="1">
                  <c:v>2017</c:v>
                </c:pt>
                <c:pt idx="2">
                  <c:v>2018</c:v>
                </c:pt>
                <c:pt idx="3">
                  <c:v>2019</c:v>
                </c:pt>
                <c:pt idx="4">
                  <c:v>2020</c:v>
                </c:pt>
                <c:pt idx="5">
                  <c:v>2021</c:v>
                </c:pt>
                <c:pt idx="6">
                  <c:v>2022</c:v>
                </c:pt>
              </c:numCache>
            </c:numRef>
          </c:cat>
          <c:val>
            <c:numRef>
              <c:f>'Figur 4.7'!$B$4:$H$4</c:f>
              <c:numCache>
                <c:formatCode>General</c:formatCode>
                <c:ptCount val="7"/>
                <c:pt idx="0">
                  <c:v>0.16838</c:v>
                </c:pt>
                <c:pt idx="1">
                  <c:v>0.1658</c:v>
                </c:pt>
                <c:pt idx="2">
                  <c:v>0.16349</c:v>
                </c:pt>
                <c:pt idx="3">
                  <c:v>0.15010999999999999</c:v>
                </c:pt>
                <c:pt idx="4">
                  <c:v>0.12587000000000001</c:v>
                </c:pt>
                <c:pt idx="5">
                  <c:v>0.12926000000000001</c:v>
                </c:pt>
                <c:pt idx="6">
                  <c:v>0.11777</c:v>
                </c:pt>
              </c:numCache>
            </c:numRef>
          </c:val>
          <c:smooth val="0"/>
          <c:extLst>
            <c:ext xmlns:c16="http://schemas.microsoft.com/office/drawing/2014/chart" uri="{C3380CC4-5D6E-409C-BE32-E72D297353CC}">
              <c16:uniqueId val="{00000000-74D0-4B02-A653-D3A2A97F4ADD}"/>
            </c:ext>
          </c:extLst>
        </c:ser>
        <c:ser>
          <c:idx val="1"/>
          <c:order val="1"/>
          <c:tx>
            <c:strRef>
              <c:f>'Figur 4.7'!$A$5</c:f>
              <c:strCache>
                <c:ptCount val="1"/>
                <c:pt idx="0">
                  <c:v>Administrative stillinger</c:v>
                </c:pt>
              </c:strCache>
            </c:strRef>
          </c:tx>
          <c:spPr>
            <a:ln w="31750"/>
          </c:spPr>
          <c:marker>
            <c:symbol val="circle"/>
            <c:size val="7"/>
          </c:marker>
          <c:cat>
            <c:numRef>
              <c:f>'Figur 4.7'!$B$3:$H$3</c:f>
              <c:numCache>
                <c:formatCode>General</c:formatCode>
                <c:ptCount val="7"/>
                <c:pt idx="0">
                  <c:v>2016</c:v>
                </c:pt>
                <c:pt idx="1">
                  <c:v>2017</c:v>
                </c:pt>
                <c:pt idx="2">
                  <c:v>2018</c:v>
                </c:pt>
                <c:pt idx="3">
                  <c:v>2019</c:v>
                </c:pt>
                <c:pt idx="4">
                  <c:v>2020</c:v>
                </c:pt>
                <c:pt idx="5">
                  <c:v>2021</c:v>
                </c:pt>
                <c:pt idx="6">
                  <c:v>2022</c:v>
                </c:pt>
              </c:numCache>
            </c:numRef>
          </c:cat>
          <c:val>
            <c:numRef>
              <c:f>'Figur 4.7'!$B$5:$H$5</c:f>
              <c:numCache>
                <c:formatCode>General</c:formatCode>
                <c:ptCount val="7"/>
                <c:pt idx="0">
                  <c:v>0.14019000000000001</c:v>
                </c:pt>
                <c:pt idx="1">
                  <c:v>0.13111999999999999</c:v>
                </c:pt>
                <c:pt idx="2">
                  <c:v>0.12631999999999999</c:v>
                </c:pt>
                <c:pt idx="3">
                  <c:v>0.12014</c:v>
                </c:pt>
                <c:pt idx="4">
                  <c:v>0.10308</c:v>
                </c:pt>
                <c:pt idx="5">
                  <c:v>0.10496</c:v>
                </c:pt>
                <c:pt idx="6">
                  <c:v>9.8280000000000006E-2</c:v>
                </c:pt>
              </c:numCache>
            </c:numRef>
          </c:val>
          <c:smooth val="0"/>
          <c:extLst>
            <c:ext xmlns:c16="http://schemas.microsoft.com/office/drawing/2014/chart" uri="{C3380CC4-5D6E-409C-BE32-E72D297353CC}">
              <c16:uniqueId val="{00000001-74D0-4B02-A653-D3A2A97F4ADD}"/>
            </c:ext>
          </c:extLst>
        </c:ser>
        <c:ser>
          <c:idx val="2"/>
          <c:order val="2"/>
          <c:tx>
            <c:strRef>
              <c:f>'Figur 4.7'!$A$6</c:f>
              <c:strCache>
                <c:ptCount val="1"/>
                <c:pt idx="0">
                  <c:v>Støttestillinger</c:v>
                </c:pt>
              </c:strCache>
            </c:strRef>
          </c:tx>
          <c:spPr>
            <a:ln w="31750"/>
          </c:spPr>
          <c:marker>
            <c:symbol val="circle"/>
            <c:size val="7"/>
          </c:marker>
          <c:cat>
            <c:numRef>
              <c:f>'Figur 4.7'!$B$3:$H$3</c:f>
              <c:numCache>
                <c:formatCode>General</c:formatCode>
                <c:ptCount val="7"/>
                <c:pt idx="0">
                  <c:v>2016</c:v>
                </c:pt>
                <c:pt idx="1">
                  <c:v>2017</c:v>
                </c:pt>
                <c:pt idx="2">
                  <c:v>2018</c:v>
                </c:pt>
                <c:pt idx="3">
                  <c:v>2019</c:v>
                </c:pt>
                <c:pt idx="4">
                  <c:v>2020</c:v>
                </c:pt>
                <c:pt idx="5">
                  <c:v>2021</c:v>
                </c:pt>
                <c:pt idx="6">
                  <c:v>2022</c:v>
                </c:pt>
              </c:numCache>
            </c:numRef>
          </c:cat>
          <c:val>
            <c:numRef>
              <c:f>'Figur 4.7'!$B$6:$H$6</c:f>
              <c:numCache>
                <c:formatCode>General</c:formatCode>
                <c:ptCount val="7"/>
                <c:pt idx="0">
                  <c:v>0.12937000000000001</c:v>
                </c:pt>
                <c:pt idx="1">
                  <c:v>0.12483</c:v>
                </c:pt>
                <c:pt idx="2">
                  <c:v>0.12336</c:v>
                </c:pt>
                <c:pt idx="3">
                  <c:v>0.10174</c:v>
                </c:pt>
                <c:pt idx="4">
                  <c:v>9.9540000000000003E-2</c:v>
                </c:pt>
                <c:pt idx="5">
                  <c:v>0.11316</c:v>
                </c:pt>
                <c:pt idx="6">
                  <c:v>0.11228</c:v>
                </c:pt>
              </c:numCache>
            </c:numRef>
          </c:val>
          <c:smooth val="0"/>
          <c:extLst>
            <c:ext xmlns:c16="http://schemas.microsoft.com/office/drawing/2014/chart" uri="{C3380CC4-5D6E-409C-BE32-E72D297353CC}">
              <c16:uniqueId val="{00000002-74D0-4B02-A653-D3A2A97F4ADD}"/>
            </c:ext>
          </c:extLst>
        </c:ser>
        <c:dLbls>
          <c:showLegendKey val="0"/>
          <c:showVal val="0"/>
          <c:showCatName val="0"/>
          <c:showSerName val="0"/>
          <c:showPercent val="0"/>
          <c:showBubbleSize val="0"/>
        </c:dLbls>
        <c:marker val="1"/>
        <c:smooth val="0"/>
        <c:axId val="130693632"/>
        <c:axId val="130585664"/>
      </c:lineChart>
      <c:catAx>
        <c:axId val="130693632"/>
        <c:scaling>
          <c:orientation val="minMax"/>
        </c:scaling>
        <c:delete val="0"/>
        <c:axPos val="b"/>
        <c:numFmt formatCode="General" sourceLinked="1"/>
        <c:majorTickMark val="out"/>
        <c:minorTickMark val="none"/>
        <c:tickLblPos val="nextTo"/>
        <c:crossAx val="130585664"/>
        <c:crosses val="autoZero"/>
        <c:auto val="1"/>
        <c:lblAlgn val="ctr"/>
        <c:lblOffset val="100"/>
        <c:noMultiLvlLbl val="0"/>
      </c:catAx>
      <c:valAx>
        <c:axId val="130585664"/>
        <c:scaling>
          <c:orientation val="minMax"/>
          <c:max val="0.25"/>
        </c:scaling>
        <c:delete val="0"/>
        <c:axPos val="l"/>
        <c:majorGridlines>
          <c:spPr>
            <a:ln>
              <a:solidFill>
                <a:schemeClr val="bg2">
                  <a:lumMod val="75000"/>
                </a:schemeClr>
              </a:solidFill>
            </a:ln>
          </c:spPr>
        </c:majorGridlines>
        <c:numFmt formatCode="0%" sourceLinked="0"/>
        <c:majorTickMark val="out"/>
        <c:minorTickMark val="none"/>
        <c:tickLblPos val="nextTo"/>
        <c:spPr>
          <a:ln>
            <a:noFill/>
          </a:ln>
        </c:spPr>
        <c:crossAx val="130693632"/>
        <c:crosses val="autoZero"/>
        <c:crossBetween val="midCat"/>
      </c:valAx>
    </c:plotArea>
    <c:legend>
      <c:legendPos val="b"/>
      <c:overlay val="0"/>
    </c:legend>
    <c:plotVisOnly val="1"/>
    <c:dispBlanksAs val="gap"/>
    <c:showDLblsOverMax val="0"/>
  </c:chart>
  <c:spPr>
    <a:ln>
      <a:solidFill>
        <a:schemeClr val="bg2">
          <a:lumMod val="7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 2.4'!$B$3</c:f>
              <c:strCache>
                <c:ptCount val="1"/>
                <c:pt idx="0">
                  <c:v>Treårig bachelor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'Figur 2.4'!$A$4:$A$13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2.4'!$B$4:$B$13</c:f>
              <c:numCache>
                <c:formatCode>General</c:formatCode>
                <c:ptCount val="10"/>
                <c:pt idx="0">
                  <c:v>0.42847000000000002</c:v>
                </c:pt>
                <c:pt idx="1">
                  <c:v>0.39849000000000001</c:v>
                </c:pt>
                <c:pt idx="2">
                  <c:v>0.41431000000000001</c:v>
                </c:pt>
                <c:pt idx="3">
                  <c:v>0.45662999999999998</c:v>
                </c:pt>
                <c:pt idx="4">
                  <c:v>0.47957</c:v>
                </c:pt>
                <c:pt idx="5">
                  <c:v>0.48559000000000002</c:v>
                </c:pt>
                <c:pt idx="6">
                  <c:v>0.49789</c:v>
                </c:pt>
                <c:pt idx="7">
                  <c:v>0.51670000000000005</c:v>
                </c:pt>
                <c:pt idx="8">
                  <c:v>0.54671999999999998</c:v>
                </c:pt>
                <c:pt idx="9">
                  <c:v>0.56408999999999998</c:v>
                </c:pt>
              </c:numCache>
            </c:numRef>
          </c:val>
          <c:smooth val="0"/>
          <c:extLst>
            <c:ext xmlns:c16="http://schemas.microsoft.com/office/drawing/2014/chart" uri="{C3380CC4-5D6E-409C-BE32-E72D297353CC}">
              <c16:uniqueId val="{00000000-843E-4DDB-81AF-E6AE46501871}"/>
            </c:ext>
          </c:extLst>
        </c:ser>
        <c:ser>
          <c:idx val="2"/>
          <c:order val="2"/>
          <c:tx>
            <c:strRef>
              <c:f>'Figur 2.4'!$D$3</c:f>
              <c:strCache>
                <c:ptCount val="1"/>
                <c:pt idx="0">
                  <c:v>Toårig master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'Figur 2.4'!$A$4:$A$13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2.4'!$D$4:$D$13</c:f>
              <c:numCache>
                <c:formatCode>General</c:formatCode>
                <c:ptCount val="10"/>
                <c:pt idx="0">
                  <c:v>0.43991999999999998</c:v>
                </c:pt>
                <c:pt idx="1">
                  <c:v>0.46142</c:v>
                </c:pt>
                <c:pt idx="2">
                  <c:v>0.49617</c:v>
                </c:pt>
                <c:pt idx="3">
                  <c:v>0.49379000000000001</c:v>
                </c:pt>
                <c:pt idx="4">
                  <c:v>0.53596999999999995</c:v>
                </c:pt>
                <c:pt idx="5">
                  <c:v>0.54169999999999996</c:v>
                </c:pt>
                <c:pt idx="6">
                  <c:v>0.55671000000000004</c:v>
                </c:pt>
                <c:pt idx="7">
                  <c:v>0.53878999999999999</c:v>
                </c:pt>
                <c:pt idx="8">
                  <c:v>0.57079999999999997</c:v>
                </c:pt>
                <c:pt idx="9">
                  <c:v>0.55991999999999997</c:v>
                </c:pt>
              </c:numCache>
            </c:numRef>
          </c:val>
          <c:smooth val="0"/>
          <c:extLst>
            <c:ext xmlns:c16="http://schemas.microsoft.com/office/drawing/2014/chart" uri="{C3380CC4-5D6E-409C-BE32-E72D297353CC}">
              <c16:uniqueId val="{00000001-843E-4DDB-81AF-E6AE46501871}"/>
            </c:ext>
          </c:extLst>
        </c:ser>
        <c:ser>
          <c:idx val="3"/>
          <c:order val="3"/>
          <c:tx>
            <c:strRef>
              <c:f>'Figur 2.4'!$E$3</c:f>
              <c:strCache>
                <c:ptCount val="1"/>
                <c:pt idx="0">
                  <c:v>Femårig integrert master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'Figur 2.4'!$A$4:$A$13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2.4'!$E$4:$E$13</c:f>
              <c:numCache>
                <c:formatCode>General</c:formatCode>
                <c:ptCount val="10"/>
                <c:pt idx="0">
                  <c:v>0.3911</c:v>
                </c:pt>
                <c:pt idx="1">
                  <c:v>0.40783999999999998</c:v>
                </c:pt>
                <c:pt idx="2">
                  <c:v>0.41703000000000001</c:v>
                </c:pt>
                <c:pt idx="3">
                  <c:v>0.38904</c:v>
                </c:pt>
                <c:pt idx="4">
                  <c:v>0.37211</c:v>
                </c:pt>
                <c:pt idx="5">
                  <c:v>0.37956000000000001</c:v>
                </c:pt>
                <c:pt idx="6">
                  <c:v>0.41443000000000002</c:v>
                </c:pt>
                <c:pt idx="7">
                  <c:v>0.39440999999999998</c:v>
                </c:pt>
                <c:pt idx="8">
                  <c:v>0.44052999999999998</c:v>
                </c:pt>
                <c:pt idx="9">
                  <c:v>0.52673999999999999</c:v>
                </c:pt>
              </c:numCache>
            </c:numRef>
          </c:val>
          <c:smooth val="0"/>
          <c:extLst>
            <c:ext xmlns:c16="http://schemas.microsoft.com/office/drawing/2014/chart" uri="{C3380CC4-5D6E-409C-BE32-E72D297353CC}">
              <c16:uniqueId val="{00000002-843E-4DDB-81AF-E6AE46501871}"/>
            </c:ext>
          </c:extLst>
        </c:ser>
        <c:dLbls>
          <c:showLegendKey val="0"/>
          <c:showVal val="0"/>
          <c:showCatName val="0"/>
          <c:showSerName val="0"/>
          <c:showPercent val="0"/>
          <c:showBubbleSize val="0"/>
        </c:dLbls>
        <c:marker val="1"/>
        <c:smooth val="0"/>
        <c:axId val="1260891152"/>
        <c:axId val="1260885744"/>
        <c:extLst>
          <c:ext xmlns:c15="http://schemas.microsoft.com/office/drawing/2012/chart" uri="{02D57815-91ED-43cb-92C2-25804820EDAC}">
            <c15:filteredLineSeries>
              <c15:ser>
                <c:idx val="1"/>
                <c:order val="1"/>
                <c:tx>
                  <c:strRef>
                    <c:extLst>
                      <c:ext uri="{02D57815-91ED-43cb-92C2-25804820EDAC}">
                        <c15:formulaRef>
                          <c15:sqref>'Figur 2.4'!$C$3</c15:sqref>
                        </c15:formulaRef>
                      </c:ext>
                    </c:extLst>
                    <c:strCache>
                      <c:ptCount val="1"/>
                      <c:pt idx="0">
                        <c:v>Fireårig bachelor og yrkesutdanning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'Figur 2.4'!$A$4:$A$13</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c:ext uri="{02D57815-91ED-43cb-92C2-25804820EDAC}">
                        <c15:formulaRef>
                          <c15:sqref>'Figur 2.4'!$C$4:$C$13</c15:sqref>
                        </c15:formulaRef>
                      </c:ext>
                    </c:extLst>
                    <c:numCache>
                      <c:formatCode>General</c:formatCode>
                      <c:ptCount val="10"/>
                      <c:pt idx="0">
                        <c:v>0.52803999999999995</c:v>
                      </c:pt>
                      <c:pt idx="1">
                        <c:v>0.50275999999999998</c:v>
                      </c:pt>
                      <c:pt idx="2">
                        <c:v>0.49059000000000003</c:v>
                      </c:pt>
                      <c:pt idx="3">
                        <c:v>0.50988</c:v>
                      </c:pt>
                      <c:pt idx="4">
                        <c:v>0.54903999999999997</c:v>
                      </c:pt>
                      <c:pt idx="5">
                        <c:v>0.53795999999999999</c:v>
                      </c:pt>
                      <c:pt idx="6">
                        <c:v>0.56223000000000001</c:v>
                      </c:pt>
                      <c:pt idx="7">
                        <c:v>0.62866999999999995</c:v>
                      </c:pt>
                      <c:pt idx="8">
                        <c:v>0.61599999999999999</c:v>
                      </c:pt>
                      <c:pt idx="9">
                        <c:v>0.62597999999999998</c:v>
                      </c:pt>
                    </c:numCache>
                  </c:numRef>
                </c:val>
                <c:smooth val="0"/>
                <c:extLst>
                  <c:ext xmlns:c16="http://schemas.microsoft.com/office/drawing/2014/chart" uri="{C3380CC4-5D6E-409C-BE32-E72D297353CC}">
                    <c16:uniqueId val="{00000003-843E-4DDB-81AF-E6AE4650187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'Figur 2.4'!$F$3</c15:sqref>
                        </c15:formulaRef>
                      </c:ext>
                    </c:extLst>
                    <c:strCache>
                      <c:ptCount val="1"/>
                      <c:pt idx="0">
                        <c:v>Seksårig profesjonsstudium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'Figur 2.4'!$A$4:$A$13</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extLst xmlns:c15="http://schemas.microsoft.com/office/drawing/2012/chart">
                      <c:ext xmlns:c15="http://schemas.microsoft.com/office/drawing/2012/chart" uri="{02D57815-91ED-43cb-92C2-25804820EDAC}">
                        <c15:formulaRef>
                          <c15:sqref>'Figur 2.4'!$F$4:$F$13</c15:sqref>
                        </c15:formulaRef>
                      </c:ext>
                    </c:extLst>
                    <c:numCache>
                      <c:formatCode>General</c:formatCode>
                      <c:ptCount val="10"/>
                      <c:pt idx="1">
                        <c:v>0.46934999999999999</c:v>
                      </c:pt>
                      <c:pt idx="2">
                        <c:v>0.46261000000000002</c:v>
                      </c:pt>
                      <c:pt idx="3">
                        <c:v>0.4531</c:v>
                      </c:pt>
                      <c:pt idx="4">
                        <c:v>0.49689</c:v>
                      </c:pt>
                      <c:pt idx="5">
                        <c:v>0.47515000000000002</c:v>
                      </c:pt>
                      <c:pt idx="6">
                        <c:v>0.48676999999999998</c:v>
                      </c:pt>
                      <c:pt idx="7">
                        <c:v>0.49284</c:v>
                      </c:pt>
                      <c:pt idx="8">
                        <c:v>0.54581000000000002</c:v>
                      </c:pt>
                      <c:pt idx="9">
                        <c:v>0.53442999999999996</c:v>
                      </c:pt>
                    </c:numCache>
                  </c:numRef>
                </c:val>
                <c:smooth val="0"/>
                <c:extLst xmlns:c15="http://schemas.microsoft.com/office/drawing/2012/chart">
                  <c:ext xmlns:c16="http://schemas.microsoft.com/office/drawing/2014/chart" uri="{C3380CC4-5D6E-409C-BE32-E72D297353CC}">
                    <c16:uniqueId val="{00000004-843E-4DDB-81AF-E6AE46501871}"/>
                  </c:ext>
                </c:extLst>
              </c15:ser>
            </c15:filteredLineSeries>
          </c:ext>
        </c:extLst>
      </c:lineChart>
      <c:catAx>
        <c:axId val="1260891152"/>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260885744"/>
        <c:crosses val="autoZero"/>
        <c:auto val="1"/>
        <c:lblAlgn val="ctr"/>
        <c:lblOffset val="100"/>
        <c:noMultiLvlLbl val="0"/>
      </c:catAx>
      <c:valAx>
        <c:axId val="1260885744"/>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2608911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213032828892513E-2"/>
          <c:y val="4.3044414009000193E-2"/>
          <c:w val="0.87971002655786235"/>
          <c:h val="0.66521798745025784"/>
        </c:manualLayout>
      </c:layout>
      <c:lineChart>
        <c:grouping val="standard"/>
        <c:varyColors val="0"/>
        <c:ser>
          <c:idx val="0"/>
          <c:order val="0"/>
          <c:tx>
            <c:strRef>
              <c:f>'Figur 2.5'!$A$4</c:f>
              <c:strCache>
                <c:ptCount val="1"/>
                <c:pt idx="0">
                  <c:v>Helse-, sosial- og idrettsfag </c:v>
                </c:pt>
              </c:strCache>
            </c:strRef>
          </c:tx>
          <c:spPr>
            <a:ln w="38100"/>
          </c:spPr>
          <c:marker>
            <c:symbol val="circle"/>
            <c:size val="6"/>
          </c:marker>
          <c:cat>
            <c:numRef>
              <c:f>'Figur 2.5'!$B$3:$K$3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2.5'!$B$4:$K$4</c:f>
              <c:numCache>
                <c:formatCode>General</c:formatCode>
                <c:ptCount val="10"/>
                <c:pt idx="0">
                  <c:v>9281.7999999999993</c:v>
                </c:pt>
                <c:pt idx="1">
                  <c:v>9617.2800000000007</c:v>
                </c:pt>
                <c:pt idx="2">
                  <c:v>9862</c:v>
                </c:pt>
                <c:pt idx="3">
                  <c:v>10378.959999999999</c:v>
                </c:pt>
                <c:pt idx="4">
                  <c:v>10539</c:v>
                </c:pt>
                <c:pt idx="5">
                  <c:v>10870</c:v>
                </c:pt>
                <c:pt idx="6">
                  <c:v>11203.64</c:v>
                </c:pt>
                <c:pt idx="7">
                  <c:v>11477</c:v>
                </c:pt>
                <c:pt idx="8">
                  <c:v>11783</c:v>
                </c:pt>
                <c:pt idx="9">
                  <c:v>12684.35</c:v>
                </c:pt>
              </c:numCache>
            </c:numRef>
          </c:val>
          <c:smooth val="0"/>
          <c:extLst>
            <c:ext xmlns:c16="http://schemas.microsoft.com/office/drawing/2014/chart" uri="{C3380CC4-5D6E-409C-BE32-E72D297353CC}">
              <c16:uniqueId val="{00000000-21F7-464C-A613-BD28A000217D}"/>
            </c:ext>
          </c:extLst>
        </c:ser>
        <c:ser>
          <c:idx val="1"/>
          <c:order val="1"/>
          <c:tx>
            <c:strRef>
              <c:f>'Figur 2.5'!$A$5</c:f>
              <c:strCache>
                <c:ptCount val="1"/>
                <c:pt idx="0">
                  <c:v>Økonomiske og administrative fag</c:v>
                </c:pt>
              </c:strCache>
            </c:strRef>
          </c:tx>
          <c:spPr>
            <a:ln w="38100"/>
          </c:spPr>
          <c:marker>
            <c:symbol val="circle"/>
            <c:size val="6"/>
          </c:marker>
          <c:cat>
            <c:numRef>
              <c:f>'Figur 2.5'!$B$3:$K$3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2.5'!$B$5:$K$5</c:f>
              <c:numCache>
                <c:formatCode>General</c:formatCode>
                <c:ptCount val="10"/>
                <c:pt idx="0">
                  <c:v>7483.94</c:v>
                </c:pt>
                <c:pt idx="1">
                  <c:v>7912.4</c:v>
                </c:pt>
                <c:pt idx="2">
                  <c:v>9294.02</c:v>
                </c:pt>
                <c:pt idx="3">
                  <c:v>9202.83</c:v>
                </c:pt>
                <c:pt idx="4">
                  <c:v>9324.16</c:v>
                </c:pt>
                <c:pt idx="5">
                  <c:v>9907.7000000000007</c:v>
                </c:pt>
                <c:pt idx="6">
                  <c:v>9200.9500000000007</c:v>
                </c:pt>
                <c:pt idx="7">
                  <c:v>10179.870000000001</c:v>
                </c:pt>
                <c:pt idx="8">
                  <c:v>10461.01</c:v>
                </c:pt>
                <c:pt idx="9">
                  <c:v>10969.48</c:v>
                </c:pt>
              </c:numCache>
            </c:numRef>
          </c:val>
          <c:smooth val="0"/>
          <c:extLst>
            <c:ext xmlns:c16="http://schemas.microsoft.com/office/drawing/2014/chart" uri="{C3380CC4-5D6E-409C-BE32-E72D297353CC}">
              <c16:uniqueId val="{00000001-21F7-464C-A613-BD28A000217D}"/>
            </c:ext>
          </c:extLst>
        </c:ser>
        <c:ser>
          <c:idx val="2"/>
          <c:order val="2"/>
          <c:tx>
            <c:strRef>
              <c:f>'Figur 2.5'!$A$6</c:f>
              <c:strCache>
                <c:ptCount val="1"/>
                <c:pt idx="0">
                  <c:v>Naturvitenskapelige fag, håndverksfag og tekniske fag</c:v>
                </c:pt>
              </c:strCache>
            </c:strRef>
          </c:tx>
          <c:spPr>
            <a:ln w="38100"/>
          </c:spPr>
          <c:marker>
            <c:symbol val="circle"/>
            <c:size val="6"/>
          </c:marker>
          <c:cat>
            <c:numRef>
              <c:f>'Figur 2.5'!$B$3:$K$3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2.5'!$B$6:$K$6</c:f>
              <c:numCache>
                <c:formatCode>General</c:formatCode>
                <c:ptCount val="10"/>
                <c:pt idx="0">
                  <c:v>7270.29</c:v>
                </c:pt>
                <c:pt idx="1">
                  <c:v>7769.67</c:v>
                </c:pt>
                <c:pt idx="2">
                  <c:v>8243.51</c:v>
                </c:pt>
                <c:pt idx="3">
                  <c:v>8511.52</c:v>
                </c:pt>
                <c:pt idx="4">
                  <c:v>9435.94</c:v>
                </c:pt>
                <c:pt idx="5">
                  <c:v>9558.7199999999993</c:v>
                </c:pt>
                <c:pt idx="6">
                  <c:v>9826.5499999999993</c:v>
                </c:pt>
                <c:pt idx="7">
                  <c:v>9893.74</c:v>
                </c:pt>
                <c:pt idx="8">
                  <c:v>10592.23</c:v>
                </c:pt>
                <c:pt idx="9">
                  <c:v>10447.379999999999</c:v>
                </c:pt>
              </c:numCache>
            </c:numRef>
          </c:val>
          <c:smooth val="0"/>
          <c:extLst>
            <c:ext xmlns:c16="http://schemas.microsoft.com/office/drawing/2014/chart" uri="{C3380CC4-5D6E-409C-BE32-E72D297353CC}">
              <c16:uniqueId val="{00000002-21F7-464C-A613-BD28A000217D}"/>
            </c:ext>
          </c:extLst>
        </c:ser>
        <c:ser>
          <c:idx val="3"/>
          <c:order val="3"/>
          <c:tx>
            <c:strRef>
              <c:f>'Figur 2.5'!$A$7</c:f>
              <c:strCache>
                <c:ptCount val="1"/>
                <c:pt idx="0">
                  <c:v>Samfunnsfag og juridiske fag</c:v>
                </c:pt>
              </c:strCache>
            </c:strRef>
          </c:tx>
          <c:spPr>
            <a:ln w="38100"/>
          </c:spPr>
          <c:marker>
            <c:symbol val="circle"/>
            <c:size val="6"/>
          </c:marker>
          <c:cat>
            <c:numRef>
              <c:f>'Figur 2.5'!$B$3:$K$3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2.5'!$B$7:$K$7</c:f>
              <c:numCache>
                <c:formatCode>General</c:formatCode>
                <c:ptCount val="10"/>
                <c:pt idx="0">
                  <c:v>4876.5</c:v>
                </c:pt>
                <c:pt idx="1">
                  <c:v>5493.5</c:v>
                </c:pt>
                <c:pt idx="2">
                  <c:v>5264.5</c:v>
                </c:pt>
                <c:pt idx="3">
                  <c:v>5514</c:v>
                </c:pt>
                <c:pt idx="4">
                  <c:v>5665.5</c:v>
                </c:pt>
                <c:pt idx="5">
                  <c:v>5726</c:v>
                </c:pt>
                <c:pt idx="6">
                  <c:v>6031.5</c:v>
                </c:pt>
                <c:pt idx="7">
                  <c:v>6472</c:v>
                </c:pt>
                <c:pt idx="8">
                  <c:v>6749</c:v>
                </c:pt>
                <c:pt idx="9">
                  <c:v>7134</c:v>
                </c:pt>
              </c:numCache>
            </c:numRef>
          </c:val>
          <c:smooth val="0"/>
          <c:extLst>
            <c:ext xmlns:c16="http://schemas.microsoft.com/office/drawing/2014/chart" uri="{C3380CC4-5D6E-409C-BE32-E72D297353CC}">
              <c16:uniqueId val="{00000003-21F7-464C-A613-BD28A000217D}"/>
            </c:ext>
          </c:extLst>
        </c:ser>
        <c:ser>
          <c:idx val="4"/>
          <c:order val="4"/>
          <c:tx>
            <c:strRef>
              <c:f>'Figur 2.5'!$A$8</c:f>
              <c:strCache>
                <c:ptCount val="1"/>
                <c:pt idx="0">
                  <c:v>Lærerutdanninger og utdanninger i pedagogikk</c:v>
                </c:pt>
              </c:strCache>
            </c:strRef>
          </c:tx>
          <c:spPr>
            <a:ln w="38100"/>
          </c:spPr>
          <c:marker>
            <c:symbol val="circle"/>
            <c:size val="6"/>
          </c:marker>
          <c:cat>
            <c:numRef>
              <c:f>'Figur 2.5'!$B$3:$K$3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2.5'!$B$8:$K$8</c:f>
              <c:numCache>
                <c:formatCode>General</c:formatCode>
                <c:ptCount val="10"/>
                <c:pt idx="0">
                  <c:v>5445.67</c:v>
                </c:pt>
                <c:pt idx="1">
                  <c:v>5468.26</c:v>
                </c:pt>
                <c:pt idx="2">
                  <c:v>6137.89</c:v>
                </c:pt>
                <c:pt idx="3">
                  <c:v>6043.26</c:v>
                </c:pt>
                <c:pt idx="4">
                  <c:v>6400.48</c:v>
                </c:pt>
                <c:pt idx="5">
                  <c:v>6345.74</c:v>
                </c:pt>
                <c:pt idx="6">
                  <c:v>7069.12</c:v>
                </c:pt>
                <c:pt idx="7">
                  <c:v>7265.77</c:v>
                </c:pt>
                <c:pt idx="8">
                  <c:v>6159.52</c:v>
                </c:pt>
                <c:pt idx="9">
                  <c:v>7127.18</c:v>
                </c:pt>
              </c:numCache>
            </c:numRef>
          </c:val>
          <c:smooth val="0"/>
          <c:extLst>
            <c:ext xmlns:c16="http://schemas.microsoft.com/office/drawing/2014/chart" uri="{C3380CC4-5D6E-409C-BE32-E72D297353CC}">
              <c16:uniqueId val="{00000004-21F7-464C-A613-BD28A000217D}"/>
            </c:ext>
          </c:extLst>
        </c:ser>
        <c:ser>
          <c:idx val="5"/>
          <c:order val="5"/>
          <c:tx>
            <c:strRef>
              <c:f>'Figur 2.5'!$A$9</c:f>
              <c:strCache>
                <c:ptCount val="1"/>
                <c:pt idx="0">
                  <c:v>Humanistiske og estetiske fag</c:v>
                </c:pt>
              </c:strCache>
            </c:strRef>
          </c:tx>
          <c:spPr>
            <a:ln w="38100"/>
          </c:spPr>
          <c:marker>
            <c:symbol val="circle"/>
            <c:size val="6"/>
          </c:marker>
          <c:cat>
            <c:numRef>
              <c:f>'Figur 2.5'!$B$3:$K$3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'Figur 2.5'!$B$9:$K$9</c:f>
              <c:numCache>
                <c:formatCode>General</c:formatCode>
                <c:ptCount val="10"/>
                <c:pt idx="0">
                  <c:v>3837</c:v>
                </c:pt>
                <c:pt idx="1">
                  <c:v>3963</c:v>
                </c:pt>
                <c:pt idx="2">
                  <c:v>3861</c:v>
                </c:pt>
                <c:pt idx="3">
                  <c:v>3947</c:v>
                </c:pt>
                <c:pt idx="4">
                  <c:v>4088</c:v>
                </c:pt>
                <c:pt idx="5">
                  <c:v>3968</c:v>
                </c:pt>
                <c:pt idx="6">
                  <c:v>4006</c:v>
                </c:pt>
                <c:pt idx="7">
                  <c:v>4413</c:v>
                </c:pt>
                <c:pt idx="8">
                  <c:v>4418</c:v>
                </c:pt>
                <c:pt idx="9">
                  <c:v>4454</c:v>
                </c:pt>
              </c:numCache>
            </c:numRef>
          </c:val>
          <c:smooth val="0"/>
          <c:extLst>
            <c:ext xmlns:c16="http://schemas.microsoft.com/office/drawing/2014/chart" uri="{C3380CC4-5D6E-409C-BE32-E72D297353CC}">
              <c16:uniqueId val="{00000005-21F7-464C-A613-BD28A000217D}"/>
            </c:ext>
          </c:extLst>
        </c:ser>
        <c:dLbls>
          <c:showLegendKey val="0"/>
          <c:showVal val="0"/>
          <c:showCatName val="0"/>
          <c:showSerName val="0"/>
          <c:showPercent val="0"/>
          <c:showBubbleSize val="0"/>
        </c:dLbls>
        <c:marker val="1"/>
        <c:smooth val="0"/>
        <c:axId val="97294848"/>
        <c:axId val="101880320"/>
      </c:lineChart>
      <c:catAx>
        <c:axId val="97294848"/>
        <c:scaling>
          <c:orientation val="minMax"/>
        </c:scaling>
        <c:delete val="0"/>
        <c:axPos val="b"/>
        <c:numFmt formatCode="General" sourceLinked="1"/>
        <c:majorTickMark val="out"/>
        <c:minorTickMark val="none"/>
        <c:tickLblPos val="nextTo"/>
        <c:spPr>
          <a:ln>
            <a:noFill/>
          </a:ln>
        </c:spPr>
        <c:txPr>
          <a:bodyPr/>
          <a:lstStyle/>
          <a:p>
            <a:pPr>
              <a:defRPr sz="900"/>
            </a:pPr>
            <a:endParaRPr lang="nb-NO"/>
          </a:p>
        </c:txPr>
        <c:crossAx val="101880320"/>
        <c:crosses val="autoZero"/>
        <c:auto val="1"/>
        <c:lblAlgn val="ctr"/>
        <c:lblOffset val="100"/>
        <c:noMultiLvlLbl val="0"/>
      </c:catAx>
      <c:valAx>
        <c:axId val="101880320"/>
        <c:scaling>
          <c:orientation val="minMax"/>
          <c:min val="2000"/>
        </c:scaling>
        <c:delete val="0"/>
        <c:axPos val="l"/>
        <c:majorGridlines>
          <c:spPr>
            <a:ln w="9525">
              <a:solidFill>
                <a:schemeClr val="accent3">
                  <a:lumMod val="40000"/>
                  <a:lumOff val="60000"/>
                </a:schemeClr>
              </a:solidFill>
            </a:ln>
          </c:spPr>
        </c:majorGridlines>
        <c:numFmt formatCode="#,##0" sourceLinked="0"/>
        <c:majorTickMark val="out"/>
        <c:minorTickMark val="none"/>
        <c:tickLblPos val="nextTo"/>
        <c:spPr>
          <a:ln>
            <a:noFill/>
          </a:ln>
        </c:spPr>
        <c:txPr>
          <a:bodyPr/>
          <a:lstStyle/>
          <a:p>
            <a:pPr>
              <a:defRPr sz="900"/>
            </a:pPr>
            <a:endParaRPr lang="nb-NO"/>
          </a:p>
        </c:txPr>
        <c:crossAx val="97294848"/>
        <c:crosses val="autoZero"/>
        <c:crossBetween val="between"/>
      </c:valAx>
    </c:plotArea>
    <c:legend>
      <c:legendPos val="b"/>
      <c:layout>
        <c:manualLayout>
          <c:xMode val="edge"/>
          <c:yMode val="edge"/>
          <c:x val="0"/>
          <c:y val="0.77226701093981331"/>
          <c:w val="0.99244503427762365"/>
          <c:h val="0.20425421778255021"/>
        </c:manualLayout>
      </c:layout>
      <c:overlay val="0"/>
      <c:txPr>
        <a:bodyPr/>
        <a:lstStyle/>
        <a:p>
          <a:pPr>
            <a:defRPr sz="800"/>
          </a:pPr>
          <a:endParaRPr lang="nb-NO"/>
        </a:p>
      </c:txPr>
    </c:legend>
    <c:plotVisOnly val="1"/>
    <c:dispBlanksAs val="gap"/>
    <c:showDLblsOverMax val="0"/>
  </c:chart>
  <c:spPr>
    <a:ln w="9525">
      <a:solidFill>
        <a:schemeClr val="accent3">
          <a:lumMod val="40000"/>
          <a:lumOff val="6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'Ark1'!$B$5</c:f>
              <c:strCache>
                <c:ptCount val="1"/>
                <c:pt idx="0">
                  <c:v>Karakter</c:v>
                </c:pt>
              </c:strCache>
            </c:strRef>
          </c:tx>
          <c:spPr>
            <a:solidFill>
              <a:schemeClr val="accent1"/>
            </a:solidFill>
            <a:ln>
              <a:noFill/>
            </a:ln>
            <a:effectLst/>
          </c:spPr>
          <c:invertIfNegative val="0"/>
          <c:cat>
            <c:strRef>
              <c:f>'Ark1'!$A$6:$A$11</c:f>
              <c:strCache>
                <c:ptCount val="6"/>
                <c:pt idx="0">
                  <c:v>A</c:v>
                </c:pt>
                <c:pt idx="1">
                  <c:v>B</c:v>
                </c:pt>
                <c:pt idx="2">
                  <c:v>C</c:v>
                </c:pt>
                <c:pt idx="3">
                  <c:v>D</c:v>
                </c:pt>
                <c:pt idx="4">
                  <c:v>E</c:v>
                </c:pt>
                <c:pt idx="5">
                  <c:v>F</c:v>
                </c:pt>
              </c:strCache>
            </c:strRef>
          </c:cat>
          <c:val>
            <c:numRef>
              <c:f>'Ark1'!$B$6:$B$11</c:f>
              <c:numCache>
                <c:formatCode>0%</c:formatCode>
                <c:ptCount val="6"/>
                <c:pt idx="0">
                  <c:v>9.1629615300000009E-2</c:v>
                </c:pt>
                <c:pt idx="1">
                  <c:v>0.17687995399999998</c:v>
                </c:pt>
                <c:pt idx="2">
                  <c:v>0.25459114599999999</c:v>
                </c:pt>
                <c:pt idx="3">
                  <c:v>0.114247052</c:v>
                </c:pt>
                <c:pt idx="4">
                  <c:v>0.111347381</c:v>
                </c:pt>
                <c:pt idx="5">
                  <c:v>0.25130485199999997</c:v>
                </c:pt>
              </c:numCache>
            </c:numRef>
          </c:val>
          <c:extLst>
            <c:ext xmlns:c16="http://schemas.microsoft.com/office/drawing/2014/chart" uri="{C3380CC4-5D6E-409C-BE32-E72D297353CC}">
              <c16:uniqueId val="{00000000-0EDF-45AB-AB39-FB5CDBD35717}"/>
            </c:ext>
          </c:extLst>
        </c:ser>
        <c:dLbls>
          <c:showLegendKey val="0"/>
          <c:showVal val="0"/>
          <c:showCatName val="0"/>
          <c:showSerName val="0"/>
          <c:showPercent val="0"/>
          <c:showBubbleSize val="0"/>
        </c:dLbls>
        <c:gapWidth val="219"/>
        <c:overlap val="-27"/>
        <c:axId val="844713295"/>
        <c:axId val="844712335"/>
      </c:barChart>
      <c:catAx>
        <c:axId val="84471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4712335"/>
        <c:crosses val="autoZero"/>
        <c:auto val="1"/>
        <c:lblAlgn val="ctr"/>
        <c:lblOffset val="100"/>
        <c:noMultiLvlLbl val="0"/>
      </c:catAx>
      <c:valAx>
        <c:axId val="844712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4713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'Ark1'!$B$29</c:f>
              <c:strCache>
                <c:ptCount val="1"/>
                <c:pt idx="0">
                  <c:v>GLU 1-7</c:v>
                </c:pt>
              </c:strCache>
            </c:strRef>
          </c:tx>
          <c:spPr>
            <a:solidFill>
              <a:schemeClr val="accent1"/>
            </a:solidFill>
            <a:ln>
              <a:noFill/>
            </a:ln>
            <a:effectLst/>
          </c:spPr>
          <c:invertIfNegative val="0"/>
          <c:cat>
            <c:strRef>
              <c:f>'Ark1'!$A$30:$A$35</c:f>
              <c:strCache>
                <c:ptCount val="6"/>
                <c:pt idx="0">
                  <c:v>A</c:v>
                </c:pt>
                <c:pt idx="1">
                  <c:v>B</c:v>
                </c:pt>
                <c:pt idx="2">
                  <c:v>C</c:v>
                </c:pt>
                <c:pt idx="3">
                  <c:v>D</c:v>
                </c:pt>
                <c:pt idx="4">
                  <c:v>E</c:v>
                </c:pt>
                <c:pt idx="5">
                  <c:v>F</c:v>
                </c:pt>
              </c:strCache>
            </c:strRef>
          </c:cat>
          <c:val>
            <c:numRef>
              <c:f>'Ark1'!$B$30:$B$35</c:f>
              <c:numCache>
                <c:formatCode>0%</c:formatCode>
                <c:ptCount val="6"/>
                <c:pt idx="0">
                  <c:v>3.9E-2</c:v>
                </c:pt>
                <c:pt idx="1">
                  <c:v>0.111</c:v>
                </c:pt>
                <c:pt idx="2">
                  <c:v>0.20399999999999999</c:v>
                </c:pt>
                <c:pt idx="3">
                  <c:v>0.247</c:v>
                </c:pt>
                <c:pt idx="4">
                  <c:v>0.159</c:v>
                </c:pt>
                <c:pt idx="5">
                  <c:v>0.24100000000000002</c:v>
                </c:pt>
              </c:numCache>
            </c:numRef>
          </c:val>
          <c:extLst>
            <c:ext xmlns:c16="http://schemas.microsoft.com/office/drawing/2014/chart" uri="{C3380CC4-5D6E-409C-BE32-E72D297353CC}">
              <c16:uniqueId val="{00000000-EDBE-4133-8F82-61CBB536560F}"/>
            </c:ext>
          </c:extLst>
        </c:ser>
        <c:ser>
          <c:idx val="1"/>
          <c:order val="1"/>
          <c:tx>
            <c:strRef>
              <c:f>'Ark1'!$C$29</c:f>
              <c:strCache>
                <c:ptCount val="1"/>
                <c:pt idx="0">
                  <c:v>GLU 5-10</c:v>
                </c:pt>
              </c:strCache>
            </c:strRef>
          </c:tx>
          <c:spPr>
            <a:solidFill>
              <a:schemeClr val="accent2"/>
            </a:solidFill>
            <a:ln>
              <a:noFill/>
            </a:ln>
            <a:effectLst/>
          </c:spPr>
          <c:invertIfNegative val="0"/>
          <c:cat>
            <c:strRef>
              <c:f>'Ark1'!$A$30:$A$35</c:f>
              <c:strCache>
                <c:ptCount val="6"/>
                <c:pt idx="0">
                  <c:v>A</c:v>
                </c:pt>
                <c:pt idx="1">
                  <c:v>B</c:v>
                </c:pt>
                <c:pt idx="2">
                  <c:v>C</c:v>
                </c:pt>
                <c:pt idx="3">
                  <c:v>D</c:v>
                </c:pt>
                <c:pt idx="4">
                  <c:v>E</c:v>
                </c:pt>
                <c:pt idx="5">
                  <c:v>F</c:v>
                </c:pt>
              </c:strCache>
            </c:strRef>
          </c:cat>
          <c:val>
            <c:numRef>
              <c:f>'Ark1'!$C$30:$C$35</c:f>
              <c:numCache>
                <c:formatCode>0%</c:formatCode>
                <c:ptCount val="6"/>
                <c:pt idx="0">
                  <c:v>5.7999999999999996E-2</c:v>
                </c:pt>
                <c:pt idx="1">
                  <c:v>9.5000000000000001E-2</c:v>
                </c:pt>
                <c:pt idx="2">
                  <c:v>0.26100000000000001</c:v>
                </c:pt>
                <c:pt idx="3">
                  <c:v>0.29600000000000004</c:v>
                </c:pt>
                <c:pt idx="4">
                  <c:v>0.12300000000000001</c:v>
                </c:pt>
                <c:pt idx="5">
                  <c:v>0.16800000000000001</c:v>
                </c:pt>
              </c:numCache>
            </c:numRef>
          </c:val>
          <c:extLst>
            <c:ext xmlns:c16="http://schemas.microsoft.com/office/drawing/2014/chart" uri="{C3380CC4-5D6E-409C-BE32-E72D297353CC}">
              <c16:uniqueId val="{00000001-EDBE-4133-8F82-61CBB536560F}"/>
            </c:ext>
          </c:extLst>
        </c:ser>
        <c:dLbls>
          <c:showLegendKey val="0"/>
          <c:showVal val="0"/>
          <c:showCatName val="0"/>
          <c:showSerName val="0"/>
          <c:showPercent val="0"/>
          <c:showBubbleSize val="0"/>
        </c:dLbls>
        <c:gapWidth val="219"/>
        <c:overlap val="-27"/>
        <c:axId val="840373967"/>
        <c:axId val="840372527"/>
      </c:barChart>
      <c:catAx>
        <c:axId val="84037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0372527"/>
        <c:crosses val="autoZero"/>
        <c:auto val="1"/>
        <c:lblAlgn val="ctr"/>
        <c:lblOffset val="100"/>
        <c:noMultiLvlLbl val="0"/>
      </c:catAx>
      <c:valAx>
        <c:axId val="8403725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0373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'Figur 2.8'!$A$4:$A$15</c:f>
              <c:strCache>
                <c:ptCount val="12"/>
                <c:pt idx="0">
                  <c:v>Vernepleierutd.</c:v>
                </c:pt>
                <c:pt idx="1">
                  <c:v>Sykepleierutd.</c:v>
                </c:pt>
                <c:pt idx="2">
                  <c:v>Radiografutd.</c:v>
                </c:pt>
                <c:pt idx="3">
                  <c:v>Psykologi prof.utd.</c:v>
                </c:pt>
                <c:pt idx="4">
                  <c:v>Odontologiutd.</c:v>
                </c:pt>
                <c:pt idx="5">
                  <c:v>Medisinutd.</c:v>
                </c:pt>
                <c:pt idx="6">
                  <c:v>Klinisk ernæringsfysiologi</c:v>
                </c:pt>
                <c:pt idx="7">
                  <c:v>Jordmorutd.</c:v>
                </c:pt>
                <c:pt idx="8">
                  <c:v>Fysioterapiutd.</c:v>
                </c:pt>
                <c:pt idx="9">
                  <c:v>Ergoterapiutd.</c:v>
                </c:pt>
                <c:pt idx="10">
                  <c:v>Bioingeniørutd.</c:v>
                </c:pt>
                <c:pt idx="11">
                  <c:v>ABIOK-utd.</c:v>
                </c:pt>
              </c:strCache>
            </c:strRef>
          </c:cat>
          <c:val>
            <c:numRef>
              <c:f>'Figur 2.8'!$D$4:$D$15</c:f>
              <c:numCache>
                <c:formatCode>General</c:formatCode>
                <c:ptCount val="12"/>
                <c:pt idx="0">
                  <c:v>1.33074</c:v>
                </c:pt>
                <c:pt idx="1">
                  <c:v>1.2253499999999999</c:v>
                </c:pt>
                <c:pt idx="2">
                  <c:v>1.12338</c:v>
                </c:pt>
                <c:pt idx="3">
                  <c:v>1.0408200000000001</c:v>
                </c:pt>
                <c:pt idx="4">
                  <c:v>0.97841999999999996</c:v>
                </c:pt>
                <c:pt idx="5">
                  <c:v>0.97123999999999999</c:v>
                </c:pt>
                <c:pt idx="6">
                  <c:v>1.5735300000000001</c:v>
                </c:pt>
                <c:pt idx="7">
                  <c:v>0.76351000000000002</c:v>
                </c:pt>
                <c:pt idx="8">
                  <c:v>1.13937</c:v>
                </c:pt>
                <c:pt idx="9">
                  <c:v>1.43085</c:v>
                </c:pt>
                <c:pt idx="10">
                  <c:v>1.25</c:v>
                </c:pt>
                <c:pt idx="11">
                  <c:v>1.4307000000000001</c:v>
                </c:pt>
              </c:numCache>
            </c:numRef>
          </c:val>
          <c:extLst>
            <c:ext xmlns:c16="http://schemas.microsoft.com/office/drawing/2014/chart" uri="{C3380CC4-5D6E-409C-BE32-E72D297353CC}">
              <c16:uniqueId val="{00000000-5E38-47B1-B67F-5A8CDD96DFFA}"/>
            </c:ext>
          </c:extLst>
        </c:ser>
        <c:dLbls>
          <c:showLegendKey val="0"/>
          <c:showVal val="0"/>
          <c:showCatName val="0"/>
          <c:showSerName val="0"/>
          <c:showPercent val="0"/>
          <c:showBubbleSize val="0"/>
        </c:dLbls>
        <c:gapWidth val="150"/>
        <c:axId val="125247488"/>
        <c:axId val="101882624"/>
      </c:barChart>
      <c:scatterChart>
        <c:scatterStyle val="lineMarker"/>
        <c:varyColors val="0"/>
        <c:ser>
          <c:idx val="1"/>
          <c:order val="1"/>
          <c:spPr>
            <a:ln w="28575">
              <a:solidFill>
                <a:schemeClr val="tx1"/>
              </a:solidFill>
              <a:prstDash val="dash"/>
            </a:ln>
          </c:spPr>
          <c:marker>
            <c:symbol val="none"/>
          </c:marker>
          <c:xVal>
            <c:numRef>
              <c:f>'Figur 2.8'!$C$17:$C$18</c:f>
              <c:numCache>
                <c:formatCode>General</c:formatCode>
                <c:ptCount val="2"/>
                <c:pt idx="0">
                  <c:v>1</c:v>
                </c:pt>
                <c:pt idx="1">
                  <c:v>1</c:v>
                </c:pt>
              </c:numCache>
            </c:numRef>
          </c:xVal>
          <c:yVal>
            <c:numRef>
              <c:f>'Figur 2.8'!$D$17:$D$18</c:f>
              <c:numCache>
                <c:formatCode>General</c:formatCode>
                <c:ptCount val="2"/>
                <c:pt idx="0">
                  <c:v>0</c:v>
                </c:pt>
                <c:pt idx="1">
                  <c:v>1</c:v>
                </c:pt>
              </c:numCache>
            </c:numRef>
          </c:yVal>
          <c:smooth val="0"/>
          <c:extLst>
            <c:ext xmlns:c16="http://schemas.microsoft.com/office/drawing/2014/chart" uri="{C3380CC4-5D6E-409C-BE32-E72D297353CC}">
              <c16:uniqueId val="{00000001-5E38-47B1-B67F-5A8CDD96DFFA}"/>
            </c:ext>
          </c:extLst>
        </c:ser>
        <c:dLbls>
          <c:showLegendKey val="0"/>
          <c:showVal val="0"/>
          <c:showCatName val="0"/>
          <c:showSerName val="0"/>
          <c:showPercent val="0"/>
          <c:showBubbleSize val="0"/>
        </c:dLbls>
        <c:axId val="107077632"/>
        <c:axId val="101883200"/>
      </c:scatterChart>
      <c:catAx>
        <c:axId val="125247488"/>
        <c:scaling>
          <c:orientation val="minMax"/>
        </c:scaling>
        <c:delete val="0"/>
        <c:axPos val="l"/>
        <c:numFmt formatCode="General" sourceLinked="1"/>
        <c:majorTickMark val="none"/>
        <c:minorTickMark val="none"/>
        <c:tickLblPos val="nextTo"/>
        <c:spPr>
          <a:ln>
            <a:noFill/>
          </a:ln>
        </c:spPr>
        <c:crossAx val="101882624"/>
        <c:crosses val="autoZero"/>
        <c:auto val="1"/>
        <c:lblAlgn val="ctr"/>
        <c:lblOffset val="100"/>
        <c:noMultiLvlLbl val="0"/>
      </c:catAx>
      <c:valAx>
        <c:axId val="101882624"/>
        <c:scaling>
          <c:orientation val="minMax"/>
        </c:scaling>
        <c:delete val="0"/>
        <c:axPos val="b"/>
        <c:majorGridlines>
          <c:spPr>
            <a:ln w="9525">
              <a:solidFill>
                <a:srgbClr val="A5A5A5">
                  <a:lumMod val="40000"/>
                  <a:lumOff val="60000"/>
                </a:srgbClr>
              </a:solidFill>
            </a:ln>
          </c:spPr>
        </c:majorGridlines>
        <c:numFmt formatCode="0%" sourceLinked="0"/>
        <c:majorTickMark val="out"/>
        <c:minorTickMark val="none"/>
        <c:tickLblPos val="nextTo"/>
        <c:spPr>
          <a:ln>
            <a:noFill/>
          </a:ln>
        </c:spPr>
        <c:txPr>
          <a:bodyPr/>
          <a:lstStyle/>
          <a:p>
            <a:pPr>
              <a:defRPr sz="900"/>
            </a:pPr>
            <a:endParaRPr lang="nb-NO"/>
          </a:p>
        </c:txPr>
        <c:crossAx val="125247488"/>
        <c:crosses val="autoZero"/>
        <c:crossBetween val="between"/>
      </c:valAx>
      <c:valAx>
        <c:axId val="101883200"/>
        <c:scaling>
          <c:orientation val="minMax"/>
          <c:max val="0.8"/>
          <c:min val="0.1"/>
        </c:scaling>
        <c:delete val="1"/>
        <c:axPos val="r"/>
        <c:numFmt formatCode="General" sourceLinked="1"/>
        <c:majorTickMark val="out"/>
        <c:minorTickMark val="none"/>
        <c:tickLblPos val="nextTo"/>
        <c:crossAx val="107077632"/>
        <c:crosses val="max"/>
        <c:crossBetween val="midCat"/>
      </c:valAx>
      <c:valAx>
        <c:axId val="107077632"/>
        <c:scaling>
          <c:orientation val="minMax"/>
        </c:scaling>
        <c:delete val="1"/>
        <c:axPos val="b"/>
        <c:numFmt formatCode="General" sourceLinked="1"/>
        <c:majorTickMark val="out"/>
        <c:minorTickMark val="none"/>
        <c:tickLblPos val="nextTo"/>
        <c:crossAx val="101883200"/>
        <c:crosses val="autoZero"/>
        <c:crossBetween val="midCat"/>
      </c:valAx>
      <c:spPr>
        <a:ln>
          <a:noFill/>
        </a:ln>
      </c:spPr>
    </c:plotArea>
    <c:plotVisOnly val="1"/>
    <c:dispBlanksAs val="gap"/>
    <c:showDLblsOverMax val="0"/>
  </c:chart>
  <c:spPr>
    <a:ln w="9525">
      <a:solidFill>
        <a:srgbClr val="A5A5A5">
          <a:lumMod val="40000"/>
          <a:lumOff val="60000"/>
        </a:srgbClr>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66EB874F9C4ABA8DBA0F16154841C3"/>
        <w:category>
          <w:name w:val="Generelt"/>
          <w:gallery w:val="placeholder"/>
        </w:category>
        <w:types>
          <w:type w:val="bbPlcHdr"/>
        </w:types>
        <w:behaviors>
          <w:behavior w:val="content"/>
        </w:behaviors>
        <w:guid w:val="{A2E69D2D-35A6-419B-80FE-AEA6DCAC9CBD}"/>
      </w:docPartPr>
      <w:docPartBody>
        <w:p w:rsidR="00F503A3" w:rsidRDefault="00B52585">
          <w:r w:rsidRPr="00864D88">
            <w:rPr>
              <w:rStyle w:val="Plassholdertekst"/>
            </w:rPr>
            <w:t>[Overskrift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03BEF"/>
    <w:multiLevelType w:val="multilevel"/>
    <w:tmpl w:val="E29AEA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BCE4EB0"/>
    <w:multiLevelType w:val="multilevel"/>
    <w:tmpl w:val="FF2A92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5053484">
    <w:abstractNumId w:val="0"/>
  </w:num>
  <w:num w:numId="2" w16cid:durableId="137199886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BE4"/>
    <w:rsid w:val="000058B5"/>
    <w:rsid w:val="000154B6"/>
    <w:rsid w:val="00015942"/>
    <w:rsid w:val="0003628B"/>
    <w:rsid w:val="00056190"/>
    <w:rsid w:val="000862CA"/>
    <w:rsid w:val="0008791F"/>
    <w:rsid w:val="00090F0B"/>
    <w:rsid w:val="000C0CA2"/>
    <w:rsid w:val="000C383D"/>
    <w:rsid w:val="000D13CE"/>
    <w:rsid w:val="001856A0"/>
    <w:rsid w:val="0019551B"/>
    <w:rsid w:val="001A56DA"/>
    <w:rsid w:val="001A6CF4"/>
    <w:rsid w:val="001A76AC"/>
    <w:rsid w:val="001E006B"/>
    <w:rsid w:val="001E271B"/>
    <w:rsid w:val="001E7255"/>
    <w:rsid w:val="001F3ACA"/>
    <w:rsid w:val="002068A9"/>
    <w:rsid w:val="002416D8"/>
    <w:rsid w:val="002A2144"/>
    <w:rsid w:val="003138AE"/>
    <w:rsid w:val="00320FAC"/>
    <w:rsid w:val="00350955"/>
    <w:rsid w:val="0035592B"/>
    <w:rsid w:val="00371255"/>
    <w:rsid w:val="003779C5"/>
    <w:rsid w:val="0038644B"/>
    <w:rsid w:val="00387EC7"/>
    <w:rsid w:val="003A338B"/>
    <w:rsid w:val="003B6270"/>
    <w:rsid w:val="003C099F"/>
    <w:rsid w:val="0042432D"/>
    <w:rsid w:val="00455DB3"/>
    <w:rsid w:val="00486147"/>
    <w:rsid w:val="004C5388"/>
    <w:rsid w:val="004D08B8"/>
    <w:rsid w:val="004E0B2E"/>
    <w:rsid w:val="00504A75"/>
    <w:rsid w:val="00516EB4"/>
    <w:rsid w:val="005774EE"/>
    <w:rsid w:val="005A4070"/>
    <w:rsid w:val="005C4923"/>
    <w:rsid w:val="005C6455"/>
    <w:rsid w:val="005D03E8"/>
    <w:rsid w:val="00607492"/>
    <w:rsid w:val="006146F6"/>
    <w:rsid w:val="0061528C"/>
    <w:rsid w:val="0062139E"/>
    <w:rsid w:val="00623D41"/>
    <w:rsid w:val="0062480A"/>
    <w:rsid w:val="006346C3"/>
    <w:rsid w:val="0065067C"/>
    <w:rsid w:val="0066162C"/>
    <w:rsid w:val="00665C8F"/>
    <w:rsid w:val="00672646"/>
    <w:rsid w:val="00674401"/>
    <w:rsid w:val="00680B26"/>
    <w:rsid w:val="006B348D"/>
    <w:rsid w:val="006F213A"/>
    <w:rsid w:val="007206F6"/>
    <w:rsid w:val="00722512"/>
    <w:rsid w:val="00732783"/>
    <w:rsid w:val="00750A62"/>
    <w:rsid w:val="007675A7"/>
    <w:rsid w:val="0078034E"/>
    <w:rsid w:val="00793AF8"/>
    <w:rsid w:val="007B0ABC"/>
    <w:rsid w:val="007C0A5E"/>
    <w:rsid w:val="007C3C2C"/>
    <w:rsid w:val="007F797D"/>
    <w:rsid w:val="00801D0E"/>
    <w:rsid w:val="0082035A"/>
    <w:rsid w:val="0085595C"/>
    <w:rsid w:val="00862B35"/>
    <w:rsid w:val="00867E16"/>
    <w:rsid w:val="00867E5D"/>
    <w:rsid w:val="00885CB9"/>
    <w:rsid w:val="008952B9"/>
    <w:rsid w:val="008A2FAC"/>
    <w:rsid w:val="008C575B"/>
    <w:rsid w:val="008E3F7B"/>
    <w:rsid w:val="009343A3"/>
    <w:rsid w:val="00934BB1"/>
    <w:rsid w:val="00951409"/>
    <w:rsid w:val="00956B1A"/>
    <w:rsid w:val="00975CF2"/>
    <w:rsid w:val="0097611B"/>
    <w:rsid w:val="00995281"/>
    <w:rsid w:val="00996750"/>
    <w:rsid w:val="009A2816"/>
    <w:rsid w:val="009A2C5A"/>
    <w:rsid w:val="009C626A"/>
    <w:rsid w:val="00A22D22"/>
    <w:rsid w:val="00A34CFE"/>
    <w:rsid w:val="00A52E4B"/>
    <w:rsid w:val="00AA1074"/>
    <w:rsid w:val="00AA23C5"/>
    <w:rsid w:val="00AB5170"/>
    <w:rsid w:val="00AE1922"/>
    <w:rsid w:val="00B036A8"/>
    <w:rsid w:val="00B03D22"/>
    <w:rsid w:val="00B52585"/>
    <w:rsid w:val="00B54BB3"/>
    <w:rsid w:val="00B54C8A"/>
    <w:rsid w:val="00C02CE7"/>
    <w:rsid w:val="00C10020"/>
    <w:rsid w:val="00C1356E"/>
    <w:rsid w:val="00C41292"/>
    <w:rsid w:val="00C85A32"/>
    <w:rsid w:val="00CB0CFC"/>
    <w:rsid w:val="00D167F9"/>
    <w:rsid w:val="00D4071E"/>
    <w:rsid w:val="00D64045"/>
    <w:rsid w:val="00D8551C"/>
    <w:rsid w:val="00D91A78"/>
    <w:rsid w:val="00DA0B7D"/>
    <w:rsid w:val="00DC5EEF"/>
    <w:rsid w:val="00DC7C50"/>
    <w:rsid w:val="00DD5921"/>
    <w:rsid w:val="00DE3E24"/>
    <w:rsid w:val="00E00B95"/>
    <w:rsid w:val="00E07C58"/>
    <w:rsid w:val="00E21BE4"/>
    <w:rsid w:val="00E25FC0"/>
    <w:rsid w:val="00E63173"/>
    <w:rsid w:val="00E633DA"/>
    <w:rsid w:val="00E655FD"/>
    <w:rsid w:val="00E82398"/>
    <w:rsid w:val="00E93726"/>
    <w:rsid w:val="00EB55A8"/>
    <w:rsid w:val="00EF4A93"/>
    <w:rsid w:val="00F464DE"/>
    <w:rsid w:val="00F503A3"/>
    <w:rsid w:val="00F558EB"/>
    <w:rsid w:val="00F602ED"/>
    <w:rsid w:val="00F61F8D"/>
    <w:rsid w:val="00F660D4"/>
    <w:rsid w:val="00F71E3E"/>
    <w:rsid w:val="00F85B74"/>
    <w:rsid w:val="00FD7E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BE4"/>
    <w:rPr>
      <w:rFonts w:cs="Times New Roman"/>
      <w:sz w:val="3276"/>
      <w:szCs w:val="3276"/>
    </w:rPr>
  </w:style>
  <w:style w:type="paragraph" w:styleId="Overskrift3">
    <w:name w:val="heading 3"/>
    <w:basedOn w:val="Normal"/>
    <w:next w:val="Normal"/>
    <w:link w:val="Overskrift3Tegn"/>
    <w:uiPriority w:val="9"/>
    <w:qFormat/>
    <w:rsid w:val="00793AF8"/>
    <w:pPr>
      <w:keepNext/>
      <w:keepLines/>
      <w:spacing w:after="0" w:line="260" w:lineRule="atLeast"/>
      <w:outlineLvl w:val="2"/>
    </w:pPr>
    <w:rPr>
      <w:rFonts w:asciiTheme="majorHAnsi" w:eastAsiaTheme="majorEastAsia" w:hAnsiTheme="majorHAnsi" w:cstheme="majorBidi"/>
      <w:b/>
      <w:color w:val="4472C4" w:themeColor="accent1"/>
      <w:sz w:val="20"/>
      <w:szCs w:val="24"/>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793AF8"/>
    <w:rPr>
      <w:rFonts w:asciiTheme="majorHAnsi" w:eastAsiaTheme="majorEastAsia" w:hAnsiTheme="majorHAnsi" w:cstheme="majorBidi"/>
      <w:b/>
      <w:color w:val="4472C4" w:themeColor="accent1"/>
      <w:sz w:val="20"/>
      <w:szCs w:val="24"/>
      <w:lang w:val="nb-NO"/>
    </w:rPr>
  </w:style>
  <w:style w:type="character" w:styleId="Plassholdertekst">
    <w:name w:val="Placeholder Text"/>
    <w:basedOn w:val="Standardskriftforavsnitt"/>
    <w:uiPriority w:val="99"/>
    <w:semiHidden/>
    <w:rsid w:val="003138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DIKU">
      <a:dk1>
        <a:srgbClr val="000000"/>
      </a:dk1>
      <a:lt1>
        <a:srgbClr val="FFFFFF"/>
      </a:lt1>
      <a:dk2>
        <a:srgbClr val="23099F"/>
      </a:dk2>
      <a:lt2>
        <a:srgbClr val="E7E6E6"/>
      </a:lt2>
      <a:accent1>
        <a:srgbClr val="4472C4"/>
      </a:accent1>
      <a:accent2>
        <a:srgbClr val="FF265B"/>
      </a:accent2>
      <a:accent3>
        <a:srgbClr val="A5A5A5"/>
      </a:accent3>
      <a:accent4>
        <a:srgbClr val="FFC000"/>
      </a:accent4>
      <a:accent5>
        <a:srgbClr val="3BC7FF"/>
      </a:accent5>
      <a:accent6>
        <a:srgbClr val="51D8CA"/>
      </a:accent6>
      <a:hlink>
        <a:srgbClr val="0563C1"/>
      </a:hlink>
      <a:folHlink>
        <a:srgbClr val="7124B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2"/>
        </a:solidFill>
        <a:ln w="6350">
          <a:solidFill>
            <a:srgbClr val="FEF7F2"/>
          </a:solidFill>
        </a:ln>
      </a:spPr>
      <a:bodyPr rot="0" spcFirstLastPara="0" vertOverflow="overflow" horzOverflow="overflow" vert="horz" wrap="square" lIns="360000" tIns="360000" rIns="360000" bIns="36000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IKU">
    <a:dk1>
      <a:srgbClr val="000000"/>
    </a:dk1>
    <a:lt1>
      <a:srgbClr val="FFFFFF"/>
    </a:lt1>
    <a:dk2>
      <a:srgbClr val="23099F"/>
    </a:dk2>
    <a:lt2>
      <a:srgbClr val="E7E6E6"/>
    </a:lt2>
    <a:accent1>
      <a:srgbClr val="4472C4"/>
    </a:accent1>
    <a:accent2>
      <a:srgbClr val="FF265B"/>
    </a:accent2>
    <a:accent3>
      <a:srgbClr val="A5A5A5"/>
    </a:accent3>
    <a:accent4>
      <a:srgbClr val="FFC000"/>
    </a:accent4>
    <a:accent5>
      <a:srgbClr val="3BC7FF"/>
    </a:accent5>
    <a:accent6>
      <a:srgbClr val="51D8CA"/>
    </a:accent6>
    <a:hlink>
      <a:srgbClr val="0563C1"/>
    </a:hlink>
    <a:folHlink>
      <a:srgbClr val="7124B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544190-E657-436B-8EA1-858FF9DA4900}">
  <we:reference id="0d131657-7985-4f79-936d-aa5076f4b576" version="1.0.0.0" store="\\Officeconsult\Users\officeconsult\Google Drive\Prosjekter\Addpoint\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5DDFC6FA03478571213EF5102D5A" ma:contentTypeVersion="22" ma:contentTypeDescription="Create a new document." ma:contentTypeScope="" ma:versionID="cbbe25dd79c7607a4afb5e01f66cad17">
  <xsd:schema xmlns:xsd="http://www.w3.org/2001/XMLSchema" xmlns:xs="http://www.w3.org/2001/XMLSchema" xmlns:p="http://schemas.microsoft.com/office/2006/metadata/properties" xmlns:ns2="0ceb6b12-fb48-474e-a796-03b3a8a0c3ff" xmlns:ns3="f8ceb90b-b19b-421b-aa39-1955100b9c41" xmlns:ns4="6e31577e-0215-4a71-88e6-bb03c582c6ec" targetNamespace="http://schemas.microsoft.com/office/2006/metadata/properties" ma:root="true" ma:fieldsID="643a0c6fea09933d09bde920828afcb3" ns2:_="" ns3:_="" ns4:_="">
    <xsd:import namespace="0ceb6b12-fb48-474e-a796-03b3a8a0c3ff"/>
    <xsd:import namespace="f8ceb90b-b19b-421b-aa39-1955100b9c41"/>
    <xsd:import namespace="6e31577e-0215-4a71-88e6-bb03c582c6ec"/>
    <xsd:element name="properties">
      <xsd:complexType>
        <xsd:sequence>
          <xsd:element name="documentManagement">
            <xsd:complexType>
              <xsd:all>
                <xsd:element ref="ns2:TaxKeywordTaxHTField" minOccurs="0"/>
                <xsd:element ref="ns3:TaxCatchAll" minOccurs="0"/>
                <xsd:element ref="ns4:Ekstern" minOccurs="0"/>
                <xsd:element ref="ns4:Arkivverdig" minOccurs="0"/>
                <xsd:element ref="ns4:Klassifisering"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b6b12-fb48-474e-a796-03b3a8a0c3ff" elementFormDefault="qualified">
    <xsd:import namespace="http://schemas.microsoft.com/office/2006/documentManagement/types"/>
    <xsd:import namespace="http://schemas.microsoft.com/office/infopath/2007/PartnerControls"/>
    <xsd:element name="TaxKeywordTaxHTField" ma:index="5" nillable="true" ma:taxonomy="true" ma:internalName="TaxKeywordTaxHTField" ma:taxonomyFieldName="TaxKeyword" ma:displayName="Enterprise Keywords" ma:fieldId="{23f27201-bee3-471e-b2e7-b64fd8b7ca38}" ma:taxonomyMulti="true" ma:sspId="15a638eb-336d-4a77-9d4b-1a2ff8992301" ma:termSetId="00000000-0000-0000-0000-000000000000" ma:anchorId="00000000-0000-0000-0000-000000000000" ma:open="true" ma:isKeyword="true">
      <xsd:complexType>
        <xsd:sequence>
          <xsd:element ref="pc:Terms" minOccurs="0" maxOccurs="1"/>
        </xsd:sequence>
      </xsd:complex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eb90b-b19b-421b-aa39-1955100b9c41"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61c4e297-0f84-445c-b1ac-376bf3a244d9}" ma:internalName="TaxCatchAll" ma:showField="CatchAllData" ma:web="0ceb6b12-fb48-474e-a796-03b3a8a0c3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31577e-0215-4a71-88e6-bb03c582c6ec" elementFormDefault="qualified">
    <xsd:import namespace="http://schemas.microsoft.com/office/2006/documentManagement/types"/>
    <xsd:import namespace="http://schemas.microsoft.com/office/infopath/2007/PartnerControls"/>
    <xsd:element name="Ekstern" ma:index="7" nillable="true" ma:displayName="Ekstern" ma:default="0" ma:internalName="Ekstern" ma:readOnly="false">
      <xsd:simpleType>
        <xsd:restriction base="dms:Boolean"/>
      </xsd:simpleType>
    </xsd:element>
    <xsd:element name="Arkivverdig" ma:index="8" nillable="true" ma:displayName="Arkivverdig" ma:default="0" ma:internalName="Arkivverdig" ma:readOnly="false">
      <xsd:simpleType>
        <xsd:restriction base="dms:Boolean"/>
      </xsd:simpleType>
    </xsd:element>
    <xsd:element name="Klassifisering" ma:index="9" nillable="true" ma:displayName="Klassifisering" ma:default="Intern" ma:format="Dropdown" ma:internalName="Klassifisering" ma:readOnly="false">
      <xsd:simpleType>
        <xsd:restriction base="dms:Choice">
          <xsd:enumeration value="Åpen"/>
          <xsd:enumeration value="Intern"/>
          <xsd:enumeration value="Fortrolig"/>
          <xsd:enumeration value="Strengt fortroli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oot>
  <RNr/>
  <Tittel/>
  <Tittel2/>
  <RAAr/>
</root>
</file>

<file path=customXml/item4.xml><?xml version="1.0" encoding="utf-8"?>
<p:properties xmlns:p="http://schemas.microsoft.com/office/2006/metadata/properties" xmlns:xsi="http://www.w3.org/2001/XMLSchema-instance" xmlns:pc="http://schemas.microsoft.com/office/infopath/2007/PartnerControls">
  <documentManagement>
    <Ekstern xmlns="6e31577e-0215-4a71-88e6-bb03c582c6ec">false</Ekstern>
    <SharedWithUsers xmlns="0ceb6b12-fb48-474e-a796-03b3a8a0c3ff">
      <UserInfo>
        <DisplayName>c:0o.c|federateddirectoryclaimprovider|045ff9fc-f672-4fca-bdbe-18676e72d536_o</DisplayName>
        <AccountId>86</AccountId>
        <AccountType/>
      </UserInfo>
      <UserInfo>
        <DisplayName>Kristin Midttun</DisplayName>
        <AccountId>258</AccountId>
        <AccountType/>
      </UserInfo>
      <UserInfo>
        <DisplayName>Karin Brennholm</DisplayName>
        <AccountId>78</AccountId>
        <AccountType/>
      </UserInfo>
      <UserInfo>
        <DisplayName>Stig Helge Pedersen</DisplayName>
        <AccountId>64</AccountId>
        <AccountType/>
      </UserInfo>
      <UserInfo>
        <DisplayName>Arne Haugen</DisplayName>
        <AccountId>182</AccountId>
        <AccountType/>
      </UserInfo>
      <UserInfo>
        <DisplayName>Magnus Fodstad Larsen</DisplayName>
        <AccountId>117</AccountId>
        <AccountType/>
      </UserInfo>
      <UserInfo>
        <DisplayName>Trude Holme</DisplayName>
        <AccountId>68</AccountId>
        <AccountType/>
      </UserInfo>
      <UserInfo>
        <DisplayName>Åsgeir Kjetland Rabben</DisplayName>
        <AccountId>375</AccountId>
        <AccountType/>
      </UserInfo>
      <UserInfo>
        <DisplayName>Bjarne Mundal</DisplayName>
        <AccountId>167</AccountId>
        <AccountType/>
      </UserInfo>
      <UserInfo>
        <DisplayName>Ane Landøy</DisplayName>
        <AccountId>37</AccountId>
        <AccountType/>
      </UserInfo>
      <UserInfo>
        <DisplayName>Merete Helle</DisplayName>
        <AccountId>364</AccountId>
        <AccountType/>
      </UserInfo>
      <UserInfo>
        <DisplayName>Merethe Wedahl Anker-Nilssen</DisplayName>
        <AccountId>177</AccountId>
        <AccountType/>
      </UserInfo>
    </SharedWithUsers>
    <TaxKeywordTaxHTField xmlns="0ceb6b12-fb48-474e-a796-03b3a8a0c3ff">
      <Terms xmlns="http://schemas.microsoft.com/office/infopath/2007/PartnerControls"/>
    </TaxKeywordTaxHTField>
    <Arkivverdig xmlns="6e31577e-0215-4a71-88e6-bb03c582c6ec">false</Arkivverdig>
    <Klassifisering xmlns="6e31577e-0215-4a71-88e6-bb03c582c6ec">Intern</Klassifisering>
    <TaxCatchAll xmlns="f8ceb90b-b19b-421b-aa39-1955100b9c4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A8A369-4BAE-41CE-9229-F8B31F433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b6b12-fb48-474e-a796-03b3a8a0c3ff"/>
    <ds:schemaRef ds:uri="f8ceb90b-b19b-421b-aa39-1955100b9c41"/>
    <ds:schemaRef ds:uri="6e31577e-0215-4a71-88e6-bb03c582c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A6F3AF-DB36-4F98-BBF3-34F05A897391}">
  <ds:schemaRefs>
    <ds:schemaRef ds:uri="http://schemas.openxmlformats.org/officeDocument/2006/bibliography"/>
  </ds:schemaRefs>
</ds:datastoreItem>
</file>

<file path=customXml/itemProps3.xml><?xml version="1.0" encoding="utf-8"?>
<ds:datastoreItem xmlns:ds="http://schemas.openxmlformats.org/officeDocument/2006/customXml" ds:itemID="{110BB2B1-5F22-4F58-A6CD-ACB6DD93AAB8}">
  <ds:schemaRefs/>
</ds:datastoreItem>
</file>

<file path=customXml/itemProps4.xml><?xml version="1.0" encoding="utf-8"?>
<ds:datastoreItem xmlns:ds="http://schemas.openxmlformats.org/officeDocument/2006/customXml" ds:itemID="{9571FCB9-2E88-473D-A0A7-81AD3157EECD}">
  <ds:schemaRefs>
    <ds:schemaRef ds:uri="http://schemas.microsoft.com/office/2006/metadata/properties"/>
    <ds:schemaRef ds:uri="http://schemas.microsoft.com/office/infopath/2007/PartnerControls"/>
    <ds:schemaRef ds:uri="6e31577e-0215-4a71-88e6-bb03c582c6ec"/>
    <ds:schemaRef ds:uri="0ceb6b12-fb48-474e-a796-03b3a8a0c3ff"/>
    <ds:schemaRef ds:uri="f8ceb90b-b19b-421b-aa39-1955100b9c41"/>
  </ds:schemaRefs>
</ds:datastoreItem>
</file>

<file path=customXml/itemProps5.xml><?xml version="1.0" encoding="utf-8"?>
<ds:datastoreItem xmlns:ds="http://schemas.openxmlformats.org/officeDocument/2006/customXml" ds:itemID="{94AF4CCE-87B7-45F0-A4AA-CC70297929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94</Pages>
  <Words>34940</Words>
  <Characters>185187</Characters>
  <Application>Microsoft Office Word</Application>
  <DocSecurity>2</DocSecurity>
  <Lines>1543</Lines>
  <Paragraphs>439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219688</CharactersWithSpaces>
  <SharedDoc>false</SharedDoc>
  <HLinks>
    <vt:vector size="1428" baseType="variant">
      <vt:variant>
        <vt:i4>7798839</vt:i4>
      </vt:variant>
      <vt:variant>
        <vt:i4>1709</vt:i4>
      </vt:variant>
      <vt:variant>
        <vt:i4>0</vt:i4>
      </vt:variant>
      <vt:variant>
        <vt:i4>5</vt:i4>
      </vt:variant>
      <vt:variant>
        <vt:lpwstr>https://nifu.brage.unit.no/nifu-xmlui/handle/11250/2831574</vt:lpwstr>
      </vt:variant>
      <vt:variant>
        <vt:lpwstr/>
      </vt:variant>
      <vt:variant>
        <vt:i4>7798816</vt:i4>
      </vt:variant>
      <vt:variant>
        <vt:i4>1706</vt:i4>
      </vt:variant>
      <vt:variant>
        <vt:i4>0</vt:i4>
      </vt:variant>
      <vt:variant>
        <vt:i4>5</vt:i4>
      </vt:variant>
      <vt:variant>
        <vt:lpwstr>https://www.uutilsynet.no/webdirektivet-wad/eus-webdirektiv-wad/265</vt:lpwstr>
      </vt:variant>
      <vt:variant>
        <vt:lpwstr/>
      </vt:variant>
      <vt:variant>
        <vt:i4>3342439</vt:i4>
      </vt:variant>
      <vt:variant>
        <vt:i4>1703</vt:i4>
      </vt:variant>
      <vt:variant>
        <vt:i4>0</vt:i4>
      </vt:variant>
      <vt:variant>
        <vt:i4>5</vt:i4>
      </vt:variant>
      <vt:variant>
        <vt:lpwstr>https://stipendiat.no/2023/01/16-12-22-pressemelding-fra-stipendiatorganisasjonene-i-norge-sin/</vt:lpwstr>
      </vt:variant>
      <vt:variant>
        <vt:lpwstr/>
      </vt:variant>
      <vt:variant>
        <vt:i4>4980825</vt:i4>
      </vt:variant>
      <vt:variant>
        <vt:i4>1700</vt:i4>
      </vt:variant>
      <vt:variant>
        <vt:i4>0</vt:i4>
      </vt:variant>
      <vt:variant>
        <vt:i4>5</vt:i4>
      </vt:variant>
      <vt:variant>
        <vt:lpwstr>https://www.ssb.no/statbank/table/13594/</vt:lpwstr>
      </vt:variant>
      <vt:variant>
        <vt:lpwstr/>
      </vt:variant>
      <vt:variant>
        <vt:i4>8126522</vt:i4>
      </vt:variant>
      <vt:variant>
        <vt:i4>1697</vt:i4>
      </vt:variant>
      <vt:variant>
        <vt:i4>0</vt:i4>
      </vt:variant>
      <vt:variant>
        <vt:i4>5</vt:i4>
      </vt:variant>
      <vt:variant>
        <vt:lpwstr>https://nifu.brage.unit.no/nifu-xmlui/handle/11250/2737339</vt:lpwstr>
      </vt:variant>
      <vt:variant>
        <vt:lpwstr/>
      </vt:variant>
      <vt:variant>
        <vt:i4>1769531</vt:i4>
      </vt:variant>
      <vt:variant>
        <vt:i4>1694</vt:i4>
      </vt:variant>
      <vt:variant>
        <vt:i4>0</vt:i4>
      </vt:variant>
      <vt:variant>
        <vt:i4>5</vt:i4>
      </vt:variant>
      <vt:variant>
        <vt:lpwstr>https://dbh.hkdir.no/tall-og-statistikk/aars-rapporter/statistikk-side/18.1?undermeny=statistikk_dokumenter&amp;tabellId=621</vt:lpwstr>
      </vt:variant>
      <vt:variant>
        <vt:lpwstr/>
      </vt:variant>
      <vt:variant>
        <vt:i4>65622</vt:i4>
      </vt:variant>
      <vt:variant>
        <vt:i4>1691</vt:i4>
      </vt:variant>
      <vt:variant>
        <vt:i4>0</vt:i4>
      </vt:variant>
      <vt:variant>
        <vt:i4>5</vt:i4>
      </vt:variant>
      <vt:variant>
        <vt:lpwstr>https://www.regjeringen.no/no/dep/kd/org/styrer-rad-og-utvalg/styrer-ved-universiteter-og-hoyskoler/id568047/</vt:lpwstr>
      </vt:variant>
      <vt:variant>
        <vt:lpwstr/>
      </vt:variant>
      <vt:variant>
        <vt:i4>6029392</vt:i4>
      </vt:variant>
      <vt:variant>
        <vt:i4>1688</vt:i4>
      </vt:variant>
      <vt:variant>
        <vt:i4>0</vt:i4>
      </vt:variant>
      <vt:variant>
        <vt:i4>5</vt:i4>
      </vt:variant>
      <vt:variant>
        <vt:lpwstr>https://data.oecd.org/students/international-student-mobility.htm</vt:lpwstr>
      </vt:variant>
      <vt:variant>
        <vt:lpwstr/>
      </vt:variant>
      <vt:variant>
        <vt:i4>4915212</vt:i4>
      </vt:variant>
      <vt:variant>
        <vt:i4>1685</vt:i4>
      </vt:variant>
      <vt:variant>
        <vt:i4>0</vt:i4>
      </vt:variant>
      <vt:variant>
        <vt:i4>5</vt:i4>
      </vt:variant>
      <vt:variant>
        <vt:lpwstr>https://www.oecd-ilibrary.org/docserver/3197152b-en.pdf?expires=1682492344&amp;id=id&amp;accname=guest&amp;checksum=DA0DEA2F06ECE694F656E268BC9834A2</vt:lpwstr>
      </vt:variant>
      <vt:variant>
        <vt:lpwstr/>
      </vt:variant>
      <vt:variant>
        <vt:i4>720914</vt:i4>
      </vt:variant>
      <vt:variant>
        <vt:i4>1682</vt:i4>
      </vt:variant>
      <vt:variant>
        <vt:i4>0</vt:i4>
      </vt:variant>
      <vt:variant>
        <vt:i4>5</vt:i4>
      </vt:variant>
      <vt:variant>
        <vt:lpwstr>https://www.nupi.no/publikasjoner/cristin-pub/utfordrende-kunnskapssamarbeid-etiske-og-sikkerhetsrelaterte-utfordringer-som-forskere-og-kunnskapsinstitusjoner-i-norge-moeter-i-internasjonale-sa</vt:lpwstr>
      </vt:variant>
      <vt:variant>
        <vt:lpwstr/>
      </vt:variant>
      <vt:variant>
        <vt:i4>5439509</vt:i4>
      </vt:variant>
      <vt:variant>
        <vt:i4>1679</vt:i4>
      </vt:variant>
      <vt:variant>
        <vt:i4>0</vt:i4>
      </vt:variant>
      <vt:variant>
        <vt:i4>5</vt:i4>
      </vt:variant>
      <vt:variant>
        <vt:lpwstr>https://www.nokut.no/globalassets/studiebarometeret/2023/hoyere-utdanning/studiebarometeret-2022_hovedtendenser_2-2023.pdf</vt:lpwstr>
      </vt:variant>
      <vt:variant>
        <vt:lpwstr/>
      </vt:variant>
      <vt:variant>
        <vt:i4>4128786</vt:i4>
      </vt:variant>
      <vt:variant>
        <vt:i4>1676</vt:i4>
      </vt:variant>
      <vt:variant>
        <vt:i4>0</vt:i4>
      </vt:variant>
      <vt:variant>
        <vt:i4>5</vt:i4>
      </vt:variant>
      <vt:variant>
        <vt:lpwstr>https://www.nokut.no/globalassets/nokut/rapporter/ua/2022/sluttrapport-fra-nokuts-evaluering-av-lektorutdanning-for-trinn-813_15-2022.pdf</vt:lpwstr>
      </vt:variant>
      <vt:variant>
        <vt:lpwstr/>
      </vt:variant>
      <vt:variant>
        <vt:i4>4128827</vt:i4>
      </vt:variant>
      <vt:variant>
        <vt:i4>1673</vt:i4>
      </vt:variant>
      <vt:variant>
        <vt:i4>0</vt:i4>
      </vt:variant>
      <vt:variant>
        <vt:i4>5</vt:i4>
      </vt:variant>
      <vt:variant>
        <vt:lpwstr>https://www.regjeringen.no/contentassets/aee30e4b7d3241d5bd89db69fe38f7ba/no/pdfs/stm201620170016000dddpdfs.pdf</vt:lpwstr>
      </vt:variant>
      <vt:variant>
        <vt:lpwstr/>
      </vt:variant>
      <vt:variant>
        <vt:i4>3014783</vt:i4>
      </vt:variant>
      <vt:variant>
        <vt:i4>1670</vt:i4>
      </vt:variant>
      <vt:variant>
        <vt:i4>0</vt:i4>
      </vt:variant>
      <vt:variant>
        <vt:i4>5</vt:i4>
      </vt:variant>
      <vt:variant>
        <vt:lpwstr>https://khrono.no/norge-gruses-av-nordiske-naboer-i-jakten-pa-prestisjemidler-til-grunnforskning/772202</vt:lpwstr>
      </vt:variant>
      <vt:variant>
        <vt:lpwstr/>
      </vt:variant>
      <vt:variant>
        <vt:i4>917512</vt:i4>
      </vt:variant>
      <vt:variant>
        <vt:i4>1667</vt:i4>
      </vt:variant>
      <vt:variant>
        <vt:i4>0</vt:i4>
      </vt:variant>
      <vt:variant>
        <vt:i4>5</vt:i4>
      </vt:variant>
      <vt:variant>
        <vt:lpwstr>https://lovdata.no/dokument/LTI/lov/2021-05-21-42</vt:lpwstr>
      </vt:variant>
      <vt:variant>
        <vt:lpwstr/>
      </vt:variant>
      <vt:variant>
        <vt:i4>5832726</vt:i4>
      </vt:variant>
      <vt:variant>
        <vt:i4>1664</vt:i4>
      </vt:variant>
      <vt:variant>
        <vt:i4>0</vt:i4>
      </vt:variant>
      <vt:variant>
        <vt:i4>5</vt:i4>
      </vt:variant>
      <vt:variant>
        <vt:lpwstr>https://www.ssb.no/utdanning/hoyere-utdanning/artikler/kvalifiserte-sokere-uten-tilbud-om-studieplass</vt:lpwstr>
      </vt:variant>
      <vt:variant>
        <vt:lpwstr/>
      </vt:variant>
      <vt:variant>
        <vt:i4>5439509</vt:i4>
      </vt:variant>
      <vt:variant>
        <vt:i4>1661</vt:i4>
      </vt:variant>
      <vt:variant>
        <vt:i4>0</vt:i4>
      </vt:variant>
      <vt:variant>
        <vt:i4>5</vt:i4>
      </vt:variant>
      <vt:variant>
        <vt:lpwstr>https://www.regjeringen.no/no/dokumenter/horing-studieavgift-for-studenter-fra-land-utenfor-eos-omradet-eller-sveits-mm.-endringer-i-universitets-og-hoyskoleloven/id2933263/</vt:lpwstr>
      </vt:variant>
      <vt:variant>
        <vt:lpwstr/>
      </vt:variant>
      <vt:variant>
        <vt:i4>3276818</vt:i4>
      </vt:variant>
      <vt:variant>
        <vt:i4>1658</vt:i4>
      </vt:variant>
      <vt:variant>
        <vt:i4>0</vt:i4>
      </vt:variant>
      <vt:variant>
        <vt:i4>5</vt:i4>
      </vt:variant>
      <vt:variant>
        <vt:lpwstr>https://www.regjeringen.no/contentassets/58a8bb9fecac4dd6aaf9ead1a6e3c1cd/strategi-forskning-web_uu.pdf</vt:lpwstr>
      </vt:variant>
      <vt:variant>
        <vt:lpwstr/>
      </vt:variant>
      <vt:variant>
        <vt:i4>655383</vt:i4>
      </vt:variant>
      <vt:variant>
        <vt:i4>1655</vt:i4>
      </vt:variant>
      <vt:variant>
        <vt:i4>0</vt:i4>
      </vt:variant>
      <vt:variant>
        <vt:i4>5</vt:i4>
      </vt:variant>
      <vt:variant>
        <vt:lpwstr>https://www.regjeringen.no/contentassets/b5b57900ef6b4542b8b2d70b2c46b658/212540-kd-strategi-erasmus-web.pdf</vt:lpwstr>
      </vt:variant>
      <vt:variant>
        <vt:lpwstr/>
      </vt:variant>
      <vt:variant>
        <vt:i4>1769531</vt:i4>
      </vt:variant>
      <vt:variant>
        <vt:i4>1652</vt:i4>
      </vt:variant>
      <vt:variant>
        <vt:i4>0</vt:i4>
      </vt:variant>
      <vt:variant>
        <vt:i4>5</vt:i4>
      </vt:variant>
      <vt:variant>
        <vt:lpwstr>https://dbh.hkdir.no/tall-og-statistikk/aars-rapporter/statistikk-side/18.1?undermeny=statistikk_dokumenter&amp;tabellId=621</vt:lpwstr>
      </vt:variant>
      <vt:variant>
        <vt:lpwstr/>
      </vt:variant>
      <vt:variant>
        <vt:i4>7864424</vt:i4>
      </vt:variant>
      <vt:variant>
        <vt:i4>1649</vt:i4>
      </vt:variant>
      <vt:variant>
        <vt:i4>0</vt:i4>
      </vt:variant>
      <vt:variant>
        <vt:i4>5</vt:i4>
      </vt:variant>
      <vt:variant>
        <vt:lpwstr>https://www.inn.no/om-hogskolen/kvalitetssystem-for-utdanning/dokumentasjon/kvalitetsrapport-for-utdanning/2021_kvalitetsrapport_hinn.pdf</vt:lpwstr>
      </vt:variant>
      <vt:variant>
        <vt:lpwstr/>
      </vt:variant>
      <vt:variant>
        <vt:i4>8257591</vt:i4>
      </vt:variant>
      <vt:variant>
        <vt:i4>1646</vt:i4>
      </vt:variant>
      <vt:variant>
        <vt:i4>0</vt:i4>
      </vt:variant>
      <vt:variant>
        <vt:i4>5</vt:i4>
      </vt:variant>
      <vt:variant>
        <vt:lpwstr>https://nifu.brage.unit.no/nifu-xmlui/handle/11250/2997301</vt:lpwstr>
      </vt:variant>
      <vt:variant>
        <vt:lpwstr/>
      </vt:variant>
      <vt:variant>
        <vt:i4>5046355</vt:i4>
      </vt:variant>
      <vt:variant>
        <vt:i4>1643</vt:i4>
      </vt:variant>
      <vt:variant>
        <vt:i4>0</vt:i4>
      </vt:variant>
      <vt:variant>
        <vt:i4>5</vt:i4>
      </vt:variant>
      <vt:variant>
        <vt:lpwstr>https://dbh.hkdir.no/datainnhold/kodeverk/stillingskoder</vt:lpwstr>
      </vt:variant>
      <vt:variant>
        <vt:lpwstr/>
      </vt:variant>
      <vt:variant>
        <vt:i4>2818156</vt:i4>
      </vt:variant>
      <vt:variant>
        <vt:i4>1640</vt:i4>
      </vt:variant>
      <vt:variant>
        <vt:i4>0</vt:i4>
      </vt:variant>
      <vt:variant>
        <vt:i4>5</vt:i4>
      </vt:variant>
      <vt:variant>
        <vt:lpwstr>https://www.forskningsradet.no/indikatorrapporten/</vt:lpwstr>
      </vt:variant>
      <vt:variant>
        <vt:lpwstr/>
      </vt:variant>
      <vt:variant>
        <vt:i4>5767255</vt:i4>
      </vt:variant>
      <vt:variant>
        <vt:i4>1637</vt:i4>
      </vt:variant>
      <vt:variant>
        <vt:i4>0</vt:i4>
      </vt:variant>
      <vt:variant>
        <vt:i4>5</vt:i4>
      </vt:variant>
      <vt:variant>
        <vt:lpwstr>https://doi.org/doi/10.2777/06090</vt:lpwstr>
      </vt:variant>
      <vt:variant>
        <vt:lpwstr/>
      </vt:variant>
      <vt:variant>
        <vt:i4>7340151</vt:i4>
      </vt:variant>
      <vt:variant>
        <vt:i4>1623</vt:i4>
      </vt:variant>
      <vt:variant>
        <vt:i4>0</vt:i4>
      </vt:variant>
      <vt:variant>
        <vt:i4>5</vt:i4>
      </vt:variant>
      <vt:variant>
        <vt:lpwstr>https://vedlegg.hkdir.no/TRHU/2023/tabell/V4.32</vt:lpwstr>
      </vt:variant>
      <vt:variant>
        <vt:lpwstr/>
      </vt:variant>
      <vt:variant>
        <vt:i4>7340151</vt:i4>
      </vt:variant>
      <vt:variant>
        <vt:i4>1620</vt:i4>
      </vt:variant>
      <vt:variant>
        <vt:i4>0</vt:i4>
      </vt:variant>
      <vt:variant>
        <vt:i4>5</vt:i4>
      </vt:variant>
      <vt:variant>
        <vt:lpwstr>https://vedlegg.hkdir.no/TRHU/2023/tabell/V4.33</vt:lpwstr>
      </vt:variant>
      <vt:variant>
        <vt:lpwstr/>
      </vt:variant>
      <vt:variant>
        <vt:i4>7405687</vt:i4>
      </vt:variant>
      <vt:variant>
        <vt:i4>1614</vt:i4>
      </vt:variant>
      <vt:variant>
        <vt:i4>0</vt:i4>
      </vt:variant>
      <vt:variant>
        <vt:i4>5</vt:i4>
      </vt:variant>
      <vt:variant>
        <vt:lpwstr>https://vedlegg.hkdir.no/TRHU/2023/tabell/V4.28</vt:lpwstr>
      </vt:variant>
      <vt:variant>
        <vt:lpwstr/>
      </vt:variant>
      <vt:variant>
        <vt:i4>7405687</vt:i4>
      </vt:variant>
      <vt:variant>
        <vt:i4>1611</vt:i4>
      </vt:variant>
      <vt:variant>
        <vt:i4>0</vt:i4>
      </vt:variant>
      <vt:variant>
        <vt:i4>5</vt:i4>
      </vt:variant>
      <vt:variant>
        <vt:lpwstr>https://vedlegg.hkdir.no/TRHU/2023/tabell/V4.28</vt:lpwstr>
      </vt:variant>
      <vt:variant>
        <vt:lpwstr/>
      </vt:variant>
      <vt:variant>
        <vt:i4>7340151</vt:i4>
      </vt:variant>
      <vt:variant>
        <vt:i4>1608</vt:i4>
      </vt:variant>
      <vt:variant>
        <vt:i4>0</vt:i4>
      </vt:variant>
      <vt:variant>
        <vt:i4>5</vt:i4>
      </vt:variant>
      <vt:variant>
        <vt:lpwstr>https://vedlegg.hkdir.no/TRHU/2023/tabell/V4.31</vt:lpwstr>
      </vt:variant>
      <vt:variant>
        <vt:lpwstr/>
      </vt:variant>
      <vt:variant>
        <vt:i4>7340151</vt:i4>
      </vt:variant>
      <vt:variant>
        <vt:i4>1605</vt:i4>
      </vt:variant>
      <vt:variant>
        <vt:i4>0</vt:i4>
      </vt:variant>
      <vt:variant>
        <vt:i4>5</vt:i4>
      </vt:variant>
      <vt:variant>
        <vt:lpwstr>https://vedlegg.hkdir.no/TRHU/2023/tabell/V4.30</vt:lpwstr>
      </vt:variant>
      <vt:variant>
        <vt:lpwstr/>
      </vt:variant>
      <vt:variant>
        <vt:i4>7405687</vt:i4>
      </vt:variant>
      <vt:variant>
        <vt:i4>1602</vt:i4>
      </vt:variant>
      <vt:variant>
        <vt:i4>0</vt:i4>
      </vt:variant>
      <vt:variant>
        <vt:i4>5</vt:i4>
      </vt:variant>
      <vt:variant>
        <vt:lpwstr>https://vedlegg.hkdir.no/TRHU/2023/tabell/V4.29</vt:lpwstr>
      </vt:variant>
      <vt:variant>
        <vt:lpwstr/>
      </vt:variant>
      <vt:variant>
        <vt:i4>7405687</vt:i4>
      </vt:variant>
      <vt:variant>
        <vt:i4>1599</vt:i4>
      </vt:variant>
      <vt:variant>
        <vt:i4>0</vt:i4>
      </vt:variant>
      <vt:variant>
        <vt:i4>5</vt:i4>
      </vt:variant>
      <vt:variant>
        <vt:lpwstr>https://vedlegg.hkdir.no/TRHU/2023/tabell/V4.28</vt:lpwstr>
      </vt:variant>
      <vt:variant>
        <vt:lpwstr/>
      </vt:variant>
      <vt:variant>
        <vt:i4>7405687</vt:i4>
      </vt:variant>
      <vt:variant>
        <vt:i4>1584</vt:i4>
      </vt:variant>
      <vt:variant>
        <vt:i4>0</vt:i4>
      </vt:variant>
      <vt:variant>
        <vt:i4>5</vt:i4>
      </vt:variant>
      <vt:variant>
        <vt:lpwstr>https://vedlegg.hkdir.no/TRHU/2023/tabell/V4.23</vt:lpwstr>
      </vt:variant>
      <vt:variant>
        <vt:lpwstr/>
      </vt:variant>
      <vt:variant>
        <vt:i4>7471223</vt:i4>
      </vt:variant>
      <vt:variant>
        <vt:i4>1566</vt:i4>
      </vt:variant>
      <vt:variant>
        <vt:i4>0</vt:i4>
      </vt:variant>
      <vt:variant>
        <vt:i4>5</vt:i4>
      </vt:variant>
      <vt:variant>
        <vt:lpwstr>https://vedlegg.hkdir.no/TRHU/2023/tabell/V4.19</vt:lpwstr>
      </vt:variant>
      <vt:variant>
        <vt:lpwstr/>
      </vt:variant>
      <vt:variant>
        <vt:i4>7471223</vt:i4>
      </vt:variant>
      <vt:variant>
        <vt:i4>1563</vt:i4>
      </vt:variant>
      <vt:variant>
        <vt:i4>0</vt:i4>
      </vt:variant>
      <vt:variant>
        <vt:i4>5</vt:i4>
      </vt:variant>
      <vt:variant>
        <vt:lpwstr>https://vedlegg.hkdir.no/TRHU/2023/tabell/V4.18</vt:lpwstr>
      </vt:variant>
      <vt:variant>
        <vt:lpwstr/>
      </vt:variant>
      <vt:variant>
        <vt:i4>7471223</vt:i4>
      </vt:variant>
      <vt:variant>
        <vt:i4>1560</vt:i4>
      </vt:variant>
      <vt:variant>
        <vt:i4>0</vt:i4>
      </vt:variant>
      <vt:variant>
        <vt:i4>5</vt:i4>
      </vt:variant>
      <vt:variant>
        <vt:lpwstr>https://vedlegg.hkdir.no/TRHU/2023/tabell/V4.17</vt:lpwstr>
      </vt:variant>
      <vt:variant>
        <vt:lpwstr/>
      </vt:variant>
      <vt:variant>
        <vt:i4>7471223</vt:i4>
      </vt:variant>
      <vt:variant>
        <vt:i4>1554</vt:i4>
      </vt:variant>
      <vt:variant>
        <vt:i4>0</vt:i4>
      </vt:variant>
      <vt:variant>
        <vt:i4>5</vt:i4>
      </vt:variant>
      <vt:variant>
        <vt:lpwstr>https://vedlegg.hkdir.no/TRHU/2023/tabell/V4.19</vt:lpwstr>
      </vt:variant>
      <vt:variant>
        <vt:lpwstr/>
      </vt:variant>
      <vt:variant>
        <vt:i4>7471223</vt:i4>
      </vt:variant>
      <vt:variant>
        <vt:i4>1530</vt:i4>
      </vt:variant>
      <vt:variant>
        <vt:i4>0</vt:i4>
      </vt:variant>
      <vt:variant>
        <vt:i4>5</vt:i4>
      </vt:variant>
      <vt:variant>
        <vt:lpwstr>https://vedlegg.hkdir.no/TRHU/2023/tabell/V4.15</vt:lpwstr>
      </vt:variant>
      <vt:variant>
        <vt:lpwstr/>
      </vt:variant>
      <vt:variant>
        <vt:i4>7471223</vt:i4>
      </vt:variant>
      <vt:variant>
        <vt:i4>1527</vt:i4>
      </vt:variant>
      <vt:variant>
        <vt:i4>0</vt:i4>
      </vt:variant>
      <vt:variant>
        <vt:i4>5</vt:i4>
      </vt:variant>
      <vt:variant>
        <vt:lpwstr>https://vedlegg.hkdir.no/TRHU/2023/tabell/V4.14</vt:lpwstr>
      </vt:variant>
      <vt:variant>
        <vt:lpwstr/>
      </vt:variant>
      <vt:variant>
        <vt:i4>7340151</vt:i4>
      </vt:variant>
      <vt:variant>
        <vt:i4>1506</vt:i4>
      </vt:variant>
      <vt:variant>
        <vt:i4>0</vt:i4>
      </vt:variant>
      <vt:variant>
        <vt:i4>5</vt:i4>
      </vt:variant>
      <vt:variant>
        <vt:lpwstr>https://vedlegg.hkdir.no/TRHU/2023/tabell/V4.3</vt:lpwstr>
      </vt:variant>
      <vt:variant>
        <vt:lpwstr/>
      </vt:variant>
      <vt:variant>
        <vt:i4>7471223</vt:i4>
      </vt:variant>
      <vt:variant>
        <vt:i4>1497</vt:i4>
      </vt:variant>
      <vt:variant>
        <vt:i4>0</vt:i4>
      </vt:variant>
      <vt:variant>
        <vt:i4>5</vt:i4>
      </vt:variant>
      <vt:variant>
        <vt:lpwstr>https://vedlegg.hkdir.no/TRHU/2023/tabell/V4.1</vt:lpwstr>
      </vt:variant>
      <vt:variant>
        <vt:lpwstr/>
      </vt:variant>
      <vt:variant>
        <vt:i4>7340151</vt:i4>
      </vt:variant>
      <vt:variant>
        <vt:i4>1476</vt:i4>
      </vt:variant>
      <vt:variant>
        <vt:i4>0</vt:i4>
      </vt:variant>
      <vt:variant>
        <vt:i4>5</vt:i4>
      </vt:variant>
      <vt:variant>
        <vt:lpwstr>https://vedlegg.hkdir.no/TRHU/2023/tabell/V3.46</vt:lpwstr>
      </vt:variant>
      <vt:variant>
        <vt:lpwstr/>
      </vt:variant>
      <vt:variant>
        <vt:i4>7340151</vt:i4>
      </vt:variant>
      <vt:variant>
        <vt:i4>1473</vt:i4>
      </vt:variant>
      <vt:variant>
        <vt:i4>0</vt:i4>
      </vt:variant>
      <vt:variant>
        <vt:i4>5</vt:i4>
      </vt:variant>
      <vt:variant>
        <vt:lpwstr>https://vedlegg.hkdir.no/TRHU/2023/tabell/V3.45</vt:lpwstr>
      </vt:variant>
      <vt:variant>
        <vt:lpwstr/>
      </vt:variant>
      <vt:variant>
        <vt:i4>7340151</vt:i4>
      </vt:variant>
      <vt:variant>
        <vt:i4>1470</vt:i4>
      </vt:variant>
      <vt:variant>
        <vt:i4>0</vt:i4>
      </vt:variant>
      <vt:variant>
        <vt:i4>5</vt:i4>
      </vt:variant>
      <vt:variant>
        <vt:lpwstr>https://vedlegg.hkdir.no/TRHU/2023/tabell/V3.44</vt:lpwstr>
      </vt:variant>
      <vt:variant>
        <vt:lpwstr/>
      </vt:variant>
      <vt:variant>
        <vt:i4>7340151</vt:i4>
      </vt:variant>
      <vt:variant>
        <vt:i4>1467</vt:i4>
      </vt:variant>
      <vt:variant>
        <vt:i4>0</vt:i4>
      </vt:variant>
      <vt:variant>
        <vt:i4>5</vt:i4>
      </vt:variant>
      <vt:variant>
        <vt:lpwstr>https://vedlegg.hkdir.no/TRHU/2023/tabell/V3.43</vt:lpwstr>
      </vt:variant>
      <vt:variant>
        <vt:lpwstr/>
      </vt:variant>
      <vt:variant>
        <vt:i4>7340151</vt:i4>
      </vt:variant>
      <vt:variant>
        <vt:i4>1464</vt:i4>
      </vt:variant>
      <vt:variant>
        <vt:i4>0</vt:i4>
      </vt:variant>
      <vt:variant>
        <vt:i4>5</vt:i4>
      </vt:variant>
      <vt:variant>
        <vt:lpwstr>https://vedlegg.hkdir.no/TRHU/2023/tabell/V3.42</vt:lpwstr>
      </vt:variant>
      <vt:variant>
        <vt:lpwstr/>
      </vt:variant>
      <vt:variant>
        <vt:i4>7733367</vt:i4>
      </vt:variant>
      <vt:variant>
        <vt:i4>1458</vt:i4>
      </vt:variant>
      <vt:variant>
        <vt:i4>0</vt:i4>
      </vt:variant>
      <vt:variant>
        <vt:i4>5</vt:i4>
      </vt:variant>
      <vt:variant>
        <vt:lpwstr>https://vedlegg.hkdir.no/TRHU/2023/tabell/V3.24</vt:lpwstr>
      </vt:variant>
      <vt:variant>
        <vt:lpwstr/>
      </vt:variant>
      <vt:variant>
        <vt:i4>7733367</vt:i4>
      </vt:variant>
      <vt:variant>
        <vt:i4>1437</vt:i4>
      </vt:variant>
      <vt:variant>
        <vt:i4>0</vt:i4>
      </vt:variant>
      <vt:variant>
        <vt:i4>5</vt:i4>
      </vt:variant>
      <vt:variant>
        <vt:lpwstr>https://vedlegg.hkdir.no/TRHU/2023/tabell/V3.24</vt:lpwstr>
      </vt:variant>
      <vt:variant>
        <vt:lpwstr/>
      </vt:variant>
      <vt:variant>
        <vt:i4>7733367</vt:i4>
      </vt:variant>
      <vt:variant>
        <vt:i4>1434</vt:i4>
      </vt:variant>
      <vt:variant>
        <vt:i4>0</vt:i4>
      </vt:variant>
      <vt:variant>
        <vt:i4>5</vt:i4>
      </vt:variant>
      <vt:variant>
        <vt:lpwstr>https://vedlegg.hkdir.no/TRHU/2023/tabell/V3.25</vt:lpwstr>
      </vt:variant>
      <vt:variant>
        <vt:lpwstr/>
      </vt:variant>
      <vt:variant>
        <vt:i4>7798903</vt:i4>
      </vt:variant>
      <vt:variant>
        <vt:i4>1428</vt:i4>
      </vt:variant>
      <vt:variant>
        <vt:i4>0</vt:i4>
      </vt:variant>
      <vt:variant>
        <vt:i4>5</vt:i4>
      </vt:variant>
      <vt:variant>
        <vt:lpwstr>https://vedlegg.hkdir.no/TRHU/2023/tabell/V3.33</vt:lpwstr>
      </vt:variant>
      <vt:variant>
        <vt:lpwstr/>
      </vt:variant>
      <vt:variant>
        <vt:i4>7798903</vt:i4>
      </vt:variant>
      <vt:variant>
        <vt:i4>1425</vt:i4>
      </vt:variant>
      <vt:variant>
        <vt:i4>0</vt:i4>
      </vt:variant>
      <vt:variant>
        <vt:i4>5</vt:i4>
      </vt:variant>
      <vt:variant>
        <vt:lpwstr>https://vedlegg.hkdir.no/TRHU/2023/tabell/V3.32</vt:lpwstr>
      </vt:variant>
      <vt:variant>
        <vt:lpwstr/>
      </vt:variant>
      <vt:variant>
        <vt:i4>7798903</vt:i4>
      </vt:variant>
      <vt:variant>
        <vt:i4>1422</vt:i4>
      </vt:variant>
      <vt:variant>
        <vt:i4>0</vt:i4>
      </vt:variant>
      <vt:variant>
        <vt:i4>5</vt:i4>
      </vt:variant>
      <vt:variant>
        <vt:lpwstr>https://vedlegg.hkdir.no/TRHU/2023/tabell/V3.31</vt:lpwstr>
      </vt:variant>
      <vt:variant>
        <vt:lpwstr/>
      </vt:variant>
      <vt:variant>
        <vt:i4>7798903</vt:i4>
      </vt:variant>
      <vt:variant>
        <vt:i4>1419</vt:i4>
      </vt:variant>
      <vt:variant>
        <vt:i4>0</vt:i4>
      </vt:variant>
      <vt:variant>
        <vt:i4>5</vt:i4>
      </vt:variant>
      <vt:variant>
        <vt:lpwstr>https://vedlegg.hkdir.no/TRHU/2023/tabell/V3.30</vt:lpwstr>
      </vt:variant>
      <vt:variant>
        <vt:lpwstr/>
      </vt:variant>
      <vt:variant>
        <vt:i4>7733367</vt:i4>
      </vt:variant>
      <vt:variant>
        <vt:i4>1416</vt:i4>
      </vt:variant>
      <vt:variant>
        <vt:i4>0</vt:i4>
      </vt:variant>
      <vt:variant>
        <vt:i4>5</vt:i4>
      </vt:variant>
      <vt:variant>
        <vt:lpwstr>https://vedlegg.hkdir.no/TRHU/2023/tabell/V3.29</vt:lpwstr>
      </vt:variant>
      <vt:variant>
        <vt:lpwstr/>
      </vt:variant>
      <vt:variant>
        <vt:i4>7733367</vt:i4>
      </vt:variant>
      <vt:variant>
        <vt:i4>1389</vt:i4>
      </vt:variant>
      <vt:variant>
        <vt:i4>0</vt:i4>
      </vt:variant>
      <vt:variant>
        <vt:i4>5</vt:i4>
      </vt:variant>
      <vt:variant>
        <vt:lpwstr>https://vedlegg.hkdir.no/TRHU/2023/tabell/V3.28</vt:lpwstr>
      </vt:variant>
      <vt:variant>
        <vt:lpwstr/>
      </vt:variant>
      <vt:variant>
        <vt:i4>7733367</vt:i4>
      </vt:variant>
      <vt:variant>
        <vt:i4>1374</vt:i4>
      </vt:variant>
      <vt:variant>
        <vt:i4>0</vt:i4>
      </vt:variant>
      <vt:variant>
        <vt:i4>5</vt:i4>
      </vt:variant>
      <vt:variant>
        <vt:lpwstr>https://vedlegg.hkdir.no/TRHU/2023/tabell/V3.23</vt:lpwstr>
      </vt:variant>
      <vt:variant>
        <vt:lpwstr/>
      </vt:variant>
      <vt:variant>
        <vt:i4>7733367</vt:i4>
      </vt:variant>
      <vt:variant>
        <vt:i4>1371</vt:i4>
      </vt:variant>
      <vt:variant>
        <vt:i4>0</vt:i4>
      </vt:variant>
      <vt:variant>
        <vt:i4>5</vt:i4>
      </vt:variant>
      <vt:variant>
        <vt:lpwstr>https://vedlegg.hkdir.no/TRHU/2023/tabell/V3.27</vt:lpwstr>
      </vt:variant>
      <vt:variant>
        <vt:lpwstr/>
      </vt:variant>
      <vt:variant>
        <vt:i4>7733367</vt:i4>
      </vt:variant>
      <vt:variant>
        <vt:i4>1341</vt:i4>
      </vt:variant>
      <vt:variant>
        <vt:i4>0</vt:i4>
      </vt:variant>
      <vt:variant>
        <vt:i4>5</vt:i4>
      </vt:variant>
      <vt:variant>
        <vt:lpwstr>https://vedlegg.hkdir.no/TRHU/2023/tabell/V3.23</vt:lpwstr>
      </vt:variant>
      <vt:variant>
        <vt:lpwstr/>
      </vt:variant>
      <vt:variant>
        <vt:i4>7471223</vt:i4>
      </vt:variant>
      <vt:variant>
        <vt:i4>1332</vt:i4>
      </vt:variant>
      <vt:variant>
        <vt:i4>0</vt:i4>
      </vt:variant>
      <vt:variant>
        <vt:i4>5</vt:i4>
      </vt:variant>
      <vt:variant>
        <vt:lpwstr>https://vedlegg.hkdir.no/TRHU/2023/tabell/V4.1</vt:lpwstr>
      </vt:variant>
      <vt:variant>
        <vt:lpwstr/>
      </vt:variant>
      <vt:variant>
        <vt:i4>7733367</vt:i4>
      </vt:variant>
      <vt:variant>
        <vt:i4>1311</vt:i4>
      </vt:variant>
      <vt:variant>
        <vt:i4>0</vt:i4>
      </vt:variant>
      <vt:variant>
        <vt:i4>5</vt:i4>
      </vt:variant>
      <vt:variant>
        <vt:lpwstr>https://vedlegg.hkdir.no/TRHU/2023/tabell/V3.22</vt:lpwstr>
      </vt:variant>
      <vt:variant>
        <vt:lpwstr/>
      </vt:variant>
      <vt:variant>
        <vt:i4>7667831</vt:i4>
      </vt:variant>
      <vt:variant>
        <vt:i4>1299</vt:i4>
      </vt:variant>
      <vt:variant>
        <vt:i4>0</vt:i4>
      </vt:variant>
      <vt:variant>
        <vt:i4>5</vt:i4>
      </vt:variant>
      <vt:variant>
        <vt:lpwstr>https://vedlegg.hkdir.no/TRHU/2023/tabell/V3.19</vt:lpwstr>
      </vt:variant>
      <vt:variant>
        <vt:lpwstr/>
      </vt:variant>
      <vt:variant>
        <vt:i4>7667831</vt:i4>
      </vt:variant>
      <vt:variant>
        <vt:i4>1260</vt:i4>
      </vt:variant>
      <vt:variant>
        <vt:i4>0</vt:i4>
      </vt:variant>
      <vt:variant>
        <vt:i4>5</vt:i4>
      </vt:variant>
      <vt:variant>
        <vt:lpwstr>https://vedlegg.hkdir.no/TRHU/2023/tabell/V3.15</vt:lpwstr>
      </vt:variant>
      <vt:variant>
        <vt:lpwstr/>
      </vt:variant>
      <vt:variant>
        <vt:i4>7667831</vt:i4>
      </vt:variant>
      <vt:variant>
        <vt:i4>1248</vt:i4>
      </vt:variant>
      <vt:variant>
        <vt:i4>0</vt:i4>
      </vt:variant>
      <vt:variant>
        <vt:i4>5</vt:i4>
      </vt:variant>
      <vt:variant>
        <vt:lpwstr>https://vedlegg.hkdir.no/TRHU/2023/tabell/V3.16</vt:lpwstr>
      </vt:variant>
      <vt:variant>
        <vt:lpwstr/>
      </vt:variant>
      <vt:variant>
        <vt:i4>7405687</vt:i4>
      </vt:variant>
      <vt:variant>
        <vt:i4>1200</vt:i4>
      </vt:variant>
      <vt:variant>
        <vt:i4>0</vt:i4>
      </vt:variant>
      <vt:variant>
        <vt:i4>5</vt:i4>
      </vt:variant>
      <vt:variant>
        <vt:lpwstr>https://vedlegg.hkdir.no/TRHU/2023/tabell/V3.5</vt:lpwstr>
      </vt:variant>
      <vt:variant>
        <vt:lpwstr/>
      </vt:variant>
      <vt:variant>
        <vt:i4>7340151</vt:i4>
      </vt:variant>
      <vt:variant>
        <vt:i4>1197</vt:i4>
      </vt:variant>
      <vt:variant>
        <vt:i4>0</vt:i4>
      </vt:variant>
      <vt:variant>
        <vt:i4>5</vt:i4>
      </vt:variant>
      <vt:variant>
        <vt:lpwstr>https://vedlegg.hkdir.no/TRHU/2023/tabell/V3.4</vt:lpwstr>
      </vt:variant>
      <vt:variant>
        <vt:lpwstr/>
      </vt:variant>
      <vt:variant>
        <vt:i4>8061034</vt:i4>
      </vt:variant>
      <vt:variant>
        <vt:i4>1161</vt:i4>
      </vt:variant>
      <vt:variant>
        <vt:i4>0</vt:i4>
      </vt:variant>
      <vt:variant>
        <vt:i4>5</vt:i4>
      </vt:variant>
      <vt:variant>
        <vt:lpwstr>https://dbh.hkdir.no/tall-og-statistikk/statistikk-meny/doktorgrader/statistikk-side/9.6/param?visningId=220&amp;visKode=false&amp;admdebug=false&amp;columns=arstall&amp;hier=insttype%219%21instkode%219%21fakkode%219%21ufakkode%219%21progkode&amp;formel=939&amp;index=1&amp;sti=&amp;param=arstall%3D2022%218%212021%218%212020%218%212019%218%212018%218%212017%218%212016%218%212015%218%212014%218%212013%219%21nye%3D1&amp;binInst=1101</vt:lpwstr>
      </vt:variant>
      <vt:variant>
        <vt:lpwstr/>
      </vt:variant>
      <vt:variant>
        <vt:i4>7667831</vt:i4>
      </vt:variant>
      <vt:variant>
        <vt:i4>1158</vt:i4>
      </vt:variant>
      <vt:variant>
        <vt:i4>0</vt:i4>
      </vt:variant>
      <vt:variant>
        <vt:i4>5</vt:i4>
      </vt:variant>
      <vt:variant>
        <vt:lpwstr>https://vedlegg.hkdir.no/TRHU/2023/tabell/V3.1</vt:lpwstr>
      </vt:variant>
      <vt:variant>
        <vt:lpwstr/>
      </vt:variant>
      <vt:variant>
        <vt:i4>8061003</vt:i4>
      </vt:variant>
      <vt:variant>
        <vt:i4>1152</vt:i4>
      </vt:variant>
      <vt:variant>
        <vt:i4>0</vt:i4>
      </vt:variant>
      <vt:variant>
        <vt:i4>5</vt:i4>
      </vt:variant>
      <vt:variant>
        <vt:lpwstr/>
      </vt:variant>
      <vt:variant>
        <vt:lpwstr>_Studentutveksling</vt:lpwstr>
      </vt:variant>
      <vt:variant>
        <vt:i4>7340151</vt:i4>
      </vt:variant>
      <vt:variant>
        <vt:i4>1146</vt:i4>
      </vt:variant>
      <vt:variant>
        <vt:i4>0</vt:i4>
      </vt:variant>
      <vt:variant>
        <vt:i4>5</vt:i4>
      </vt:variant>
      <vt:variant>
        <vt:lpwstr>https://vedlegg.hkdir.no/TRHU/2023/tabell/V2.55</vt:lpwstr>
      </vt:variant>
      <vt:variant>
        <vt:lpwstr/>
      </vt:variant>
      <vt:variant>
        <vt:i4>7405687</vt:i4>
      </vt:variant>
      <vt:variant>
        <vt:i4>1137</vt:i4>
      </vt:variant>
      <vt:variant>
        <vt:i4>0</vt:i4>
      </vt:variant>
      <vt:variant>
        <vt:i4>5</vt:i4>
      </vt:variant>
      <vt:variant>
        <vt:lpwstr>https://vedlegg.hkdir.no/TRHU/2023/tabell/V2.49</vt:lpwstr>
      </vt:variant>
      <vt:variant>
        <vt:lpwstr/>
      </vt:variant>
      <vt:variant>
        <vt:i4>7340151</vt:i4>
      </vt:variant>
      <vt:variant>
        <vt:i4>1125</vt:i4>
      </vt:variant>
      <vt:variant>
        <vt:i4>0</vt:i4>
      </vt:variant>
      <vt:variant>
        <vt:i4>5</vt:i4>
      </vt:variant>
      <vt:variant>
        <vt:lpwstr>https://vedlegg.hkdir.no/TRHU/2023/tabell/V2.54</vt:lpwstr>
      </vt:variant>
      <vt:variant>
        <vt:lpwstr/>
      </vt:variant>
      <vt:variant>
        <vt:i4>7340151</vt:i4>
      </vt:variant>
      <vt:variant>
        <vt:i4>1122</vt:i4>
      </vt:variant>
      <vt:variant>
        <vt:i4>0</vt:i4>
      </vt:variant>
      <vt:variant>
        <vt:i4>5</vt:i4>
      </vt:variant>
      <vt:variant>
        <vt:lpwstr>https://vedlegg.hkdir.no/TRHU/2023/tabell/V2.52</vt:lpwstr>
      </vt:variant>
      <vt:variant>
        <vt:lpwstr/>
      </vt:variant>
      <vt:variant>
        <vt:i4>7340151</vt:i4>
      </vt:variant>
      <vt:variant>
        <vt:i4>1119</vt:i4>
      </vt:variant>
      <vt:variant>
        <vt:i4>0</vt:i4>
      </vt:variant>
      <vt:variant>
        <vt:i4>5</vt:i4>
      </vt:variant>
      <vt:variant>
        <vt:lpwstr>https://vedlegg.hkdir.no/TRHU/2023/tabell/V2.53</vt:lpwstr>
      </vt:variant>
      <vt:variant>
        <vt:lpwstr/>
      </vt:variant>
      <vt:variant>
        <vt:i4>7340151</vt:i4>
      </vt:variant>
      <vt:variant>
        <vt:i4>1107</vt:i4>
      </vt:variant>
      <vt:variant>
        <vt:i4>0</vt:i4>
      </vt:variant>
      <vt:variant>
        <vt:i4>5</vt:i4>
      </vt:variant>
      <vt:variant>
        <vt:lpwstr>https://vedlegg.hkdir.no/TRHU/2023/tabell/V2.51</vt:lpwstr>
      </vt:variant>
      <vt:variant>
        <vt:lpwstr/>
      </vt:variant>
      <vt:variant>
        <vt:i4>7340151</vt:i4>
      </vt:variant>
      <vt:variant>
        <vt:i4>1101</vt:i4>
      </vt:variant>
      <vt:variant>
        <vt:i4>0</vt:i4>
      </vt:variant>
      <vt:variant>
        <vt:i4>5</vt:i4>
      </vt:variant>
      <vt:variant>
        <vt:lpwstr>https://vedlegg.hkdir.no/TRHU/2023/tabell/V2.57</vt:lpwstr>
      </vt:variant>
      <vt:variant>
        <vt:lpwstr/>
      </vt:variant>
      <vt:variant>
        <vt:i4>7340151</vt:i4>
      </vt:variant>
      <vt:variant>
        <vt:i4>1098</vt:i4>
      </vt:variant>
      <vt:variant>
        <vt:i4>0</vt:i4>
      </vt:variant>
      <vt:variant>
        <vt:i4>5</vt:i4>
      </vt:variant>
      <vt:variant>
        <vt:lpwstr>https://vedlegg.hkdir.no/TRHU/2023/tabell/V2.56</vt:lpwstr>
      </vt:variant>
      <vt:variant>
        <vt:lpwstr/>
      </vt:variant>
      <vt:variant>
        <vt:i4>7536759</vt:i4>
      </vt:variant>
      <vt:variant>
        <vt:i4>1077</vt:i4>
      </vt:variant>
      <vt:variant>
        <vt:i4>0</vt:i4>
      </vt:variant>
      <vt:variant>
        <vt:i4>5</vt:i4>
      </vt:variant>
      <vt:variant>
        <vt:lpwstr>https://vedlegg.hkdir.no/TRHU/2023/tabell/V2.60</vt:lpwstr>
      </vt:variant>
      <vt:variant>
        <vt:lpwstr/>
      </vt:variant>
      <vt:variant>
        <vt:i4>7340151</vt:i4>
      </vt:variant>
      <vt:variant>
        <vt:i4>1074</vt:i4>
      </vt:variant>
      <vt:variant>
        <vt:i4>0</vt:i4>
      </vt:variant>
      <vt:variant>
        <vt:i4>5</vt:i4>
      </vt:variant>
      <vt:variant>
        <vt:lpwstr>https://vedlegg.hkdir.no/TRHU/2023/tabell/V2.59</vt:lpwstr>
      </vt:variant>
      <vt:variant>
        <vt:lpwstr/>
      </vt:variant>
      <vt:variant>
        <vt:i4>7340151</vt:i4>
      </vt:variant>
      <vt:variant>
        <vt:i4>1071</vt:i4>
      </vt:variant>
      <vt:variant>
        <vt:i4>0</vt:i4>
      </vt:variant>
      <vt:variant>
        <vt:i4>5</vt:i4>
      </vt:variant>
      <vt:variant>
        <vt:lpwstr>https://vedlegg.hkdir.no/TRHU/2023/tabell/V2.58</vt:lpwstr>
      </vt:variant>
      <vt:variant>
        <vt:lpwstr/>
      </vt:variant>
      <vt:variant>
        <vt:i4>3932271</vt:i4>
      </vt:variant>
      <vt:variant>
        <vt:i4>1041</vt:i4>
      </vt:variant>
      <vt:variant>
        <vt:i4>0</vt:i4>
      </vt:variant>
      <vt:variant>
        <vt:i4>5</vt:i4>
      </vt:variant>
      <vt:variant>
        <vt:lpwstr>http://www.statistikk.diku.no/</vt:lpwstr>
      </vt:variant>
      <vt:variant>
        <vt:lpwstr/>
      </vt:variant>
      <vt:variant>
        <vt:i4>7405687</vt:i4>
      </vt:variant>
      <vt:variant>
        <vt:i4>1032</vt:i4>
      </vt:variant>
      <vt:variant>
        <vt:i4>0</vt:i4>
      </vt:variant>
      <vt:variant>
        <vt:i4>5</vt:i4>
      </vt:variant>
      <vt:variant>
        <vt:lpwstr>https://vedlegg.hkdir.no/TRHU/2023/tabell/V2.45</vt:lpwstr>
      </vt:variant>
      <vt:variant>
        <vt:lpwstr/>
      </vt:variant>
      <vt:variant>
        <vt:i4>7405687</vt:i4>
      </vt:variant>
      <vt:variant>
        <vt:i4>1029</vt:i4>
      </vt:variant>
      <vt:variant>
        <vt:i4>0</vt:i4>
      </vt:variant>
      <vt:variant>
        <vt:i4>5</vt:i4>
      </vt:variant>
      <vt:variant>
        <vt:lpwstr>https://vedlegg.hkdir.no/TRHU/2023/tabell/V2.48</vt:lpwstr>
      </vt:variant>
      <vt:variant>
        <vt:lpwstr/>
      </vt:variant>
      <vt:variant>
        <vt:i4>7405687</vt:i4>
      </vt:variant>
      <vt:variant>
        <vt:i4>1026</vt:i4>
      </vt:variant>
      <vt:variant>
        <vt:i4>0</vt:i4>
      </vt:variant>
      <vt:variant>
        <vt:i4>5</vt:i4>
      </vt:variant>
      <vt:variant>
        <vt:lpwstr>https://vedlegg.hkdir.no/TRHU/2023/tabell/V2.46</vt:lpwstr>
      </vt:variant>
      <vt:variant>
        <vt:lpwstr/>
      </vt:variant>
      <vt:variant>
        <vt:i4>7405687</vt:i4>
      </vt:variant>
      <vt:variant>
        <vt:i4>1023</vt:i4>
      </vt:variant>
      <vt:variant>
        <vt:i4>0</vt:i4>
      </vt:variant>
      <vt:variant>
        <vt:i4>5</vt:i4>
      </vt:variant>
      <vt:variant>
        <vt:lpwstr>https://vedlegg.hkdir.no/TRHU/2023/tabell/V2.47</vt:lpwstr>
      </vt:variant>
      <vt:variant>
        <vt:lpwstr/>
      </vt:variant>
      <vt:variant>
        <vt:i4>7405687</vt:i4>
      </vt:variant>
      <vt:variant>
        <vt:i4>1011</vt:i4>
      </vt:variant>
      <vt:variant>
        <vt:i4>0</vt:i4>
      </vt:variant>
      <vt:variant>
        <vt:i4>5</vt:i4>
      </vt:variant>
      <vt:variant>
        <vt:lpwstr>https://vedlegg.hkdir.no/TRHU/2023/tabell/V2.47</vt:lpwstr>
      </vt:variant>
      <vt:variant>
        <vt:lpwstr/>
      </vt:variant>
      <vt:variant>
        <vt:i4>7602295</vt:i4>
      </vt:variant>
      <vt:variant>
        <vt:i4>972</vt:i4>
      </vt:variant>
      <vt:variant>
        <vt:i4>0</vt:i4>
      </vt:variant>
      <vt:variant>
        <vt:i4>5</vt:i4>
      </vt:variant>
      <vt:variant>
        <vt:lpwstr>https://vedlegg.hkdir.no/TRHU/2023/tabell/V2.16</vt:lpwstr>
      </vt:variant>
      <vt:variant>
        <vt:lpwstr/>
      </vt:variant>
      <vt:variant>
        <vt:i4>7602295</vt:i4>
      </vt:variant>
      <vt:variant>
        <vt:i4>969</vt:i4>
      </vt:variant>
      <vt:variant>
        <vt:i4>0</vt:i4>
      </vt:variant>
      <vt:variant>
        <vt:i4>5</vt:i4>
      </vt:variant>
      <vt:variant>
        <vt:lpwstr>https://vedlegg.hkdir.no/TRHU/2023/tabell/V2.10</vt:lpwstr>
      </vt:variant>
      <vt:variant>
        <vt:lpwstr/>
      </vt:variant>
      <vt:variant>
        <vt:i4>7733367</vt:i4>
      </vt:variant>
      <vt:variant>
        <vt:i4>945</vt:i4>
      </vt:variant>
      <vt:variant>
        <vt:i4>0</vt:i4>
      </vt:variant>
      <vt:variant>
        <vt:i4>5</vt:i4>
      </vt:variant>
      <vt:variant>
        <vt:lpwstr>https://vedlegg.hkdir.no/TRHU/2023/tabell/V2.39</vt:lpwstr>
      </vt:variant>
      <vt:variant>
        <vt:lpwstr/>
      </vt:variant>
      <vt:variant>
        <vt:i4>7733367</vt:i4>
      </vt:variant>
      <vt:variant>
        <vt:i4>942</vt:i4>
      </vt:variant>
      <vt:variant>
        <vt:i4>0</vt:i4>
      </vt:variant>
      <vt:variant>
        <vt:i4>5</vt:i4>
      </vt:variant>
      <vt:variant>
        <vt:lpwstr>https://vedlegg.hkdir.no/TRHU/2023/tabell/V2.38</vt:lpwstr>
      </vt:variant>
      <vt:variant>
        <vt:lpwstr/>
      </vt:variant>
      <vt:variant>
        <vt:i4>7733367</vt:i4>
      </vt:variant>
      <vt:variant>
        <vt:i4>927</vt:i4>
      </vt:variant>
      <vt:variant>
        <vt:i4>0</vt:i4>
      </vt:variant>
      <vt:variant>
        <vt:i4>5</vt:i4>
      </vt:variant>
      <vt:variant>
        <vt:lpwstr>https://vedlegg.hkdir.no/TRHU/2023/tabell/V2.39</vt:lpwstr>
      </vt:variant>
      <vt:variant>
        <vt:lpwstr/>
      </vt:variant>
      <vt:variant>
        <vt:i4>7733367</vt:i4>
      </vt:variant>
      <vt:variant>
        <vt:i4>915</vt:i4>
      </vt:variant>
      <vt:variant>
        <vt:i4>0</vt:i4>
      </vt:variant>
      <vt:variant>
        <vt:i4>5</vt:i4>
      </vt:variant>
      <vt:variant>
        <vt:lpwstr>https://vedlegg.hkdir.no/TRHU/2023/tabell/V2.31</vt:lpwstr>
      </vt:variant>
      <vt:variant>
        <vt:lpwstr/>
      </vt:variant>
      <vt:variant>
        <vt:i4>7733367</vt:i4>
      </vt:variant>
      <vt:variant>
        <vt:i4>903</vt:i4>
      </vt:variant>
      <vt:variant>
        <vt:i4>0</vt:i4>
      </vt:variant>
      <vt:variant>
        <vt:i4>5</vt:i4>
      </vt:variant>
      <vt:variant>
        <vt:lpwstr>https://vedlegg.hkdir.no/TRHU/2023/tabell/V2.31</vt:lpwstr>
      </vt:variant>
      <vt:variant>
        <vt:lpwstr/>
      </vt:variant>
      <vt:variant>
        <vt:i4>7733367</vt:i4>
      </vt:variant>
      <vt:variant>
        <vt:i4>888</vt:i4>
      </vt:variant>
      <vt:variant>
        <vt:i4>0</vt:i4>
      </vt:variant>
      <vt:variant>
        <vt:i4>5</vt:i4>
      </vt:variant>
      <vt:variant>
        <vt:lpwstr>https://vedlegg.hkdir.no/TRHU/2023/tabell/V2.31</vt:lpwstr>
      </vt:variant>
      <vt:variant>
        <vt:lpwstr/>
      </vt:variant>
      <vt:variant>
        <vt:i4>7798903</vt:i4>
      </vt:variant>
      <vt:variant>
        <vt:i4>858</vt:i4>
      </vt:variant>
      <vt:variant>
        <vt:i4>0</vt:i4>
      </vt:variant>
      <vt:variant>
        <vt:i4>5</vt:i4>
      </vt:variant>
      <vt:variant>
        <vt:lpwstr>https://vedlegg.hkdir.no/TRHU/2023/tabell/V2.26</vt:lpwstr>
      </vt:variant>
      <vt:variant>
        <vt:lpwstr/>
      </vt:variant>
      <vt:variant>
        <vt:i4>7798903</vt:i4>
      </vt:variant>
      <vt:variant>
        <vt:i4>855</vt:i4>
      </vt:variant>
      <vt:variant>
        <vt:i4>0</vt:i4>
      </vt:variant>
      <vt:variant>
        <vt:i4>5</vt:i4>
      </vt:variant>
      <vt:variant>
        <vt:lpwstr>https://vedlegg.hkdir.no/TRHU/2023/tabell/V2.25</vt:lpwstr>
      </vt:variant>
      <vt:variant>
        <vt:lpwstr/>
      </vt:variant>
      <vt:variant>
        <vt:i4>7798903</vt:i4>
      </vt:variant>
      <vt:variant>
        <vt:i4>852</vt:i4>
      </vt:variant>
      <vt:variant>
        <vt:i4>0</vt:i4>
      </vt:variant>
      <vt:variant>
        <vt:i4>5</vt:i4>
      </vt:variant>
      <vt:variant>
        <vt:lpwstr>https://vedlegg.hkdir.no/TRHU/2023/tabell/V2.29</vt:lpwstr>
      </vt:variant>
      <vt:variant>
        <vt:lpwstr/>
      </vt:variant>
      <vt:variant>
        <vt:i4>7798903</vt:i4>
      </vt:variant>
      <vt:variant>
        <vt:i4>846</vt:i4>
      </vt:variant>
      <vt:variant>
        <vt:i4>0</vt:i4>
      </vt:variant>
      <vt:variant>
        <vt:i4>5</vt:i4>
      </vt:variant>
      <vt:variant>
        <vt:lpwstr>https://vedlegg.hkdir.no/TRHU/2023/tabell/V2.24</vt:lpwstr>
      </vt:variant>
      <vt:variant>
        <vt:lpwstr/>
      </vt:variant>
      <vt:variant>
        <vt:i4>7798903</vt:i4>
      </vt:variant>
      <vt:variant>
        <vt:i4>834</vt:i4>
      </vt:variant>
      <vt:variant>
        <vt:i4>0</vt:i4>
      </vt:variant>
      <vt:variant>
        <vt:i4>5</vt:i4>
      </vt:variant>
      <vt:variant>
        <vt:lpwstr>https://vedlegg.hkdir.no/TRHU/2023/tabell/V2.22</vt:lpwstr>
      </vt:variant>
      <vt:variant>
        <vt:lpwstr/>
      </vt:variant>
      <vt:variant>
        <vt:i4>7733367</vt:i4>
      </vt:variant>
      <vt:variant>
        <vt:i4>822</vt:i4>
      </vt:variant>
      <vt:variant>
        <vt:i4>0</vt:i4>
      </vt:variant>
      <vt:variant>
        <vt:i4>5</vt:i4>
      </vt:variant>
      <vt:variant>
        <vt:lpwstr>https://vedlegg.hkdir.no/TRHU/2023/tabell/V2.34</vt:lpwstr>
      </vt:variant>
      <vt:variant>
        <vt:lpwstr/>
      </vt:variant>
      <vt:variant>
        <vt:i4>7602295</vt:i4>
      </vt:variant>
      <vt:variant>
        <vt:i4>819</vt:i4>
      </vt:variant>
      <vt:variant>
        <vt:i4>0</vt:i4>
      </vt:variant>
      <vt:variant>
        <vt:i4>5</vt:i4>
      </vt:variant>
      <vt:variant>
        <vt:lpwstr>https://vedlegg.hkdir.no/TRHU/2023/tabell/V2.18</vt:lpwstr>
      </vt:variant>
      <vt:variant>
        <vt:lpwstr/>
      </vt:variant>
      <vt:variant>
        <vt:i4>7602295</vt:i4>
      </vt:variant>
      <vt:variant>
        <vt:i4>816</vt:i4>
      </vt:variant>
      <vt:variant>
        <vt:i4>0</vt:i4>
      </vt:variant>
      <vt:variant>
        <vt:i4>5</vt:i4>
      </vt:variant>
      <vt:variant>
        <vt:lpwstr>https://vedlegg.hkdir.no/TRHU/2023/tabell/V2.19</vt:lpwstr>
      </vt:variant>
      <vt:variant>
        <vt:lpwstr/>
      </vt:variant>
      <vt:variant>
        <vt:i4>7471223</vt:i4>
      </vt:variant>
      <vt:variant>
        <vt:i4>807</vt:i4>
      </vt:variant>
      <vt:variant>
        <vt:i4>0</vt:i4>
      </vt:variant>
      <vt:variant>
        <vt:i4>5</vt:i4>
      </vt:variant>
      <vt:variant>
        <vt:lpwstr>https://vedlegg.hkdir.no/TRHU/2023/tabell/V4.17</vt:lpwstr>
      </vt:variant>
      <vt:variant>
        <vt:lpwstr/>
      </vt:variant>
      <vt:variant>
        <vt:i4>7602295</vt:i4>
      </vt:variant>
      <vt:variant>
        <vt:i4>783</vt:i4>
      </vt:variant>
      <vt:variant>
        <vt:i4>0</vt:i4>
      </vt:variant>
      <vt:variant>
        <vt:i4>5</vt:i4>
      </vt:variant>
      <vt:variant>
        <vt:lpwstr>https://vedlegg.hkdir.no/TRHU/2023/tabell/V2.12</vt:lpwstr>
      </vt:variant>
      <vt:variant>
        <vt:lpwstr/>
      </vt:variant>
      <vt:variant>
        <vt:i4>8126583</vt:i4>
      </vt:variant>
      <vt:variant>
        <vt:i4>780</vt:i4>
      </vt:variant>
      <vt:variant>
        <vt:i4>0</vt:i4>
      </vt:variant>
      <vt:variant>
        <vt:i4>5</vt:i4>
      </vt:variant>
      <vt:variant>
        <vt:lpwstr>https://vedlegg.hkdir.no/TRHU/2023/tabell/V2.9</vt:lpwstr>
      </vt:variant>
      <vt:variant>
        <vt:lpwstr/>
      </vt:variant>
      <vt:variant>
        <vt:i4>8126583</vt:i4>
      </vt:variant>
      <vt:variant>
        <vt:i4>753</vt:i4>
      </vt:variant>
      <vt:variant>
        <vt:i4>0</vt:i4>
      </vt:variant>
      <vt:variant>
        <vt:i4>5</vt:i4>
      </vt:variant>
      <vt:variant>
        <vt:lpwstr>https://vedlegg.hkdir.no/TRHU/2023/tabell/V2.9</vt:lpwstr>
      </vt:variant>
      <vt:variant>
        <vt:lpwstr/>
      </vt:variant>
      <vt:variant>
        <vt:i4>8126583</vt:i4>
      </vt:variant>
      <vt:variant>
        <vt:i4>747</vt:i4>
      </vt:variant>
      <vt:variant>
        <vt:i4>0</vt:i4>
      </vt:variant>
      <vt:variant>
        <vt:i4>5</vt:i4>
      </vt:variant>
      <vt:variant>
        <vt:lpwstr>https://vedlegg.hkdir.no/TRHU/2023/tabell/V2.9</vt:lpwstr>
      </vt:variant>
      <vt:variant>
        <vt:lpwstr/>
      </vt:variant>
      <vt:variant>
        <vt:i4>8192119</vt:i4>
      </vt:variant>
      <vt:variant>
        <vt:i4>744</vt:i4>
      </vt:variant>
      <vt:variant>
        <vt:i4>0</vt:i4>
      </vt:variant>
      <vt:variant>
        <vt:i4>5</vt:i4>
      </vt:variant>
      <vt:variant>
        <vt:lpwstr>https://vedlegg.hkdir.no/TRHU/2023/tabell/V2.8</vt:lpwstr>
      </vt:variant>
      <vt:variant>
        <vt:lpwstr/>
      </vt:variant>
      <vt:variant>
        <vt:i4>7471223</vt:i4>
      </vt:variant>
      <vt:variant>
        <vt:i4>741</vt:i4>
      </vt:variant>
      <vt:variant>
        <vt:i4>0</vt:i4>
      </vt:variant>
      <vt:variant>
        <vt:i4>5</vt:i4>
      </vt:variant>
      <vt:variant>
        <vt:lpwstr>https://vedlegg.hkdir.no/TRHU/2023/tabell/V2.7</vt:lpwstr>
      </vt:variant>
      <vt:variant>
        <vt:lpwstr/>
      </vt:variant>
      <vt:variant>
        <vt:i4>7471223</vt:i4>
      </vt:variant>
      <vt:variant>
        <vt:i4>738</vt:i4>
      </vt:variant>
      <vt:variant>
        <vt:i4>0</vt:i4>
      </vt:variant>
      <vt:variant>
        <vt:i4>5</vt:i4>
      </vt:variant>
      <vt:variant>
        <vt:lpwstr>https://vedlegg.hkdir.no/TRHU/2023/tabell/V2.7</vt:lpwstr>
      </vt:variant>
      <vt:variant>
        <vt:lpwstr/>
      </vt:variant>
      <vt:variant>
        <vt:i4>7536759</vt:i4>
      </vt:variant>
      <vt:variant>
        <vt:i4>720</vt:i4>
      </vt:variant>
      <vt:variant>
        <vt:i4>0</vt:i4>
      </vt:variant>
      <vt:variant>
        <vt:i4>5</vt:i4>
      </vt:variant>
      <vt:variant>
        <vt:lpwstr>https://vedlegg.hkdir.no/TRHU/2023/tabell/V2.6</vt:lpwstr>
      </vt:variant>
      <vt:variant>
        <vt:lpwstr/>
      </vt:variant>
      <vt:variant>
        <vt:i4>7340151</vt:i4>
      </vt:variant>
      <vt:variant>
        <vt:i4>717</vt:i4>
      </vt:variant>
      <vt:variant>
        <vt:i4>0</vt:i4>
      </vt:variant>
      <vt:variant>
        <vt:i4>5</vt:i4>
      </vt:variant>
      <vt:variant>
        <vt:lpwstr>https://vedlegg.hkdir.no/TRHU/2023/tabell/V2.5</vt:lpwstr>
      </vt:variant>
      <vt:variant>
        <vt:lpwstr/>
      </vt:variant>
      <vt:variant>
        <vt:i4>7405687</vt:i4>
      </vt:variant>
      <vt:variant>
        <vt:i4>708</vt:i4>
      </vt:variant>
      <vt:variant>
        <vt:i4>0</vt:i4>
      </vt:variant>
      <vt:variant>
        <vt:i4>5</vt:i4>
      </vt:variant>
      <vt:variant>
        <vt:lpwstr>https://vedlegg.hkdir.no/TRHU/2023/tabell/V2.4</vt:lpwstr>
      </vt:variant>
      <vt:variant>
        <vt:lpwstr/>
      </vt:variant>
      <vt:variant>
        <vt:i4>2228328</vt:i4>
      </vt:variant>
      <vt:variant>
        <vt:i4>705</vt:i4>
      </vt:variant>
      <vt:variant>
        <vt:i4>0</vt:i4>
      </vt:variant>
      <vt:variant>
        <vt:i4>5</vt:i4>
      </vt:variant>
      <vt:variant>
        <vt:lpwstr>https://vedlegg.hkdir.no/TRHU/2023</vt:lpwstr>
      </vt:variant>
      <vt:variant>
        <vt:lpwstr/>
      </vt:variant>
      <vt:variant>
        <vt:i4>1179701</vt:i4>
      </vt:variant>
      <vt:variant>
        <vt:i4>695</vt:i4>
      </vt:variant>
      <vt:variant>
        <vt:i4>0</vt:i4>
      </vt:variant>
      <vt:variant>
        <vt:i4>5</vt:i4>
      </vt:variant>
      <vt:variant>
        <vt:lpwstr/>
      </vt:variant>
      <vt:variant>
        <vt:lpwstr>_Toc134718198</vt:lpwstr>
      </vt:variant>
      <vt:variant>
        <vt:i4>1179701</vt:i4>
      </vt:variant>
      <vt:variant>
        <vt:i4>689</vt:i4>
      </vt:variant>
      <vt:variant>
        <vt:i4>0</vt:i4>
      </vt:variant>
      <vt:variant>
        <vt:i4>5</vt:i4>
      </vt:variant>
      <vt:variant>
        <vt:lpwstr/>
      </vt:variant>
      <vt:variant>
        <vt:lpwstr>_Toc134718197</vt:lpwstr>
      </vt:variant>
      <vt:variant>
        <vt:i4>1179701</vt:i4>
      </vt:variant>
      <vt:variant>
        <vt:i4>683</vt:i4>
      </vt:variant>
      <vt:variant>
        <vt:i4>0</vt:i4>
      </vt:variant>
      <vt:variant>
        <vt:i4>5</vt:i4>
      </vt:variant>
      <vt:variant>
        <vt:lpwstr/>
      </vt:variant>
      <vt:variant>
        <vt:lpwstr>_Toc134718196</vt:lpwstr>
      </vt:variant>
      <vt:variant>
        <vt:i4>1179701</vt:i4>
      </vt:variant>
      <vt:variant>
        <vt:i4>677</vt:i4>
      </vt:variant>
      <vt:variant>
        <vt:i4>0</vt:i4>
      </vt:variant>
      <vt:variant>
        <vt:i4>5</vt:i4>
      </vt:variant>
      <vt:variant>
        <vt:lpwstr/>
      </vt:variant>
      <vt:variant>
        <vt:lpwstr>_Toc134718195</vt:lpwstr>
      </vt:variant>
      <vt:variant>
        <vt:i4>1179701</vt:i4>
      </vt:variant>
      <vt:variant>
        <vt:i4>671</vt:i4>
      </vt:variant>
      <vt:variant>
        <vt:i4>0</vt:i4>
      </vt:variant>
      <vt:variant>
        <vt:i4>5</vt:i4>
      </vt:variant>
      <vt:variant>
        <vt:lpwstr/>
      </vt:variant>
      <vt:variant>
        <vt:lpwstr>_Toc134718194</vt:lpwstr>
      </vt:variant>
      <vt:variant>
        <vt:i4>1179701</vt:i4>
      </vt:variant>
      <vt:variant>
        <vt:i4>665</vt:i4>
      </vt:variant>
      <vt:variant>
        <vt:i4>0</vt:i4>
      </vt:variant>
      <vt:variant>
        <vt:i4>5</vt:i4>
      </vt:variant>
      <vt:variant>
        <vt:lpwstr/>
      </vt:variant>
      <vt:variant>
        <vt:lpwstr>_Toc134718193</vt:lpwstr>
      </vt:variant>
      <vt:variant>
        <vt:i4>1179701</vt:i4>
      </vt:variant>
      <vt:variant>
        <vt:i4>659</vt:i4>
      </vt:variant>
      <vt:variant>
        <vt:i4>0</vt:i4>
      </vt:variant>
      <vt:variant>
        <vt:i4>5</vt:i4>
      </vt:variant>
      <vt:variant>
        <vt:lpwstr/>
      </vt:variant>
      <vt:variant>
        <vt:lpwstr>_Toc134718192</vt:lpwstr>
      </vt:variant>
      <vt:variant>
        <vt:i4>1179701</vt:i4>
      </vt:variant>
      <vt:variant>
        <vt:i4>650</vt:i4>
      </vt:variant>
      <vt:variant>
        <vt:i4>0</vt:i4>
      </vt:variant>
      <vt:variant>
        <vt:i4>5</vt:i4>
      </vt:variant>
      <vt:variant>
        <vt:lpwstr/>
      </vt:variant>
      <vt:variant>
        <vt:lpwstr>_Toc134718191</vt:lpwstr>
      </vt:variant>
      <vt:variant>
        <vt:i4>1179701</vt:i4>
      </vt:variant>
      <vt:variant>
        <vt:i4>644</vt:i4>
      </vt:variant>
      <vt:variant>
        <vt:i4>0</vt:i4>
      </vt:variant>
      <vt:variant>
        <vt:i4>5</vt:i4>
      </vt:variant>
      <vt:variant>
        <vt:lpwstr/>
      </vt:variant>
      <vt:variant>
        <vt:lpwstr>_Toc134718190</vt:lpwstr>
      </vt:variant>
      <vt:variant>
        <vt:i4>1245237</vt:i4>
      </vt:variant>
      <vt:variant>
        <vt:i4>638</vt:i4>
      </vt:variant>
      <vt:variant>
        <vt:i4>0</vt:i4>
      </vt:variant>
      <vt:variant>
        <vt:i4>5</vt:i4>
      </vt:variant>
      <vt:variant>
        <vt:lpwstr/>
      </vt:variant>
      <vt:variant>
        <vt:lpwstr>_Toc134718189</vt:lpwstr>
      </vt:variant>
      <vt:variant>
        <vt:i4>1245237</vt:i4>
      </vt:variant>
      <vt:variant>
        <vt:i4>632</vt:i4>
      </vt:variant>
      <vt:variant>
        <vt:i4>0</vt:i4>
      </vt:variant>
      <vt:variant>
        <vt:i4>5</vt:i4>
      </vt:variant>
      <vt:variant>
        <vt:lpwstr/>
      </vt:variant>
      <vt:variant>
        <vt:lpwstr>_Toc134718188</vt:lpwstr>
      </vt:variant>
      <vt:variant>
        <vt:i4>1245237</vt:i4>
      </vt:variant>
      <vt:variant>
        <vt:i4>626</vt:i4>
      </vt:variant>
      <vt:variant>
        <vt:i4>0</vt:i4>
      </vt:variant>
      <vt:variant>
        <vt:i4>5</vt:i4>
      </vt:variant>
      <vt:variant>
        <vt:lpwstr/>
      </vt:variant>
      <vt:variant>
        <vt:lpwstr>_Toc134718187</vt:lpwstr>
      </vt:variant>
      <vt:variant>
        <vt:i4>1245237</vt:i4>
      </vt:variant>
      <vt:variant>
        <vt:i4>620</vt:i4>
      </vt:variant>
      <vt:variant>
        <vt:i4>0</vt:i4>
      </vt:variant>
      <vt:variant>
        <vt:i4>5</vt:i4>
      </vt:variant>
      <vt:variant>
        <vt:lpwstr/>
      </vt:variant>
      <vt:variant>
        <vt:lpwstr>_Toc134718186</vt:lpwstr>
      </vt:variant>
      <vt:variant>
        <vt:i4>1245237</vt:i4>
      </vt:variant>
      <vt:variant>
        <vt:i4>614</vt:i4>
      </vt:variant>
      <vt:variant>
        <vt:i4>0</vt:i4>
      </vt:variant>
      <vt:variant>
        <vt:i4>5</vt:i4>
      </vt:variant>
      <vt:variant>
        <vt:lpwstr/>
      </vt:variant>
      <vt:variant>
        <vt:lpwstr>_Toc134718185</vt:lpwstr>
      </vt:variant>
      <vt:variant>
        <vt:i4>1245237</vt:i4>
      </vt:variant>
      <vt:variant>
        <vt:i4>605</vt:i4>
      </vt:variant>
      <vt:variant>
        <vt:i4>0</vt:i4>
      </vt:variant>
      <vt:variant>
        <vt:i4>5</vt:i4>
      </vt:variant>
      <vt:variant>
        <vt:lpwstr/>
      </vt:variant>
      <vt:variant>
        <vt:lpwstr>_Toc134718184</vt:lpwstr>
      </vt:variant>
      <vt:variant>
        <vt:i4>1245237</vt:i4>
      </vt:variant>
      <vt:variant>
        <vt:i4>599</vt:i4>
      </vt:variant>
      <vt:variant>
        <vt:i4>0</vt:i4>
      </vt:variant>
      <vt:variant>
        <vt:i4>5</vt:i4>
      </vt:variant>
      <vt:variant>
        <vt:lpwstr/>
      </vt:variant>
      <vt:variant>
        <vt:lpwstr>_Toc134718183</vt:lpwstr>
      </vt:variant>
      <vt:variant>
        <vt:i4>1245237</vt:i4>
      </vt:variant>
      <vt:variant>
        <vt:i4>593</vt:i4>
      </vt:variant>
      <vt:variant>
        <vt:i4>0</vt:i4>
      </vt:variant>
      <vt:variant>
        <vt:i4>5</vt:i4>
      </vt:variant>
      <vt:variant>
        <vt:lpwstr/>
      </vt:variant>
      <vt:variant>
        <vt:lpwstr>_Toc134718182</vt:lpwstr>
      </vt:variant>
      <vt:variant>
        <vt:i4>1245237</vt:i4>
      </vt:variant>
      <vt:variant>
        <vt:i4>587</vt:i4>
      </vt:variant>
      <vt:variant>
        <vt:i4>0</vt:i4>
      </vt:variant>
      <vt:variant>
        <vt:i4>5</vt:i4>
      </vt:variant>
      <vt:variant>
        <vt:lpwstr/>
      </vt:variant>
      <vt:variant>
        <vt:lpwstr>_Toc134718181</vt:lpwstr>
      </vt:variant>
      <vt:variant>
        <vt:i4>1245237</vt:i4>
      </vt:variant>
      <vt:variant>
        <vt:i4>581</vt:i4>
      </vt:variant>
      <vt:variant>
        <vt:i4>0</vt:i4>
      </vt:variant>
      <vt:variant>
        <vt:i4>5</vt:i4>
      </vt:variant>
      <vt:variant>
        <vt:lpwstr/>
      </vt:variant>
      <vt:variant>
        <vt:lpwstr>_Toc134718180</vt:lpwstr>
      </vt:variant>
      <vt:variant>
        <vt:i4>1835061</vt:i4>
      </vt:variant>
      <vt:variant>
        <vt:i4>575</vt:i4>
      </vt:variant>
      <vt:variant>
        <vt:i4>0</vt:i4>
      </vt:variant>
      <vt:variant>
        <vt:i4>5</vt:i4>
      </vt:variant>
      <vt:variant>
        <vt:lpwstr/>
      </vt:variant>
      <vt:variant>
        <vt:lpwstr>_Toc134718179</vt:lpwstr>
      </vt:variant>
      <vt:variant>
        <vt:i4>1835061</vt:i4>
      </vt:variant>
      <vt:variant>
        <vt:i4>569</vt:i4>
      </vt:variant>
      <vt:variant>
        <vt:i4>0</vt:i4>
      </vt:variant>
      <vt:variant>
        <vt:i4>5</vt:i4>
      </vt:variant>
      <vt:variant>
        <vt:lpwstr/>
      </vt:variant>
      <vt:variant>
        <vt:lpwstr>_Toc134718178</vt:lpwstr>
      </vt:variant>
      <vt:variant>
        <vt:i4>1835061</vt:i4>
      </vt:variant>
      <vt:variant>
        <vt:i4>563</vt:i4>
      </vt:variant>
      <vt:variant>
        <vt:i4>0</vt:i4>
      </vt:variant>
      <vt:variant>
        <vt:i4>5</vt:i4>
      </vt:variant>
      <vt:variant>
        <vt:lpwstr/>
      </vt:variant>
      <vt:variant>
        <vt:lpwstr>_Toc134718177</vt:lpwstr>
      </vt:variant>
      <vt:variant>
        <vt:i4>1835061</vt:i4>
      </vt:variant>
      <vt:variant>
        <vt:i4>557</vt:i4>
      </vt:variant>
      <vt:variant>
        <vt:i4>0</vt:i4>
      </vt:variant>
      <vt:variant>
        <vt:i4>5</vt:i4>
      </vt:variant>
      <vt:variant>
        <vt:lpwstr/>
      </vt:variant>
      <vt:variant>
        <vt:lpwstr>_Toc134718176</vt:lpwstr>
      </vt:variant>
      <vt:variant>
        <vt:i4>1835061</vt:i4>
      </vt:variant>
      <vt:variant>
        <vt:i4>551</vt:i4>
      </vt:variant>
      <vt:variant>
        <vt:i4>0</vt:i4>
      </vt:variant>
      <vt:variant>
        <vt:i4>5</vt:i4>
      </vt:variant>
      <vt:variant>
        <vt:lpwstr/>
      </vt:variant>
      <vt:variant>
        <vt:lpwstr>_Toc134718175</vt:lpwstr>
      </vt:variant>
      <vt:variant>
        <vt:i4>1835061</vt:i4>
      </vt:variant>
      <vt:variant>
        <vt:i4>545</vt:i4>
      </vt:variant>
      <vt:variant>
        <vt:i4>0</vt:i4>
      </vt:variant>
      <vt:variant>
        <vt:i4>5</vt:i4>
      </vt:variant>
      <vt:variant>
        <vt:lpwstr/>
      </vt:variant>
      <vt:variant>
        <vt:lpwstr>_Toc134718174</vt:lpwstr>
      </vt:variant>
      <vt:variant>
        <vt:i4>1835061</vt:i4>
      </vt:variant>
      <vt:variant>
        <vt:i4>539</vt:i4>
      </vt:variant>
      <vt:variant>
        <vt:i4>0</vt:i4>
      </vt:variant>
      <vt:variant>
        <vt:i4>5</vt:i4>
      </vt:variant>
      <vt:variant>
        <vt:lpwstr/>
      </vt:variant>
      <vt:variant>
        <vt:lpwstr>_Toc134718173</vt:lpwstr>
      </vt:variant>
      <vt:variant>
        <vt:i4>1835061</vt:i4>
      </vt:variant>
      <vt:variant>
        <vt:i4>533</vt:i4>
      </vt:variant>
      <vt:variant>
        <vt:i4>0</vt:i4>
      </vt:variant>
      <vt:variant>
        <vt:i4>5</vt:i4>
      </vt:variant>
      <vt:variant>
        <vt:lpwstr/>
      </vt:variant>
      <vt:variant>
        <vt:lpwstr>_Toc134718172</vt:lpwstr>
      </vt:variant>
      <vt:variant>
        <vt:i4>1835061</vt:i4>
      </vt:variant>
      <vt:variant>
        <vt:i4>527</vt:i4>
      </vt:variant>
      <vt:variant>
        <vt:i4>0</vt:i4>
      </vt:variant>
      <vt:variant>
        <vt:i4>5</vt:i4>
      </vt:variant>
      <vt:variant>
        <vt:lpwstr/>
      </vt:variant>
      <vt:variant>
        <vt:lpwstr>_Toc134718171</vt:lpwstr>
      </vt:variant>
      <vt:variant>
        <vt:i4>1835061</vt:i4>
      </vt:variant>
      <vt:variant>
        <vt:i4>521</vt:i4>
      </vt:variant>
      <vt:variant>
        <vt:i4>0</vt:i4>
      </vt:variant>
      <vt:variant>
        <vt:i4>5</vt:i4>
      </vt:variant>
      <vt:variant>
        <vt:lpwstr/>
      </vt:variant>
      <vt:variant>
        <vt:lpwstr>_Toc134718170</vt:lpwstr>
      </vt:variant>
      <vt:variant>
        <vt:i4>1900597</vt:i4>
      </vt:variant>
      <vt:variant>
        <vt:i4>515</vt:i4>
      </vt:variant>
      <vt:variant>
        <vt:i4>0</vt:i4>
      </vt:variant>
      <vt:variant>
        <vt:i4>5</vt:i4>
      </vt:variant>
      <vt:variant>
        <vt:lpwstr/>
      </vt:variant>
      <vt:variant>
        <vt:lpwstr>_Toc134718169</vt:lpwstr>
      </vt:variant>
      <vt:variant>
        <vt:i4>1900597</vt:i4>
      </vt:variant>
      <vt:variant>
        <vt:i4>509</vt:i4>
      </vt:variant>
      <vt:variant>
        <vt:i4>0</vt:i4>
      </vt:variant>
      <vt:variant>
        <vt:i4>5</vt:i4>
      </vt:variant>
      <vt:variant>
        <vt:lpwstr/>
      </vt:variant>
      <vt:variant>
        <vt:lpwstr>_Toc134718168</vt:lpwstr>
      </vt:variant>
      <vt:variant>
        <vt:i4>1900597</vt:i4>
      </vt:variant>
      <vt:variant>
        <vt:i4>503</vt:i4>
      </vt:variant>
      <vt:variant>
        <vt:i4>0</vt:i4>
      </vt:variant>
      <vt:variant>
        <vt:i4>5</vt:i4>
      </vt:variant>
      <vt:variant>
        <vt:lpwstr/>
      </vt:variant>
      <vt:variant>
        <vt:lpwstr>_Toc134718167</vt:lpwstr>
      </vt:variant>
      <vt:variant>
        <vt:i4>1900597</vt:i4>
      </vt:variant>
      <vt:variant>
        <vt:i4>497</vt:i4>
      </vt:variant>
      <vt:variant>
        <vt:i4>0</vt:i4>
      </vt:variant>
      <vt:variant>
        <vt:i4>5</vt:i4>
      </vt:variant>
      <vt:variant>
        <vt:lpwstr/>
      </vt:variant>
      <vt:variant>
        <vt:lpwstr>_Toc134718166</vt:lpwstr>
      </vt:variant>
      <vt:variant>
        <vt:i4>1900597</vt:i4>
      </vt:variant>
      <vt:variant>
        <vt:i4>491</vt:i4>
      </vt:variant>
      <vt:variant>
        <vt:i4>0</vt:i4>
      </vt:variant>
      <vt:variant>
        <vt:i4>5</vt:i4>
      </vt:variant>
      <vt:variant>
        <vt:lpwstr/>
      </vt:variant>
      <vt:variant>
        <vt:lpwstr>_Toc134718165</vt:lpwstr>
      </vt:variant>
      <vt:variant>
        <vt:i4>1900597</vt:i4>
      </vt:variant>
      <vt:variant>
        <vt:i4>485</vt:i4>
      </vt:variant>
      <vt:variant>
        <vt:i4>0</vt:i4>
      </vt:variant>
      <vt:variant>
        <vt:i4>5</vt:i4>
      </vt:variant>
      <vt:variant>
        <vt:lpwstr/>
      </vt:variant>
      <vt:variant>
        <vt:lpwstr>_Toc134718164</vt:lpwstr>
      </vt:variant>
      <vt:variant>
        <vt:i4>1900597</vt:i4>
      </vt:variant>
      <vt:variant>
        <vt:i4>479</vt:i4>
      </vt:variant>
      <vt:variant>
        <vt:i4>0</vt:i4>
      </vt:variant>
      <vt:variant>
        <vt:i4>5</vt:i4>
      </vt:variant>
      <vt:variant>
        <vt:lpwstr/>
      </vt:variant>
      <vt:variant>
        <vt:lpwstr>_Toc134718163</vt:lpwstr>
      </vt:variant>
      <vt:variant>
        <vt:i4>1900597</vt:i4>
      </vt:variant>
      <vt:variant>
        <vt:i4>473</vt:i4>
      </vt:variant>
      <vt:variant>
        <vt:i4>0</vt:i4>
      </vt:variant>
      <vt:variant>
        <vt:i4>5</vt:i4>
      </vt:variant>
      <vt:variant>
        <vt:lpwstr/>
      </vt:variant>
      <vt:variant>
        <vt:lpwstr>_Toc134718162</vt:lpwstr>
      </vt:variant>
      <vt:variant>
        <vt:i4>1900597</vt:i4>
      </vt:variant>
      <vt:variant>
        <vt:i4>467</vt:i4>
      </vt:variant>
      <vt:variant>
        <vt:i4>0</vt:i4>
      </vt:variant>
      <vt:variant>
        <vt:i4>5</vt:i4>
      </vt:variant>
      <vt:variant>
        <vt:lpwstr/>
      </vt:variant>
      <vt:variant>
        <vt:lpwstr>_Toc134718161</vt:lpwstr>
      </vt:variant>
      <vt:variant>
        <vt:i4>1900597</vt:i4>
      </vt:variant>
      <vt:variant>
        <vt:i4>461</vt:i4>
      </vt:variant>
      <vt:variant>
        <vt:i4>0</vt:i4>
      </vt:variant>
      <vt:variant>
        <vt:i4>5</vt:i4>
      </vt:variant>
      <vt:variant>
        <vt:lpwstr/>
      </vt:variant>
      <vt:variant>
        <vt:lpwstr>_Toc134718160</vt:lpwstr>
      </vt:variant>
      <vt:variant>
        <vt:i4>1966133</vt:i4>
      </vt:variant>
      <vt:variant>
        <vt:i4>455</vt:i4>
      </vt:variant>
      <vt:variant>
        <vt:i4>0</vt:i4>
      </vt:variant>
      <vt:variant>
        <vt:i4>5</vt:i4>
      </vt:variant>
      <vt:variant>
        <vt:lpwstr/>
      </vt:variant>
      <vt:variant>
        <vt:lpwstr>_Toc134718159</vt:lpwstr>
      </vt:variant>
      <vt:variant>
        <vt:i4>1966133</vt:i4>
      </vt:variant>
      <vt:variant>
        <vt:i4>449</vt:i4>
      </vt:variant>
      <vt:variant>
        <vt:i4>0</vt:i4>
      </vt:variant>
      <vt:variant>
        <vt:i4>5</vt:i4>
      </vt:variant>
      <vt:variant>
        <vt:lpwstr/>
      </vt:variant>
      <vt:variant>
        <vt:lpwstr>_Toc134718158</vt:lpwstr>
      </vt:variant>
      <vt:variant>
        <vt:i4>1966133</vt:i4>
      </vt:variant>
      <vt:variant>
        <vt:i4>443</vt:i4>
      </vt:variant>
      <vt:variant>
        <vt:i4>0</vt:i4>
      </vt:variant>
      <vt:variant>
        <vt:i4>5</vt:i4>
      </vt:variant>
      <vt:variant>
        <vt:lpwstr/>
      </vt:variant>
      <vt:variant>
        <vt:lpwstr>_Toc134718157</vt:lpwstr>
      </vt:variant>
      <vt:variant>
        <vt:i4>1966133</vt:i4>
      </vt:variant>
      <vt:variant>
        <vt:i4>437</vt:i4>
      </vt:variant>
      <vt:variant>
        <vt:i4>0</vt:i4>
      </vt:variant>
      <vt:variant>
        <vt:i4>5</vt:i4>
      </vt:variant>
      <vt:variant>
        <vt:lpwstr/>
      </vt:variant>
      <vt:variant>
        <vt:lpwstr>_Toc134718156</vt:lpwstr>
      </vt:variant>
      <vt:variant>
        <vt:i4>1966133</vt:i4>
      </vt:variant>
      <vt:variant>
        <vt:i4>431</vt:i4>
      </vt:variant>
      <vt:variant>
        <vt:i4>0</vt:i4>
      </vt:variant>
      <vt:variant>
        <vt:i4>5</vt:i4>
      </vt:variant>
      <vt:variant>
        <vt:lpwstr/>
      </vt:variant>
      <vt:variant>
        <vt:lpwstr>_Toc134718155</vt:lpwstr>
      </vt:variant>
      <vt:variant>
        <vt:i4>1966133</vt:i4>
      </vt:variant>
      <vt:variant>
        <vt:i4>425</vt:i4>
      </vt:variant>
      <vt:variant>
        <vt:i4>0</vt:i4>
      </vt:variant>
      <vt:variant>
        <vt:i4>5</vt:i4>
      </vt:variant>
      <vt:variant>
        <vt:lpwstr/>
      </vt:variant>
      <vt:variant>
        <vt:lpwstr>_Toc134718154</vt:lpwstr>
      </vt:variant>
      <vt:variant>
        <vt:i4>1966133</vt:i4>
      </vt:variant>
      <vt:variant>
        <vt:i4>419</vt:i4>
      </vt:variant>
      <vt:variant>
        <vt:i4>0</vt:i4>
      </vt:variant>
      <vt:variant>
        <vt:i4>5</vt:i4>
      </vt:variant>
      <vt:variant>
        <vt:lpwstr/>
      </vt:variant>
      <vt:variant>
        <vt:lpwstr>_Toc134718153</vt:lpwstr>
      </vt:variant>
      <vt:variant>
        <vt:i4>1966133</vt:i4>
      </vt:variant>
      <vt:variant>
        <vt:i4>413</vt:i4>
      </vt:variant>
      <vt:variant>
        <vt:i4>0</vt:i4>
      </vt:variant>
      <vt:variant>
        <vt:i4>5</vt:i4>
      </vt:variant>
      <vt:variant>
        <vt:lpwstr/>
      </vt:variant>
      <vt:variant>
        <vt:lpwstr>_Toc134718152</vt:lpwstr>
      </vt:variant>
      <vt:variant>
        <vt:i4>1966133</vt:i4>
      </vt:variant>
      <vt:variant>
        <vt:i4>407</vt:i4>
      </vt:variant>
      <vt:variant>
        <vt:i4>0</vt:i4>
      </vt:variant>
      <vt:variant>
        <vt:i4>5</vt:i4>
      </vt:variant>
      <vt:variant>
        <vt:lpwstr/>
      </vt:variant>
      <vt:variant>
        <vt:lpwstr>_Toc134718151</vt:lpwstr>
      </vt:variant>
      <vt:variant>
        <vt:i4>1966133</vt:i4>
      </vt:variant>
      <vt:variant>
        <vt:i4>401</vt:i4>
      </vt:variant>
      <vt:variant>
        <vt:i4>0</vt:i4>
      </vt:variant>
      <vt:variant>
        <vt:i4>5</vt:i4>
      </vt:variant>
      <vt:variant>
        <vt:lpwstr/>
      </vt:variant>
      <vt:variant>
        <vt:lpwstr>_Toc134718150</vt:lpwstr>
      </vt:variant>
      <vt:variant>
        <vt:i4>2031669</vt:i4>
      </vt:variant>
      <vt:variant>
        <vt:i4>395</vt:i4>
      </vt:variant>
      <vt:variant>
        <vt:i4>0</vt:i4>
      </vt:variant>
      <vt:variant>
        <vt:i4>5</vt:i4>
      </vt:variant>
      <vt:variant>
        <vt:lpwstr/>
      </vt:variant>
      <vt:variant>
        <vt:lpwstr>_Toc134718149</vt:lpwstr>
      </vt:variant>
      <vt:variant>
        <vt:i4>2031669</vt:i4>
      </vt:variant>
      <vt:variant>
        <vt:i4>389</vt:i4>
      </vt:variant>
      <vt:variant>
        <vt:i4>0</vt:i4>
      </vt:variant>
      <vt:variant>
        <vt:i4>5</vt:i4>
      </vt:variant>
      <vt:variant>
        <vt:lpwstr/>
      </vt:variant>
      <vt:variant>
        <vt:lpwstr>_Toc134718148</vt:lpwstr>
      </vt:variant>
      <vt:variant>
        <vt:i4>2031669</vt:i4>
      </vt:variant>
      <vt:variant>
        <vt:i4>383</vt:i4>
      </vt:variant>
      <vt:variant>
        <vt:i4>0</vt:i4>
      </vt:variant>
      <vt:variant>
        <vt:i4>5</vt:i4>
      </vt:variant>
      <vt:variant>
        <vt:lpwstr/>
      </vt:variant>
      <vt:variant>
        <vt:lpwstr>_Toc134718147</vt:lpwstr>
      </vt:variant>
      <vt:variant>
        <vt:i4>2031669</vt:i4>
      </vt:variant>
      <vt:variant>
        <vt:i4>377</vt:i4>
      </vt:variant>
      <vt:variant>
        <vt:i4>0</vt:i4>
      </vt:variant>
      <vt:variant>
        <vt:i4>5</vt:i4>
      </vt:variant>
      <vt:variant>
        <vt:lpwstr/>
      </vt:variant>
      <vt:variant>
        <vt:lpwstr>_Toc134718146</vt:lpwstr>
      </vt:variant>
      <vt:variant>
        <vt:i4>2031669</vt:i4>
      </vt:variant>
      <vt:variant>
        <vt:i4>371</vt:i4>
      </vt:variant>
      <vt:variant>
        <vt:i4>0</vt:i4>
      </vt:variant>
      <vt:variant>
        <vt:i4>5</vt:i4>
      </vt:variant>
      <vt:variant>
        <vt:lpwstr/>
      </vt:variant>
      <vt:variant>
        <vt:lpwstr>_Toc134718145</vt:lpwstr>
      </vt:variant>
      <vt:variant>
        <vt:i4>2031669</vt:i4>
      </vt:variant>
      <vt:variant>
        <vt:i4>365</vt:i4>
      </vt:variant>
      <vt:variant>
        <vt:i4>0</vt:i4>
      </vt:variant>
      <vt:variant>
        <vt:i4>5</vt:i4>
      </vt:variant>
      <vt:variant>
        <vt:lpwstr/>
      </vt:variant>
      <vt:variant>
        <vt:lpwstr>_Toc134718144</vt:lpwstr>
      </vt:variant>
      <vt:variant>
        <vt:i4>2031669</vt:i4>
      </vt:variant>
      <vt:variant>
        <vt:i4>359</vt:i4>
      </vt:variant>
      <vt:variant>
        <vt:i4>0</vt:i4>
      </vt:variant>
      <vt:variant>
        <vt:i4>5</vt:i4>
      </vt:variant>
      <vt:variant>
        <vt:lpwstr/>
      </vt:variant>
      <vt:variant>
        <vt:lpwstr>_Toc134718143</vt:lpwstr>
      </vt:variant>
      <vt:variant>
        <vt:i4>2031669</vt:i4>
      </vt:variant>
      <vt:variant>
        <vt:i4>353</vt:i4>
      </vt:variant>
      <vt:variant>
        <vt:i4>0</vt:i4>
      </vt:variant>
      <vt:variant>
        <vt:i4>5</vt:i4>
      </vt:variant>
      <vt:variant>
        <vt:lpwstr/>
      </vt:variant>
      <vt:variant>
        <vt:lpwstr>_Toc134718142</vt:lpwstr>
      </vt:variant>
      <vt:variant>
        <vt:i4>2031669</vt:i4>
      </vt:variant>
      <vt:variant>
        <vt:i4>347</vt:i4>
      </vt:variant>
      <vt:variant>
        <vt:i4>0</vt:i4>
      </vt:variant>
      <vt:variant>
        <vt:i4>5</vt:i4>
      </vt:variant>
      <vt:variant>
        <vt:lpwstr/>
      </vt:variant>
      <vt:variant>
        <vt:lpwstr>_Toc134718141</vt:lpwstr>
      </vt:variant>
      <vt:variant>
        <vt:i4>2031669</vt:i4>
      </vt:variant>
      <vt:variant>
        <vt:i4>341</vt:i4>
      </vt:variant>
      <vt:variant>
        <vt:i4>0</vt:i4>
      </vt:variant>
      <vt:variant>
        <vt:i4>5</vt:i4>
      </vt:variant>
      <vt:variant>
        <vt:lpwstr/>
      </vt:variant>
      <vt:variant>
        <vt:lpwstr>_Toc134718140</vt:lpwstr>
      </vt:variant>
      <vt:variant>
        <vt:i4>1572917</vt:i4>
      </vt:variant>
      <vt:variant>
        <vt:i4>335</vt:i4>
      </vt:variant>
      <vt:variant>
        <vt:i4>0</vt:i4>
      </vt:variant>
      <vt:variant>
        <vt:i4>5</vt:i4>
      </vt:variant>
      <vt:variant>
        <vt:lpwstr/>
      </vt:variant>
      <vt:variant>
        <vt:lpwstr>_Toc134718139</vt:lpwstr>
      </vt:variant>
      <vt:variant>
        <vt:i4>1572917</vt:i4>
      </vt:variant>
      <vt:variant>
        <vt:i4>326</vt:i4>
      </vt:variant>
      <vt:variant>
        <vt:i4>0</vt:i4>
      </vt:variant>
      <vt:variant>
        <vt:i4>5</vt:i4>
      </vt:variant>
      <vt:variant>
        <vt:lpwstr/>
      </vt:variant>
      <vt:variant>
        <vt:lpwstr>_Toc134718138</vt:lpwstr>
      </vt:variant>
      <vt:variant>
        <vt:i4>1572917</vt:i4>
      </vt:variant>
      <vt:variant>
        <vt:i4>320</vt:i4>
      </vt:variant>
      <vt:variant>
        <vt:i4>0</vt:i4>
      </vt:variant>
      <vt:variant>
        <vt:i4>5</vt:i4>
      </vt:variant>
      <vt:variant>
        <vt:lpwstr/>
      </vt:variant>
      <vt:variant>
        <vt:lpwstr>_Toc134718137</vt:lpwstr>
      </vt:variant>
      <vt:variant>
        <vt:i4>1572917</vt:i4>
      </vt:variant>
      <vt:variant>
        <vt:i4>314</vt:i4>
      </vt:variant>
      <vt:variant>
        <vt:i4>0</vt:i4>
      </vt:variant>
      <vt:variant>
        <vt:i4>5</vt:i4>
      </vt:variant>
      <vt:variant>
        <vt:lpwstr/>
      </vt:variant>
      <vt:variant>
        <vt:lpwstr>_Toc134718136</vt:lpwstr>
      </vt:variant>
      <vt:variant>
        <vt:i4>1572917</vt:i4>
      </vt:variant>
      <vt:variant>
        <vt:i4>308</vt:i4>
      </vt:variant>
      <vt:variant>
        <vt:i4>0</vt:i4>
      </vt:variant>
      <vt:variant>
        <vt:i4>5</vt:i4>
      </vt:variant>
      <vt:variant>
        <vt:lpwstr/>
      </vt:variant>
      <vt:variant>
        <vt:lpwstr>_Toc134718135</vt:lpwstr>
      </vt:variant>
      <vt:variant>
        <vt:i4>1572917</vt:i4>
      </vt:variant>
      <vt:variant>
        <vt:i4>302</vt:i4>
      </vt:variant>
      <vt:variant>
        <vt:i4>0</vt:i4>
      </vt:variant>
      <vt:variant>
        <vt:i4>5</vt:i4>
      </vt:variant>
      <vt:variant>
        <vt:lpwstr/>
      </vt:variant>
      <vt:variant>
        <vt:lpwstr>_Toc134718134</vt:lpwstr>
      </vt:variant>
      <vt:variant>
        <vt:i4>1572917</vt:i4>
      </vt:variant>
      <vt:variant>
        <vt:i4>296</vt:i4>
      </vt:variant>
      <vt:variant>
        <vt:i4>0</vt:i4>
      </vt:variant>
      <vt:variant>
        <vt:i4>5</vt:i4>
      </vt:variant>
      <vt:variant>
        <vt:lpwstr/>
      </vt:variant>
      <vt:variant>
        <vt:lpwstr>_Toc134718133</vt:lpwstr>
      </vt:variant>
      <vt:variant>
        <vt:i4>1572917</vt:i4>
      </vt:variant>
      <vt:variant>
        <vt:i4>290</vt:i4>
      </vt:variant>
      <vt:variant>
        <vt:i4>0</vt:i4>
      </vt:variant>
      <vt:variant>
        <vt:i4>5</vt:i4>
      </vt:variant>
      <vt:variant>
        <vt:lpwstr/>
      </vt:variant>
      <vt:variant>
        <vt:lpwstr>_Toc134718132</vt:lpwstr>
      </vt:variant>
      <vt:variant>
        <vt:i4>1572917</vt:i4>
      </vt:variant>
      <vt:variant>
        <vt:i4>284</vt:i4>
      </vt:variant>
      <vt:variant>
        <vt:i4>0</vt:i4>
      </vt:variant>
      <vt:variant>
        <vt:i4>5</vt:i4>
      </vt:variant>
      <vt:variant>
        <vt:lpwstr/>
      </vt:variant>
      <vt:variant>
        <vt:lpwstr>_Toc134718131</vt:lpwstr>
      </vt:variant>
      <vt:variant>
        <vt:i4>1572917</vt:i4>
      </vt:variant>
      <vt:variant>
        <vt:i4>278</vt:i4>
      </vt:variant>
      <vt:variant>
        <vt:i4>0</vt:i4>
      </vt:variant>
      <vt:variant>
        <vt:i4>5</vt:i4>
      </vt:variant>
      <vt:variant>
        <vt:lpwstr/>
      </vt:variant>
      <vt:variant>
        <vt:lpwstr>_Toc134718130</vt:lpwstr>
      </vt:variant>
      <vt:variant>
        <vt:i4>1638453</vt:i4>
      </vt:variant>
      <vt:variant>
        <vt:i4>272</vt:i4>
      </vt:variant>
      <vt:variant>
        <vt:i4>0</vt:i4>
      </vt:variant>
      <vt:variant>
        <vt:i4>5</vt:i4>
      </vt:variant>
      <vt:variant>
        <vt:lpwstr/>
      </vt:variant>
      <vt:variant>
        <vt:lpwstr>_Toc134718129</vt:lpwstr>
      </vt:variant>
      <vt:variant>
        <vt:i4>1638453</vt:i4>
      </vt:variant>
      <vt:variant>
        <vt:i4>266</vt:i4>
      </vt:variant>
      <vt:variant>
        <vt:i4>0</vt:i4>
      </vt:variant>
      <vt:variant>
        <vt:i4>5</vt:i4>
      </vt:variant>
      <vt:variant>
        <vt:lpwstr/>
      </vt:variant>
      <vt:variant>
        <vt:lpwstr>_Toc134718128</vt:lpwstr>
      </vt:variant>
      <vt:variant>
        <vt:i4>1638453</vt:i4>
      </vt:variant>
      <vt:variant>
        <vt:i4>260</vt:i4>
      </vt:variant>
      <vt:variant>
        <vt:i4>0</vt:i4>
      </vt:variant>
      <vt:variant>
        <vt:i4>5</vt:i4>
      </vt:variant>
      <vt:variant>
        <vt:lpwstr/>
      </vt:variant>
      <vt:variant>
        <vt:lpwstr>_Toc134718127</vt:lpwstr>
      </vt:variant>
      <vt:variant>
        <vt:i4>1638453</vt:i4>
      </vt:variant>
      <vt:variant>
        <vt:i4>254</vt:i4>
      </vt:variant>
      <vt:variant>
        <vt:i4>0</vt:i4>
      </vt:variant>
      <vt:variant>
        <vt:i4>5</vt:i4>
      </vt:variant>
      <vt:variant>
        <vt:lpwstr/>
      </vt:variant>
      <vt:variant>
        <vt:lpwstr>_Toc134718126</vt:lpwstr>
      </vt:variant>
      <vt:variant>
        <vt:i4>1638453</vt:i4>
      </vt:variant>
      <vt:variant>
        <vt:i4>248</vt:i4>
      </vt:variant>
      <vt:variant>
        <vt:i4>0</vt:i4>
      </vt:variant>
      <vt:variant>
        <vt:i4>5</vt:i4>
      </vt:variant>
      <vt:variant>
        <vt:lpwstr/>
      </vt:variant>
      <vt:variant>
        <vt:lpwstr>_Toc134718125</vt:lpwstr>
      </vt:variant>
      <vt:variant>
        <vt:i4>1638453</vt:i4>
      </vt:variant>
      <vt:variant>
        <vt:i4>242</vt:i4>
      </vt:variant>
      <vt:variant>
        <vt:i4>0</vt:i4>
      </vt:variant>
      <vt:variant>
        <vt:i4>5</vt:i4>
      </vt:variant>
      <vt:variant>
        <vt:lpwstr/>
      </vt:variant>
      <vt:variant>
        <vt:lpwstr>_Toc134718124</vt:lpwstr>
      </vt:variant>
      <vt:variant>
        <vt:i4>1638453</vt:i4>
      </vt:variant>
      <vt:variant>
        <vt:i4>236</vt:i4>
      </vt:variant>
      <vt:variant>
        <vt:i4>0</vt:i4>
      </vt:variant>
      <vt:variant>
        <vt:i4>5</vt:i4>
      </vt:variant>
      <vt:variant>
        <vt:lpwstr/>
      </vt:variant>
      <vt:variant>
        <vt:lpwstr>_Toc134718123</vt:lpwstr>
      </vt:variant>
      <vt:variant>
        <vt:i4>1638453</vt:i4>
      </vt:variant>
      <vt:variant>
        <vt:i4>230</vt:i4>
      </vt:variant>
      <vt:variant>
        <vt:i4>0</vt:i4>
      </vt:variant>
      <vt:variant>
        <vt:i4>5</vt:i4>
      </vt:variant>
      <vt:variant>
        <vt:lpwstr/>
      </vt:variant>
      <vt:variant>
        <vt:lpwstr>_Toc134718122</vt:lpwstr>
      </vt:variant>
      <vt:variant>
        <vt:i4>1638453</vt:i4>
      </vt:variant>
      <vt:variant>
        <vt:i4>224</vt:i4>
      </vt:variant>
      <vt:variant>
        <vt:i4>0</vt:i4>
      </vt:variant>
      <vt:variant>
        <vt:i4>5</vt:i4>
      </vt:variant>
      <vt:variant>
        <vt:lpwstr/>
      </vt:variant>
      <vt:variant>
        <vt:lpwstr>_Toc134718121</vt:lpwstr>
      </vt:variant>
      <vt:variant>
        <vt:i4>1638453</vt:i4>
      </vt:variant>
      <vt:variant>
        <vt:i4>218</vt:i4>
      </vt:variant>
      <vt:variant>
        <vt:i4>0</vt:i4>
      </vt:variant>
      <vt:variant>
        <vt:i4>5</vt:i4>
      </vt:variant>
      <vt:variant>
        <vt:lpwstr/>
      </vt:variant>
      <vt:variant>
        <vt:lpwstr>_Toc134718120</vt:lpwstr>
      </vt:variant>
      <vt:variant>
        <vt:i4>1703989</vt:i4>
      </vt:variant>
      <vt:variant>
        <vt:i4>212</vt:i4>
      </vt:variant>
      <vt:variant>
        <vt:i4>0</vt:i4>
      </vt:variant>
      <vt:variant>
        <vt:i4>5</vt:i4>
      </vt:variant>
      <vt:variant>
        <vt:lpwstr/>
      </vt:variant>
      <vt:variant>
        <vt:lpwstr>_Toc134718119</vt:lpwstr>
      </vt:variant>
      <vt:variant>
        <vt:i4>1703989</vt:i4>
      </vt:variant>
      <vt:variant>
        <vt:i4>206</vt:i4>
      </vt:variant>
      <vt:variant>
        <vt:i4>0</vt:i4>
      </vt:variant>
      <vt:variant>
        <vt:i4>5</vt:i4>
      </vt:variant>
      <vt:variant>
        <vt:lpwstr/>
      </vt:variant>
      <vt:variant>
        <vt:lpwstr>_Toc134718118</vt:lpwstr>
      </vt:variant>
      <vt:variant>
        <vt:i4>1703989</vt:i4>
      </vt:variant>
      <vt:variant>
        <vt:i4>200</vt:i4>
      </vt:variant>
      <vt:variant>
        <vt:i4>0</vt:i4>
      </vt:variant>
      <vt:variant>
        <vt:i4>5</vt:i4>
      </vt:variant>
      <vt:variant>
        <vt:lpwstr/>
      </vt:variant>
      <vt:variant>
        <vt:lpwstr>_Toc134718117</vt:lpwstr>
      </vt:variant>
      <vt:variant>
        <vt:i4>1703989</vt:i4>
      </vt:variant>
      <vt:variant>
        <vt:i4>194</vt:i4>
      </vt:variant>
      <vt:variant>
        <vt:i4>0</vt:i4>
      </vt:variant>
      <vt:variant>
        <vt:i4>5</vt:i4>
      </vt:variant>
      <vt:variant>
        <vt:lpwstr/>
      </vt:variant>
      <vt:variant>
        <vt:lpwstr>_Toc134718116</vt:lpwstr>
      </vt:variant>
      <vt:variant>
        <vt:i4>1703989</vt:i4>
      </vt:variant>
      <vt:variant>
        <vt:i4>188</vt:i4>
      </vt:variant>
      <vt:variant>
        <vt:i4>0</vt:i4>
      </vt:variant>
      <vt:variant>
        <vt:i4>5</vt:i4>
      </vt:variant>
      <vt:variant>
        <vt:lpwstr/>
      </vt:variant>
      <vt:variant>
        <vt:lpwstr>_Toc134718115</vt:lpwstr>
      </vt:variant>
      <vt:variant>
        <vt:i4>1703989</vt:i4>
      </vt:variant>
      <vt:variant>
        <vt:i4>182</vt:i4>
      </vt:variant>
      <vt:variant>
        <vt:i4>0</vt:i4>
      </vt:variant>
      <vt:variant>
        <vt:i4>5</vt:i4>
      </vt:variant>
      <vt:variant>
        <vt:lpwstr/>
      </vt:variant>
      <vt:variant>
        <vt:lpwstr>_Toc134718114</vt:lpwstr>
      </vt:variant>
      <vt:variant>
        <vt:i4>1703989</vt:i4>
      </vt:variant>
      <vt:variant>
        <vt:i4>176</vt:i4>
      </vt:variant>
      <vt:variant>
        <vt:i4>0</vt:i4>
      </vt:variant>
      <vt:variant>
        <vt:i4>5</vt:i4>
      </vt:variant>
      <vt:variant>
        <vt:lpwstr/>
      </vt:variant>
      <vt:variant>
        <vt:lpwstr>_Toc134718113</vt:lpwstr>
      </vt:variant>
      <vt:variant>
        <vt:i4>1703989</vt:i4>
      </vt:variant>
      <vt:variant>
        <vt:i4>170</vt:i4>
      </vt:variant>
      <vt:variant>
        <vt:i4>0</vt:i4>
      </vt:variant>
      <vt:variant>
        <vt:i4>5</vt:i4>
      </vt:variant>
      <vt:variant>
        <vt:lpwstr/>
      </vt:variant>
      <vt:variant>
        <vt:lpwstr>_Toc134718112</vt:lpwstr>
      </vt:variant>
      <vt:variant>
        <vt:i4>1703989</vt:i4>
      </vt:variant>
      <vt:variant>
        <vt:i4>164</vt:i4>
      </vt:variant>
      <vt:variant>
        <vt:i4>0</vt:i4>
      </vt:variant>
      <vt:variant>
        <vt:i4>5</vt:i4>
      </vt:variant>
      <vt:variant>
        <vt:lpwstr/>
      </vt:variant>
      <vt:variant>
        <vt:lpwstr>_Toc134718111</vt:lpwstr>
      </vt:variant>
      <vt:variant>
        <vt:i4>1703989</vt:i4>
      </vt:variant>
      <vt:variant>
        <vt:i4>158</vt:i4>
      </vt:variant>
      <vt:variant>
        <vt:i4>0</vt:i4>
      </vt:variant>
      <vt:variant>
        <vt:i4>5</vt:i4>
      </vt:variant>
      <vt:variant>
        <vt:lpwstr/>
      </vt:variant>
      <vt:variant>
        <vt:lpwstr>_Toc134718110</vt:lpwstr>
      </vt:variant>
      <vt:variant>
        <vt:i4>1769525</vt:i4>
      </vt:variant>
      <vt:variant>
        <vt:i4>152</vt:i4>
      </vt:variant>
      <vt:variant>
        <vt:i4>0</vt:i4>
      </vt:variant>
      <vt:variant>
        <vt:i4>5</vt:i4>
      </vt:variant>
      <vt:variant>
        <vt:lpwstr/>
      </vt:variant>
      <vt:variant>
        <vt:lpwstr>_Toc134718109</vt:lpwstr>
      </vt:variant>
      <vt:variant>
        <vt:i4>1769525</vt:i4>
      </vt:variant>
      <vt:variant>
        <vt:i4>146</vt:i4>
      </vt:variant>
      <vt:variant>
        <vt:i4>0</vt:i4>
      </vt:variant>
      <vt:variant>
        <vt:i4>5</vt:i4>
      </vt:variant>
      <vt:variant>
        <vt:lpwstr/>
      </vt:variant>
      <vt:variant>
        <vt:lpwstr>_Toc134718108</vt:lpwstr>
      </vt:variant>
      <vt:variant>
        <vt:i4>1769525</vt:i4>
      </vt:variant>
      <vt:variant>
        <vt:i4>140</vt:i4>
      </vt:variant>
      <vt:variant>
        <vt:i4>0</vt:i4>
      </vt:variant>
      <vt:variant>
        <vt:i4>5</vt:i4>
      </vt:variant>
      <vt:variant>
        <vt:lpwstr/>
      </vt:variant>
      <vt:variant>
        <vt:lpwstr>_Toc134718107</vt:lpwstr>
      </vt:variant>
      <vt:variant>
        <vt:i4>1769525</vt:i4>
      </vt:variant>
      <vt:variant>
        <vt:i4>134</vt:i4>
      </vt:variant>
      <vt:variant>
        <vt:i4>0</vt:i4>
      </vt:variant>
      <vt:variant>
        <vt:i4>5</vt:i4>
      </vt:variant>
      <vt:variant>
        <vt:lpwstr/>
      </vt:variant>
      <vt:variant>
        <vt:lpwstr>_Toc134718106</vt:lpwstr>
      </vt:variant>
      <vt:variant>
        <vt:i4>1769525</vt:i4>
      </vt:variant>
      <vt:variant>
        <vt:i4>128</vt:i4>
      </vt:variant>
      <vt:variant>
        <vt:i4>0</vt:i4>
      </vt:variant>
      <vt:variant>
        <vt:i4>5</vt:i4>
      </vt:variant>
      <vt:variant>
        <vt:lpwstr/>
      </vt:variant>
      <vt:variant>
        <vt:lpwstr>_Toc134718105</vt:lpwstr>
      </vt:variant>
      <vt:variant>
        <vt:i4>1769525</vt:i4>
      </vt:variant>
      <vt:variant>
        <vt:i4>122</vt:i4>
      </vt:variant>
      <vt:variant>
        <vt:i4>0</vt:i4>
      </vt:variant>
      <vt:variant>
        <vt:i4>5</vt:i4>
      </vt:variant>
      <vt:variant>
        <vt:lpwstr/>
      </vt:variant>
      <vt:variant>
        <vt:lpwstr>_Toc134718104</vt:lpwstr>
      </vt:variant>
      <vt:variant>
        <vt:i4>1769525</vt:i4>
      </vt:variant>
      <vt:variant>
        <vt:i4>116</vt:i4>
      </vt:variant>
      <vt:variant>
        <vt:i4>0</vt:i4>
      </vt:variant>
      <vt:variant>
        <vt:i4>5</vt:i4>
      </vt:variant>
      <vt:variant>
        <vt:lpwstr/>
      </vt:variant>
      <vt:variant>
        <vt:lpwstr>_Toc134718103</vt:lpwstr>
      </vt:variant>
      <vt:variant>
        <vt:i4>1769525</vt:i4>
      </vt:variant>
      <vt:variant>
        <vt:i4>110</vt:i4>
      </vt:variant>
      <vt:variant>
        <vt:i4>0</vt:i4>
      </vt:variant>
      <vt:variant>
        <vt:i4>5</vt:i4>
      </vt:variant>
      <vt:variant>
        <vt:lpwstr/>
      </vt:variant>
      <vt:variant>
        <vt:lpwstr>_Toc134718102</vt:lpwstr>
      </vt:variant>
      <vt:variant>
        <vt:i4>1769525</vt:i4>
      </vt:variant>
      <vt:variant>
        <vt:i4>104</vt:i4>
      </vt:variant>
      <vt:variant>
        <vt:i4>0</vt:i4>
      </vt:variant>
      <vt:variant>
        <vt:i4>5</vt:i4>
      </vt:variant>
      <vt:variant>
        <vt:lpwstr/>
      </vt:variant>
      <vt:variant>
        <vt:lpwstr>_Toc134718101</vt:lpwstr>
      </vt:variant>
      <vt:variant>
        <vt:i4>1769525</vt:i4>
      </vt:variant>
      <vt:variant>
        <vt:i4>98</vt:i4>
      </vt:variant>
      <vt:variant>
        <vt:i4>0</vt:i4>
      </vt:variant>
      <vt:variant>
        <vt:i4>5</vt:i4>
      </vt:variant>
      <vt:variant>
        <vt:lpwstr/>
      </vt:variant>
      <vt:variant>
        <vt:lpwstr>_Toc134718100</vt:lpwstr>
      </vt:variant>
      <vt:variant>
        <vt:i4>1179700</vt:i4>
      </vt:variant>
      <vt:variant>
        <vt:i4>92</vt:i4>
      </vt:variant>
      <vt:variant>
        <vt:i4>0</vt:i4>
      </vt:variant>
      <vt:variant>
        <vt:i4>5</vt:i4>
      </vt:variant>
      <vt:variant>
        <vt:lpwstr/>
      </vt:variant>
      <vt:variant>
        <vt:lpwstr>_Toc134718099</vt:lpwstr>
      </vt:variant>
      <vt:variant>
        <vt:i4>1179700</vt:i4>
      </vt:variant>
      <vt:variant>
        <vt:i4>86</vt:i4>
      </vt:variant>
      <vt:variant>
        <vt:i4>0</vt:i4>
      </vt:variant>
      <vt:variant>
        <vt:i4>5</vt:i4>
      </vt:variant>
      <vt:variant>
        <vt:lpwstr/>
      </vt:variant>
      <vt:variant>
        <vt:lpwstr>_Toc134718098</vt:lpwstr>
      </vt:variant>
      <vt:variant>
        <vt:i4>1179700</vt:i4>
      </vt:variant>
      <vt:variant>
        <vt:i4>80</vt:i4>
      </vt:variant>
      <vt:variant>
        <vt:i4>0</vt:i4>
      </vt:variant>
      <vt:variant>
        <vt:i4>5</vt:i4>
      </vt:variant>
      <vt:variant>
        <vt:lpwstr/>
      </vt:variant>
      <vt:variant>
        <vt:lpwstr>_Toc134718097</vt:lpwstr>
      </vt:variant>
      <vt:variant>
        <vt:i4>1179700</vt:i4>
      </vt:variant>
      <vt:variant>
        <vt:i4>74</vt:i4>
      </vt:variant>
      <vt:variant>
        <vt:i4>0</vt:i4>
      </vt:variant>
      <vt:variant>
        <vt:i4>5</vt:i4>
      </vt:variant>
      <vt:variant>
        <vt:lpwstr/>
      </vt:variant>
      <vt:variant>
        <vt:lpwstr>_Toc134718096</vt:lpwstr>
      </vt:variant>
      <vt:variant>
        <vt:i4>1179700</vt:i4>
      </vt:variant>
      <vt:variant>
        <vt:i4>68</vt:i4>
      </vt:variant>
      <vt:variant>
        <vt:i4>0</vt:i4>
      </vt:variant>
      <vt:variant>
        <vt:i4>5</vt:i4>
      </vt:variant>
      <vt:variant>
        <vt:lpwstr/>
      </vt:variant>
      <vt:variant>
        <vt:lpwstr>_Toc134718095</vt:lpwstr>
      </vt:variant>
      <vt:variant>
        <vt:i4>1179700</vt:i4>
      </vt:variant>
      <vt:variant>
        <vt:i4>62</vt:i4>
      </vt:variant>
      <vt:variant>
        <vt:i4>0</vt:i4>
      </vt:variant>
      <vt:variant>
        <vt:i4>5</vt:i4>
      </vt:variant>
      <vt:variant>
        <vt:lpwstr/>
      </vt:variant>
      <vt:variant>
        <vt:lpwstr>_Toc134718094</vt:lpwstr>
      </vt:variant>
      <vt:variant>
        <vt:i4>1179700</vt:i4>
      </vt:variant>
      <vt:variant>
        <vt:i4>56</vt:i4>
      </vt:variant>
      <vt:variant>
        <vt:i4>0</vt:i4>
      </vt:variant>
      <vt:variant>
        <vt:i4>5</vt:i4>
      </vt:variant>
      <vt:variant>
        <vt:lpwstr/>
      </vt:variant>
      <vt:variant>
        <vt:lpwstr>_Toc134718093</vt:lpwstr>
      </vt:variant>
      <vt:variant>
        <vt:i4>1179700</vt:i4>
      </vt:variant>
      <vt:variant>
        <vt:i4>50</vt:i4>
      </vt:variant>
      <vt:variant>
        <vt:i4>0</vt:i4>
      </vt:variant>
      <vt:variant>
        <vt:i4>5</vt:i4>
      </vt:variant>
      <vt:variant>
        <vt:lpwstr/>
      </vt:variant>
      <vt:variant>
        <vt:lpwstr>_Toc134718092</vt:lpwstr>
      </vt:variant>
      <vt:variant>
        <vt:i4>1179700</vt:i4>
      </vt:variant>
      <vt:variant>
        <vt:i4>44</vt:i4>
      </vt:variant>
      <vt:variant>
        <vt:i4>0</vt:i4>
      </vt:variant>
      <vt:variant>
        <vt:i4>5</vt:i4>
      </vt:variant>
      <vt:variant>
        <vt:lpwstr/>
      </vt:variant>
      <vt:variant>
        <vt:lpwstr>_Toc134718091</vt:lpwstr>
      </vt:variant>
      <vt:variant>
        <vt:i4>1179700</vt:i4>
      </vt:variant>
      <vt:variant>
        <vt:i4>38</vt:i4>
      </vt:variant>
      <vt:variant>
        <vt:i4>0</vt:i4>
      </vt:variant>
      <vt:variant>
        <vt:i4>5</vt:i4>
      </vt:variant>
      <vt:variant>
        <vt:lpwstr/>
      </vt:variant>
      <vt:variant>
        <vt:lpwstr>_Toc134718090</vt:lpwstr>
      </vt:variant>
      <vt:variant>
        <vt:i4>1245236</vt:i4>
      </vt:variant>
      <vt:variant>
        <vt:i4>32</vt:i4>
      </vt:variant>
      <vt:variant>
        <vt:i4>0</vt:i4>
      </vt:variant>
      <vt:variant>
        <vt:i4>5</vt:i4>
      </vt:variant>
      <vt:variant>
        <vt:lpwstr/>
      </vt:variant>
      <vt:variant>
        <vt:lpwstr>_Toc134718089</vt:lpwstr>
      </vt:variant>
      <vt:variant>
        <vt:i4>1245236</vt:i4>
      </vt:variant>
      <vt:variant>
        <vt:i4>26</vt:i4>
      </vt:variant>
      <vt:variant>
        <vt:i4>0</vt:i4>
      </vt:variant>
      <vt:variant>
        <vt:i4>5</vt:i4>
      </vt:variant>
      <vt:variant>
        <vt:lpwstr/>
      </vt:variant>
      <vt:variant>
        <vt:lpwstr>_Toc134718088</vt:lpwstr>
      </vt:variant>
      <vt:variant>
        <vt:i4>1245236</vt:i4>
      </vt:variant>
      <vt:variant>
        <vt:i4>20</vt:i4>
      </vt:variant>
      <vt:variant>
        <vt:i4>0</vt:i4>
      </vt:variant>
      <vt:variant>
        <vt:i4>5</vt:i4>
      </vt:variant>
      <vt:variant>
        <vt:lpwstr/>
      </vt:variant>
      <vt:variant>
        <vt:lpwstr>_Toc134718087</vt:lpwstr>
      </vt:variant>
      <vt:variant>
        <vt:i4>1245236</vt:i4>
      </vt:variant>
      <vt:variant>
        <vt:i4>14</vt:i4>
      </vt:variant>
      <vt:variant>
        <vt:i4>0</vt:i4>
      </vt:variant>
      <vt:variant>
        <vt:i4>5</vt:i4>
      </vt:variant>
      <vt:variant>
        <vt:lpwstr/>
      </vt:variant>
      <vt:variant>
        <vt:lpwstr>_Toc134718086</vt:lpwstr>
      </vt:variant>
      <vt:variant>
        <vt:i4>1245236</vt:i4>
      </vt:variant>
      <vt:variant>
        <vt:i4>8</vt:i4>
      </vt:variant>
      <vt:variant>
        <vt:i4>0</vt:i4>
      </vt:variant>
      <vt:variant>
        <vt:i4>5</vt:i4>
      </vt:variant>
      <vt:variant>
        <vt:lpwstr/>
      </vt:variant>
      <vt:variant>
        <vt:lpwstr>_Toc134718085</vt:lpwstr>
      </vt:variant>
      <vt:variant>
        <vt:i4>1245236</vt:i4>
      </vt:variant>
      <vt:variant>
        <vt:i4>2</vt:i4>
      </vt:variant>
      <vt:variant>
        <vt:i4>0</vt:i4>
      </vt:variant>
      <vt:variant>
        <vt:i4>5</vt:i4>
      </vt:variant>
      <vt:variant>
        <vt:lpwstr/>
      </vt:variant>
      <vt:variant>
        <vt:lpwstr>_Toc134718084</vt:lpwstr>
      </vt:variant>
      <vt:variant>
        <vt:i4>1507448</vt:i4>
      </vt:variant>
      <vt:variant>
        <vt:i4>3</vt:i4>
      </vt:variant>
      <vt:variant>
        <vt:i4>0</vt:i4>
      </vt:variant>
      <vt:variant>
        <vt:i4>5</vt:i4>
      </vt:variant>
      <vt:variant>
        <vt:lpwstr>https://dbh.hkdir.no/tall-og-statistikk/statistikk-meny/kjonn/statistikk-side/28.2/param?visningId=21&amp;visKode=false&amp;admdebug=false&amp;columns=arstall&amp;hier=insttype%219%21instkode%219%21fakkode%219%21ufakkode%219%21st_kode&amp;formel=329%218%21401%218%21354&amp;index=1&amp;sti=&amp;param=arstall%3D2022%218%212021%218%212020%218%212019%218%212018%219%21stillingstype%3D1%219%21dep_id%3D1%219%21st_kode%3D1532%218%211012%218%211013%218%211404%218%211483&amp;binInst=1101</vt:lpwstr>
      </vt:variant>
      <vt:variant>
        <vt:lpwstr/>
      </vt:variant>
      <vt:variant>
        <vt:i4>3014727</vt:i4>
      </vt:variant>
      <vt:variant>
        <vt:i4>0</vt:i4>
      </vt:variant>
      <vt:variant>
        <vt:i4>0</vt:i4>
      </vt:variant>
      <vt:variant>
        <vt:i4>5</vt:i4>
      </vt:variant>
      <vt:variant>
        <vt:lpwstr>https://dbh.hkdir.no/tall-og-statistikk/statistikk-meny/tilsatte/statistikk-side/11.1/param?visningId=21&amp;visKode=false&amp;admdebug=true&amp;columns=arstall&amp;formel=349!8!348&amp;hier=insttype!9!instkode!9!fakkode!9!ufakkode!9!st_kode&amp;binInst=1101&amp;sti=&amp;index=1&amp;param=arstall%3D2022!8!2021!8!2020!8!2019!8!2018!9!dep_id%3D1</vt:lpwstr>
      </vt:variant>
      <vt:variant>
        <vt:lpwstr/>
      </vt:variant>
      <vt:variant>
        <vt:i4>851992</vt:i4>
      </vt:variant>
      <vt:variant>
        <vt:i4>0</vt:i4>
      </vt:variant>
      <vt:variant>
        <vt:i4>0</vt:i4>
      </vt:variant>
      <vt:variant>
        <vt:i4>5</vt:i4>
      </vt:variant>
      <vt:variant>
        <vt:lpwstr>https://dbh.hkdir.no/datainnhold/institusjoner/institusjonsendringer</vt:lpwstr>
      </vt:variant>
      <vt:variant>
        <vt:lpwstr/>
      </vt:variant>
      <vt:variant>
        <vt:i4>3276818</vt:i4>
      </vt:variant>
      <vt:variant>
        <vt:i4>15</vt:i4>
      </vt:variant>
      <vt:variant>
        <vt:i4>0</vt:i4>
      </vt:variant>
      <vt:variant>
        <vt:i4>5</vt:i4>
      </vt:variant>
      <vt:variant>
        <vt:lpwstr>https://www.regjeringen.no/contentassets/58a8bb9fecac4dd6aaf9ead1a6e3c1cd/strategi-forskning-web_uu.pdf</vt:lpwstr>
      </vt:variant>
      <vt:variant>
        <vt:lpwstr/>
      </vt:variant>
      <vt:variant>
        <vt:i4>4849749</vt:i4>
      </vt:variant>
      <vt:variant>
        <vt:i4>12</vt:i4>
      </vt:variant>
      <vt:variant>
        <vt:i4>0</vt:i4>
      </vt:variant>
      <vt:variant>
        <vt:i4>5</vt:i4>
      </vt:variant>
      <vt:variant>
        <vt:lpwstr>https://proba.no/rapport/analyse-av-ekstern-finansiering-og-midlertidighet-i-universitetsog-hoyskolesektoren/</vt:lpwstr>
      </vt:variant>
      <vt:variant>
        <vt:lpwstr/>
      </vt:variant>
      <vt:variant>
        <vt:i4>720914</vt:i4>
      </vt:variant>
      <vt:variant>
        <vt:i4>9</vt:i4>
      </vt:variant>
      <vt:variant>
        <vt:i4>0</vt:i4>
      </vt:variant>
      <vt:variant>
        <vt:i4>5</vt:i4>
      </vt:variant>
      <vt:variant>
        <vt:lpwstr>https://www.nupi.no/publikasjoner/cristin-pub/utfordrende-kunnskapssamarbeid-etiske-og-sikkerhetsrelaterte-utfordringer-som-forskere-og-kunnskapsinstitusjoner-i-norge-moeter-i-internasjonale-sa</vt:lpwstr>
      </vt:variant>
      <vt:variant>
        <vt:lpwstr/>
      </vt:variant>
      <vt:variant>
        <vt:i4>5177352</vt:i4>
      </vt:variant>
      <vt:variant>
        <vt:i4>6</vt:i4>
      </vt:variant>
      <vt:variant>
        <vt:i4>0</vt:i4>
      </vt:variant>
      <vt:variant>
        <vt:i4>5</vt:i4>
      </vt:variant>
      <vt:variant>
        <vt:lpwstr>https://lovdata.no/dokument/NL/lov/2021-05-21-42</vt:lpwstr>
      </vt:variant>
      <vt:variant>
        <vt:lpwstr/>
      </vt:variant>
      <vt:variant>
        <vt:i4>4128786</vt:i4>
      </vt:variant>
      <vt:variant>
        <vt:i4>3</vt:i4>
      </vt:variant>
      <vt:variant>
        <vt:i4>0</vt:i4>
      </vt:variant>
      <vt:variant>
        <vt:i4>5</vt:i4>
      </vt:variant>
      <vt:variant>
        <vt:lpwstr>https://www.nokut.no/globalassets/nokut/rapporter/ua/2022/sluttrapport-fra-nokuts-evaluering-av-lektorutdanning-for-trinn-813_15-2022.pdf</vt:lpwstr>
      </vt:variant>
      <vt:variant>
        <vt:lpwstr/>
      </vt:variant>
      <vt:variant>
        <vt:i4>7798816</vt:i4>
      </vt:variant>
      <vt:variant>
        <vt:i4>0</vt:i4>
      </vt:variant>
      <vt:variant>
        <vt:i4>0</vt:i4>
      </vt:variant>
      <vt:variant>
        <vt:i4>5</vt:i4>
      </vt:variant>
      <vt:variant>
        <vt:lpwstr>https://www.uutilsynet.no/webdirektivet-wad/eus-webdirektiv-wad/265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Stig Helge Pedersen</dc:creator>
  <cp:keywords/>
  <dc:description/>
  <cp:lastModifiedBy>SVEDENBORG Sarah</cp:lastModifiedBy>
  <cp:revision>3</cp:revision>
  <cp:lastPrinted>2022-05-13T03:00:00Z</cp:lastPrinted>
  <dcterms:created xsi:type="dcterms:W3CDTF">2023-11-23T08:08:00Z</dcterms:created>
  <dcterms:modified xsi:type="dcterms:W3CDTF">2023-11-23T08:16:00Z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6e116a-ae70-4e3d-be7e-d31ac0727b31_Enabled">
    <vt:lpwstr>true</vt:lpwstr>
  </property>
  <property fmtid="{D5CDD505-2E9C-101B-9397-08002B2CF9AE}" pid="3" name="MSIP_Label_e96e116a-ae70-4e3d-be7e-d31ac0727b31_SetDate">
    <vt:lpwstr>2021-05-05T15:36:28Z</vt:lpwstr>
  </property>
  <property fmtid="{D5CDD505-2E9C-101B-9397-08002B2CF9AE}" pid="4" name="MSIP_Label_e96e116a-ae70-4e3d-be7e-d31ac0727b31_Method">
    <vt:lpwstr>Privileged</vt:lpwstr>
  </property>
  <property fmtid="{D5CDD505-2E9C-101B-9397-08002B2CF9AE}" pid="5" name="MSIP_Label_e96e116a-ae70-4e3d-be7e-d31ac0727b31_Name">
    <vt:lpwstr>Åpen</vt:lpwstr>
  </property>
  <property fmtid="{D5CDD505-2E9C-101B-9397-08002B2CF9AE}" pid="6" name="MSIP_Label_e96e116a-ae70-4e3d-be7e-d31ac0727b31_SiteId">
    <vt:lpwstr>e21a9bd2-dcf8-44df-83fa-aa16c3e0af23</vt:lpwstr>
  </property>
  <property fmtid="{D5CDD505-2E9C-101B-9397-08002B2CF9AE}" pid="7" name="MSIP_Label_e96e116a-ae70-4e3d-be7e-d31ac0727b31_ActionId">
    <vt:lpwstr>a36990e6-e0e6-4ecb-b342-9aedbd6e7221</vt:lpwstr>
  </property>
  <property fmtid="{D5CDD505-2E9C-101B-9397-08002B2CF9AE}" pid="8" name="MSIP_Label_e96e116a-ae70-4e3d-be7e-d31ac0727b31_ContentBits">
    <vt:lpwstr>0</vt:lpwstr>
  </property>
  <property fmtid="{D5CDD505-2E9C-101B-9397-08002B2CF9AE}" pid="9" name="TaxKeyword">
    <vt:lpwstr/>
  </property>
  <property fmtid="{D5CDD505-2E9C-101B-9397-08002B2CF9AE}" pid="10" name="Order">
    <vt:r8>130800</vt:r8>
  </property>
  <property fmtid="{D5CDD505-2E9C-101B-9397-08002B2CF9AE}" pid="11" name="xd_Signature">
    <vt:bool>false</vt:bool>
  </property>
  <property fmtid="{D5CDD505-2E9C-101B-9397-08002B2CF9AE}" pid="12" name="xd_ProgID">
    <vt:lpwstr/>
  </property>
  <property fmtid="{D5CDD505-2E9C-101B-9397-08002B2CF9AE}" pid="13" name="ContentTypeId">
    <vt:lpwstr>0x010100CD0A5DDFC6FA03478571213EF5102D5A</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SIP_Label_4012811f-b717-4099-a412-3cacd3519ab9_Enabled">
    <vt:lpwstr>true</vt:lpwstr>
  </property>
  <property fmtid="{D5CDD505-2E9C-101B-9397-08002B2CF9AE}" pid="18" name="MSIP_Label_4012811f-b717-4099-a412-3cacd3519ab9_SetDate">
    <vt:lpwstr>2022-05-05T05:16:44Z</vt:lpwstr>
  </property>
  <property fmtid="{D5CDD505-2E9C-101B-9397-08002B2CF9AE}" pid="19" name="MSIP_Label_4012811f-b717-4099-a412-3cacd3519ab9_Method">
    <vt:lpwstr>Privileged</vt:lpwstr>
  </property>
  <property fmtid="{D5CDD505-2E9C-101B-9397-08002B2CF9AE}" pid="20" name="MSIP_Label_4012811f-b717-4099-a412-3cacd3519ab9_Name">
    <vt:lpwstr>Åpen</vt:lpwstr>
  </property>
  <property fmtid="{D5CDD505-2E9C-101B-9397-08002B2CF9AE}" pid="21" name="MSIP_Label_4012811f-b717-4099-a412-3cacd3519ab9_SiteId">
    <vt:lpwstr>1ec46890-73f8-4a2a-9b2c-9a6611f1c922</vt:lpwstr>
  </property>
  <property fmtid="{D5CDD505-2E9C-101B-9397-08002B2CF9AE}" pid="22" name="MSIP_Label_4012811f-b717-4099-a412-3cacd3519ab9_ActionId">
    <vt:lpwstr>e3a7c9b8-4b47-4a36-bc38-cd2d460cbd40</vt:lpwstr>
  </property>
  <property fmtid="{D5CDD505-2E9C-101B-9397-08002B2CF9AE}" pid="23" name="MSIP_Label_4012811f-b717-4099-a412-3cacd3519ab9_ContentBits">
    <vt:lpwstr>0</vt:lpwstr>
  </property>
</Properties>
</file>