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Forsidetabell"/>
        <w:tblpPr w:leftFromText="142" w:rightFromText="142" w:vertAnchor="page" w:horzAnchor="page" w:tblpX="455" w:tblpY="4055"/>
        <w:tblW w:w="11000" w:type="dxa"/>
        <w:tblLayout w:type="fixed"/>
        <w:tblCellMar>
          <w:top w:w="142" w:type="dxa"/>
          <w:left w:w="425" w:type="dxa"/>
          <w:bottom w:w="85" w:type="dxa"/>
          <w:right w:w="850" w:type="dxa"/>
        </w:tblCellMar>
        <w:tblLook w:val="04A0" w:firstRow="1" w:lastRow="0" w:firstColumn="1" w:lastColumn="0" w:noHBand="0" w:noVBand="1"/>
      </w:tblPr>
      <w:tblGrid>
        <w:gridCol w:w="11000"/>
      </w:tblGrid>
      <w:tr w:rsidR="00C35AE5" w14:paraId="7E2AC20E" w14:textId="77777777" w:rsidTr="00C35AE5">
        <w:trPr>
          <w:cnfStyle w:val="100000000000" w:firstRow="1" w:lastRow="0" w:firstColumn="0" w:lastColumn="0" w:oddVBand="0" w:evenVBand="0" w:oddHBand="0" w:evenHBand="0" w:firstRowFirstColumn="0" w:firstRowLastColumn="0" w:lastRowFirstColumn="0" w:lastRowLastColumn="0"/>
          <w:trHeight w:hRule="exact" w:val="567"/>
        </w:trPr>
        <w:tc>
          <w:tcPr>
            <w:tcW w:w="11000" w:type="dxa"/>
            <w:tcMar>
              <w:right w:w="0" w:type="dxa"/>
            </w:tcMar>
          </w:tcPr>
          <w:p w14:paraId="79B3B4C4" w14:textId="251DE0A2" w:rsidR="00C35AE5" w:rsidRDefault="00C35AE5" w:rsidP="00E33782">
            <w:pPr>
              <w:pStyle w:val="Forsidetekst"/>
              <w:jc w:val="right"/>
            </w:pPr>
          </w:p>
        </w:tc>
      </w:tr>
      <w:tr w:rsidR="00C35AE5" w14:paraId="574FF2BE" w14:textId="77777777" w:rsidTr="00C35AE5">
        <w:trPr>
          <w:trHeight w:hRule="exact" w:val="3260"/>
        </w:trPr>
        <w:tc>
          <w:tcPr>
            <w:tcW w:w="11000" w:type="dxa"/>
            <w:tcMar>
              <w:top w:w="709" w:type="dxa"/>
            </w:tcMar>
          </w:tcPr>
          <w:sdt>
            <w:sdtPr>
              <w:rPr>
                <w:rFonts w:hint="eastAsia"/>
                <w:sz w:val="52"/>
                <w:szCs w:val="52"/>
              </w:rPr>
              <w:alias w:val="Tittel"/>
              <w:tag w:val=""/>
              <w:id w:val="-2031254581"/>
              <w:placeholder>
                <w:docPart w:val="CFACC7F13F2846B89C99326A474AEF1C"/>
              </w:placeholder>
              <w:dataBinding w:prefixMappings="xmlns:ns0='http://purl.org/dc/elements/1.1/' xmlns:ns1='http://schemas.openxmlformats.org/package/2006/metadata/core-properties' " w:xpath="/ns1:coreProperties[1]/ns0:title[1]" w:storeItemID="{6C3C8BC8-F283-45AE-878A-BAB7291924A1}"/>
              <w:text/>
            </w:sdtPr>
            <w:sdtContent>
              <w:p w14:paraId="496380DB" w14:textId="27A93381" w:rsidR="00C35AE5" w:rsidRPr="005B4495" w:rsidRDefault="004E1922" w:rsidP="00C35AE5">
                <w:pPr>
                  <w:pStyle w:val="Tittel"/>
                  <w:rPr>
                    <w:sz w:val="52"/>
                    <w:szCs w:val="52"/>
                  </w:rPr>
                </w:pPr>
                <w:r w:rsidRPr="005B4495">
                  <w:rPr>
                    <w:sz w:val="52"/>
                    <w:szCs w:val="52"/>
                  </w:rPr>
                  <w:t xml:space="preserve">Veileder til forskrift </w:t>
                </w:r>
                <w:r w:rsidR="0008253A" w:rsidRPr="005B4495">
                  <w:rPr>
                    <w:sz w:val="52"/>
                    <w:szCs w:val="52"/>
                  </w:rPr>
                  <w:t>om s</w:t>
                </w:r>
                <w:r w:rsidR="007E2783" w:rsidRPr="005B4495">
                  <w:rPr>
                    <w:sz w:val="52"/>
                    <w:szCs w:val="52"/>
                  </w:rPr>
                  <w:t>kikkethetsvurdering i høyere utdanning</w:t>
                </w:r>
                <w:r w:rsidR="005B4495" w:rsidRPr="005B4495">
                  <w:rPr>
                    <w:sz w:val="52"/>
                    <w:szCs w:val="52"/>
                  </w:rPr>
                  <w:t xml:space="preserve"> (skikkethetsforskriften)</w:t>
                </w:r>
              </w:p>
            </w:sdtContent>
          </w:sdt>
          <w:p w14:paraId="09532F73" w14:textId="2CC8A07E" w:rsidR="00C35AE5" w:rsidRPr="00C35AE5" w:rsidRDefault="00000000" w:rsidP="00C35AE5">
            <w:pPr>
              <w:pStyle w:val="Undertittel"/>
            </w:pPr>
            <w:sdt>
              <w:sdtPr>
                <w:rPr>
                  <w:color w:val="auto"/>
                  <w:sz w:val="28"/>
                  <w:szCs w:val="28"/>
                </w:rPr>
                <w:alias w:val="Undertittel"/>
                <w:tag w:val="Undertittel"/>
                <w:id w:val="466091359"/>
                <w:placeholder>
                  <w:docPart w:val="62FF8A82AA124DDCA6617E8A1E132F94"/>
                </w:placeholder>
                <w:dataBinding w:xpath="/root[1]/subtitle[1]" w:storeItemID="{DA80AB03-B5B5-4CFE-8AC5-12B2CC1E99A2}"/>
                <w:text w:multiLine="1"/>
              </w:sdtPr>
              <w:sdtContent>
                <w:r w:rsidR="00E1069A" w:rsidRPr="00E1069A">
                  <w:rPr>
                    <w:color w:val="auto"/>
                    <w:sz w:val="28"/>
                    <w:szCs w:val="28"/>
                  </w:rPr>
                  <w:t>Gjeldende fra 1. august 2024</w:t>
                </w:r>
              </w:sdtContent>
            </w:sdt>
          </w:p>
        </w:tc>
      </w:tr>
    </w:tbl>
    <w:p w14:paraId="3120440F" w14:textId="77777777" w:rsidR="00C35AE5" w:rsidRDefault="00C35AE5" w:rsidP="00C35AE5">
      <w:r>
        <w:rPr>
          <w:noProof/>
        </w:rPr>
        <w:drawing>
          <wp:anchor distT="0" distB="0" distL="114300" distR="114300" simplePos="0" relativeHeight="251658240" behindDoc="0" locked="1" layoutInCell="1" allowOverlap="1" wp14:anchorId="4EE6307E" wp14:editId="0DDB5016">
            <wp:simplePos x="0" y="0"/>
            <wp:positionH relativeFrom="page">
              <wp:posOffset>288290</wp:posOffset>
            </wp:positionH>
            <wp:positionV relativeFrom="page">
              <wp:posOffset>5346700</wp:posOffset>
            </wp:positionV>
            <wp:extent cx="6984000" cy="5054400"/>
            <wp:effectExtent l="0" t="0" r="7620" b="0"/>
            <wp:wrapNone/>
            <wp:docPr id="5" name="Bilde 5" descr="Et bilde som inneholder mønster, klær, stoff, innpakningspapir&#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ilde 5" descr="Et bilde som inneholder mønster, klær, stoff, innpakningspapir&#10;&#10;Automatisk generert beskrivels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984000" cy="5054400"/>
                    </a:xfrm>
                    <a:prstGeom prst="rect">
                      <a:avLst/>
                    </a:prstGeom>
                    <a:noFill/>
                    <a:ln>
                      <a:noFill/>
                    </a:ln>
                  </pic:spPr>
                </pic:pic>
              </a:graphicData>
            </a:graphic>
            <wp14:sizeRelH relativeFrom="page">
              <wp14:pctWidth>0</wp14:pctWidth>
            </wp14:sizeRelH>
            <wp14:sizeRelV relativeFrom="page">
              <wp14:pctHeight>0</wp14:pctHeight>
            </wp14:sizeRelV>
          </wp:anchor>
        </w:drawing>
      </w:r>
      <w:r>
        <w:br w:type="page"/>
      </w:r>
    </w:p>
    <w:tbl>
      <w:tblPr>
        <w:tblStyle w:val="Forsidetabell"/>
        <w:tblpPr w:leftFromText="142" w:rightFromText="142" w:bottomFromText="198" w:horzAnchor="page" w:tblpX="455" w:tblpY="1"/>
        <w:tblW w:w="11000" w:type="dxa"/>
        <w:tblLayout w:type="fixed"/>
        <w:tblCellMar>
          <w:top w:w="142" w:type="dxa"/>
          <w:left w:w="964" w:type="dxa"/>
          <w:bottom w:w="142" w:type="dxa"/>
          <w:right w:w="850" w:type="dxa"/>
        </w:tblCellMar>
        <w:tblLook w:val="04A0" w:firstRow="1" w:lastRow="0" w:firstColumn="1" w:lastColumn="0" w:noHBand="0" w:noVBand="1"/>
      </w:tblPr>
      <w:tblGrid>
        <w:gridCol w:w="11000"/>
      </w:tblGrid>
      <w:tr w:rsidR="00C35AE5" w14:paraId="3E202762" w14:textId="77777777" w:rsidTr="00E33782">
        <w:trPr>
          <w:cnfStyle w:val="100000000000" w:firstRow="1" w:lastRow="0" w:firstColumn="0" w:lastColumn="0" w:oddVBand="0" w:evenVBand="0" w:oddHBand="0" w:evenHBand="0" w:firstRowFirstColumn="0" w:firstRowLastColumn="0" w:lastRowFirstColumn="0" w:lastRowLastColumn="0"/>
          <w:trHeight w:hRule="exact" w:val="2891"/>
        </w:trPr>
        <w:tc>
          <w:tcPr>
            <w:tcW w:w="11000" w:type="dxa"/>
            <w:vAlign w:val="bottom"/>
          </w:tcPr>
          <w:sdt>
            <w:sdtPr>
              <w:rPr>
                <w:rFonts w:hint="eastAsia"/>
                <w:b/>
                <w:bCs/>
                <w:noProof/>
                <w:szCs w:val="26"/>
                <w:lang w:val="nb-NO"/>
              </w:rPr>
              <w:alias w:val="Tittel"/>
              <w:tag w:val=""/>
              <w:id w:val="-625852240"/>
              <w:placeholder>
                <w:docPart w:val="21416D682C87448C9B946F62E6578E0C"/>
              </w:placeholder>
              <w:dataBinding w:prefixMappings="xmlns:ns0='http://purl.org/dc/elements/1.1/' xmlns:ns1='http://schemas.openxmlformats.org/package/2006/metadata/core-properties' " w:xpath="/ns1:coreProperties[1]/ns0:title[1]" w:storeItemID="{6C3C8BC8-F283-45AE-878A-BAB7291924A1}"/>
              <w:text/>
            </w:sdtPr>
            <w:sdtContent>
              <w:p w14:paraId="3DDFAF8B" w14:textId="5095D3A1" w:rsidR="00C35AE5" w:rsidRPr="00B11AA8" w:rsidRDefault="005B4495" w:rsidP="00E33782">
                <w:pPr>
                  <w:pStyle w:val="Forsidetekst"/>
                  <w:rPr>
                    <w:b/>
                    <w:bCs/>
                    <w:noProof/>
                    <w:szCs w:val="26"/>
                    <w:lang w:val="nb-NO"/>
                  </w:rPr>
                </w:pPr>
                <w:r>
                  <w:rPr>
                    <w:rFonts w:hint="eastAsia"/>
                    <w:b/>
                    <w:bCs/>
                    <w:noProof/>
                    <w:szCs w:val="26"/>
                    <w:lang w:val="nb-NO"/>
                  </w:rPr>
                  <w:t>Veileder til forskrift om skikkethetsvurdering i høyere utdanning (skikkethetsforskriften)</w:t>
                </w:r>
              </w:p>
            </w:sdtContent>
          </w:sdt>
          <w:p w14:paraId="495E34E6" w14:textId="3E723D20" w:rsidR="00C35AE5" w:rsidRPr="007E2783" w:rsidRDefault="00000000" w:rsidP="00E33782">
            <w:pPr>
              <w:pStyle w:val="Forsidetekst"/>
              <w:rPr>
                <w:lang w:val="nb-NO"/>
              </w:rPr>
            </w:pPr>
            <w:sdt>
              <w:sdtPr>
                <w:alias w:val="Undertittel"/>
                <w:tag w:val="Undertittel"/>
                <w:id w:val="103002477"/>
                <w:placeholder>
                  <w:docPart w:val="561F85C2636F456DBB6629617949EE03"/>
                </w:placeholder>
                <w:dataBinding w:xpath="/root[1]/subtitle[1]" w:storeItemID="{DA80AB03-B5B5-4CFE-8AC5-12B2CC1E99A2}"/>
                <w:text w:multiLine="1"/>
              </w:sdtPr>
              <w:sdtContent>
                <w:proofErr w:type="spellStart"/>
                <w:r w:rsidR="00E1069A">
                  <w:t>Gjeldende</w:t>
                </w:r>
                <w:proofErr w:type="spellEnd"/>
                <w:r w:rsidR="00E1069A">
                  <w:t xml:space="preserve"> </w:t>
                </w:r>
                <w:proofErr w:type="spellStart"/>
                <w:r w:rsidR="00E1069A">
                  <w:t>fra</w:t>
                </w:r>
                <w:proofErr w:type="spellEnd"/>
                <w:r w:rsidR="00E1069A">
                  <w:t xml:space="preserve"> 1. august 2024</w:t>
                </w:r>
              </w:sdtContent>
            </w:sdt>
          </w:p>
        </w:tc>
      </w:tr>
    </w:tbl>
    <w:p w14:paraId="7293AD8B" w14:textId="77777777" w:rsidR="00C35AE5" w:rsidRDefault="00C35AE5" w:rsidP="00C35AE5"/>
    <w:p w14:paraId="2675B09F" w14:textId="77777777" w:rsidR="00C35AE5" w:rsidRDefault="00C35AE5" w:rsidP="00C35AE5">
      <w:pPr>
        <w:spacing w:after="0"/>
      </w:pPr>
      <w:r>
        <w:t>Redaktør:</w:t>
      </w:r>
    </w:p>
    <w:sdt>
      <w:sdtPr>
        <w:alias w:val="Redaktør"/>
        <w:tag w:val="Redaktør"/>
        <w:id w:val="-2021923024"/>
        <w:placeholder>
          <w:docPart w:val="F171048A122B45C49AF2CF82AB176D8B"/>
        </w:placeholder>
        <w:showingPlcHdr/>
        <w:text w:multiLine="1"/>
      </w:sdtPr>
      <w:sdtContent>
        <w:p w14:paraId="0C0598CF" w14:textId="77777777" w:rsidR="00C35AE5" w:rsidRDefault="00580CCB" w:rsidP="00C35AE5">
          <w:pPr>
            <w:spacing w:after="0"/>
          </w:pPr>
          <w:r w:rsidRPr="00580CCB">
            <w:rPr>
              <w:rStyle w:val="Plassholdertekst"/>
              <w:color w:val="auto"/>
            </w:rPr>
            <w:t>[Navn Etternavn]</w:t>
          </w:r>
        </w:p>
      </w:sdtContent>
    </w:sdt>
    <w:p w14:paraId="4DC3F6E5" w14:textId="77777777" w:rsidR="00C35AE5" w:rsidRDefault="00C35AE5" w:rsidP="00C35AE5">
      <w:pPr>
        <w:spacing w:before="200" w:after="0"/>
      </w:pPr>
      <w:r>
        <w:t>Forfattere:</w:t>
      </w:r>
    </w:p>
    <w:sdt>
      <w:sdtPr>
        <w:alias w:val="Forfattere"/>
        <w:tag w:val="Forfattere"/>
        <w:id w:val="1718081769"/>
        <w:placeholder>
          <w:docPart w:val="B3EE2DAC3E2E4576BC9B189D13920F3F"/>
        </w:placeholder>
        <w:showingPlcHdr/>
        <w:text w:multiLine="1"/>
      </w:sdtPr>
      <w:sdtContent>
        <w:p w14:paraId="71E383C8" w14:textId="77777777" w:rsidR="00C35AE5" w:rsidRDefault="00580CCB" w:rsidP="00C35AE5">
          <w:pPr>
            <w:spacing w:after="0"/>
          </w:pPr>
          <w:r w:rsidRPr="00580CCB">
            <w:rPr>
              <w:rStyle w:val="Plassholdertekst"/>
              <w:color w:val="auto"/>
            </w:rPr>
            <w:t>[Navn Etternavn]</w:t>
          </w:r>
        </w:p>
      </w:sdtContent>
    </w:sdt>
    <w:sdt>
      <w:sdtPr>
        <w:alias w:val="Forfattere"/>
        <w:tag w:val="Forfattere"/>
        <w:id w:val="-1488860842"/>
        <w:placeholder>
          <w:docPart w:val="1C688922747E44F58328AD89EA734293"/>
        </w:placeholder>
        <w:showingPlcHdr/>
        <w:text w:multiLine="1"/>
      </w:sdtPr>
      <w:sdtContent>
        <w:p w14:paraId="404392A2" w14:textId="77777777" w:rsidR="00BB16B5" w:rsidRDefault="00580CCB" w:rsidP="00B11AA8">
          <w:pPr>
            <w:spacing w:after="0"/>
          </w:pPr>
          <w:r w:rsidRPr="00580CCB">
            <w:rPr>
              <w:rStyle w:val="Plassholdertekst"/>
              <w:color w:val="auto"/>
            </w:rPr>
            <w:t>[Navn Etternavn]</w:t>
          </w:r>
        </w:p>
      </w:sdtContent>
    </w:sdt>
    <w:tbl>
      <w:tblPr>
        <w:tblStyle w:val="Rutenettabell1lys"/>
        <w:tblpPr w:leftFromText="142" w:rightFromText="142" w:tblpYSpec="bottom"/>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80" w:firstRow="0" w:lastRow="0" w:firstColumn="1" w:lastColumn="0" w:noHBand="0" w:noVBand="1"/>
      </w:tblPr>
      <w:tblGrid>
        <w:gridCol w:w="9016"/>
      </w:tblGrid>
      <w:tr w:rsidR="00BB16B5" w:rsidRPr="0098486C" w14:paraId="3C3E828D" w14:textId="77777777" w:rsidTr="00BB16B5">
        <w:tc>
          <w:tcPr>
            <w:cnfStyle w:val="001000000000" w:firstRow="0" w:lastRow="0" w:firstColumn="1" w:lastColumn="0" w:oddVBand="0" w:evenVBand="0" w:oddHBand="0" w:evenHBand="0" w:firstRowFirstColumn="0" w:firstRowLastColumn="0" w:lastRowFirstColumn="0" w:lastRowLastColumn="0"/>
            <w:tcW w:w="9016" w:type="dxa"/>
          </w:tcPr>
          <w:p w14:paraId="7B5D17CE" w14:textId="77777777" w:rsidR="00BB16B5" w:rsidRPr="0098486C" w:rsidRDefault="00BB16B5" w:rsidP="0098486C">
            <w:pPr>
              <w:spacing w:before="0" w:beforeAutospacing="0" w:after="0" w:afterAutospacing="0" w:line="247" w:lineRule="auto"/>
              <w:rPr>
                <w:b w:val="0"/>
                <w:bCs w:val="0"/>
                <w:sz w:val="22"/>
              </w:rPr>
            </w:pPr>
            <w:bookmarkStart w:id="0" w:name="_Hlk156199258"/>
            <w:r w:rsidRPr="0098486C">
              <w:rPr>
                <w:b w:val="0"/>
                <w:bCs w:val="0"/>
                <w:sz w:val="22"/>
              </w:rPr>
              <w:t xml:space="preserve">ISSN: </w:t>
            </w:r>
          </w:p>
          <w:p w14:paraId="3D673A90" w14:textId="77777777" w:rsidR="00BB16B5" w:rsidRPr="0098486C" w:rsidRDefault="00A00988" w:rsidP="0098486C">
            <w:pPr>
              <w:spacing w:before="0" w:beforeAutospacing="0" w:after="0" w:afterAutospacing="0" w:line="247" w:lineRule="auto"/>
              <w:rPr>
                <w:b w:val="0"/>
                <w:bCs w:val="0"/>
                <w:sz w:val="22"/>
              </w:rPr>
            </w:pPr>
            <w:r w:rsidRPr="00A00988">
              <w:rPr>
                <w:b w:val="0"/>
                <w:bCs w:val="0"/>
                <w:sz w:val="22"/>
              </w:rPr>
              <w:t>Åpent tilgjengelig CC-BY 4.0</w:t>
            </w:r>
          </w:p>
        </w:tc>
      </w:tr>
      <w:bookmarkEnd w:id="0"/>
    </w:tbl>
    <w:p w14:paraId="452325B4" w14:textId="77777777" w:rsidR="00BB16B5" w:rsidRDefault="00BB16B5" w:rsidP="00C35AE5">
      <w:pPr>
        <w:sectPr w:rsidR="00BB16B5" w:rsidSect="00D07E4E">
          <w:headerReference w:type="even" r:id="rId15"/>
          <w:headerReference w:type="default" r:id="rId16"/>
          <w:footerReference w:type="even" r:id="rId17"/>
          <w:footerReference w:type="default" r:id="rId18"/>
          <w:headerReference w:type="first" r:id="rId19"/>
          <w:footerReference w:type="first" r:id="rId20"/>
          <w:pgSz w:w="11906" w:h="16838"/>
          <w:pgMar w:top="2268" w:right="1440" w:bottom="1440" w:left="1440" w:header="709" w:footer="709" w:gutter="0"/>
          <w:cols w:space="708"/>
          <w:titlePg/>
          <w:docGrid w:linePitch="360"/>
        </w:sectPr>
      </w:pPr>
    </w:p>
    <w:p w14:paraId="62285228" w14:textId="77777777" w:rsidR="001E1E9A" w:rsidRDefault="001E1E9A" w:rsidP="0084691B">
      <w:pPr>
        <w:pStyle w:val="Overskrift1"/>
        <w:spacing w:after="168"/>
      </w:pPr>
      <w:bookmarkStart w:id="1" w:name="_Toc152231273"/>
      <w:r>
        <w:lastRenderedPageBreak/>
        <w:t>Om veilederen</w:t>
      </w:r>
    </w:p>
    <w:p w14:paraId="7DC80AEA" w14:textId="480AB0A6" w:rsidR="00155DA9" w:rsidRDefault="00646FBC" w:rsidP="00925652">
      <w:r>
        <w:t xml:space="preserve">Denne veilederen </w:t>
      </w:r>
      <w:r w:rsidR="00FA765B">
        <w:t>handler om hvordan</w:t>
      </w:r>
      <w:r w:rsidR="007576CD">
        <w:t xml:space="preserve"> </w:t>
      </w:r>
      <w:r w:rsidR="00D25CC6">
        <w:t>universitet</w:t>
      </w:r>
      <w:r w:rsidR="00AF0C3F">
        <w:t>er og høyskoler</w:t>
      </w:r>
      <w:r w:rsidR="00A236D0">
        <w:t xml:space="preserve"> kan forstå </w:t>
      </w:r>
      <w:r w:rsidR="007A1CD5">
        <w:t xml:space="preserve">og etterleve krav i </w:t>
      </w:r>
      <w:r w:rsidR="006901F2">
        <w:t xml:space="preserve">forskrift 27. oktober 2023 nr. 1714 om skikkethetsvurdering i høyere utdanning (skikkethetsforskriften). </w:t>
      </w:r>
      <w:r w:rsidR="006A5432">
        <w:t xml:space="preserve">Veilederen er utviklet av </w:t>
      </w:r>
      <w:r w:rsidR="00B511C9">
        <w:t>Direktoratet for høyere utdanning og kompetanse (H</w:t>
      </w:r>
      <w:r w:rsidR="756FE8F6">
        <w:t>K-</w:t>
      </w:r>
      <w:r w:rsidR="00B511C9">
        <w:t>dir)</w:t>
      </w:r>
      <w:r w:rsidR="005E5B90" w:rsidRPr="008136F8">
        <w:t>.</w:t>
      </w:r>
      <w:r w:rsidR="00AC1937" w:rsidRPr="008136F8">
        <w:rPr>
          <w:rStyle w:val="Fotnotereferanse"/>
        </w:rPr>
        <w:footnoteReference w:id="2"/>
      </w:r>
    </w:p>
    <w:p w14:paraId="0D073C74" w14:textId="4A5F3B5E" w:rsidR="008136F8" w:rsidRDefault="003C2927" w:rsidP="004857E6">
      <w:r>
        <w:t>V</w:t>
      </w:r>
      <w:r w:rsidR="008136F8" w:rsidRPr="008136F8">
        <w:t xml:space="preserve">eilederen </w:t>
      </w:r>
      <w:r>
        <w:t xml:space="preserve">beskriver </w:t>
      </w:r>
      <w:r w:rsidR="00471CB4">
        <w:t xml:space="preserve">det nærmere innholdet i </w:t>
      </w:r>
      <w:r w:rsidR="008136F8" w:rsidRPr="008136F8">
        <w:t xml:space="preserve">bestemmelsene i </w:t>
      </w:r>
      <w:r w:rsidR="00F92F32">
        <w:t>skikkethetsforskriften</w:t>
      </w:r>
      <w:r w:rsidR="00471CB4">
        <w:t>, og hvordan bestemmelsene</w:t>
      </w:r>
      <w:r w:rsidR="00F92F32">
        <w:t xml:space="preserve"> </w:t>
      </w:r>
      <w:r w:rsidR="008136F8" w:rsidRPr="008136F8">
        <w:t>skal forstå</w:t>
      </w:r>
      <w:r w:rsidR="007C3C07">
        <w:t>s</w:t>
      </w:r>
      <w:r w:rsidR="008136F8" w:rsidRPr="008136F8">
        <w:t xml:space="preserve"> og</w:t>
      </w:r>
      <w:r w:rsidR="00471CB4">
        <w:t xml:space="preserve"> praktiseres</w:t>
      </w:r>
      <w:r w:rsidR="008136F8" w:rsidRPr="008136F8">
        <w:t xml:space="preserve">. </w:t>
      </w:r>
      <w:r w:rsidR="004D5ABB">
        <w:t xml:space="preserve">Veilederen </w:t>
      </w:r>
      <w:r w:rsidR="00B7495A">
        <w:t>su</w:t>
      </w:r>
      <w:r w:rsidR="008136F8" w:rsidRPr="008136F8">
        <w:t>pple</w:t>
      </w:r>
      <w:r w:rsidR="00B7495A">
        <w:t>rer</w:t>
      </w:r>
      <w:r w:rsidR="008136F8" w:rsidRPr="008136F8">
        <w:t xml:space="preserve"> forskriftsteksten og må </w:t>
      </w:r>
      <w:r w:rsidR="00FC5F24">
        <w:t xml:space="preserve">derfor </w:t>
      </w:r>
      <w:r w:rsidR="008136F8" w:rsidRPr="008136F8">
        <w:t xml:space="preserve">leses </w:t>
      </w:r>
      <w:r w:rsidR="00FC5F24">
        <w:t>i lys av</w:t>
      </w:r>
      <w:r w:rsidR="008136F8" w:rsidRPr="008136F8">
        <w:t xml:space="preserve"> forskriften.</w:t>
      </w:r>
      <w:r w:rsidR="00FC5F24">
        <w:t xml:space="preserve"> </w:t>
      </w:r>
    </w:p>
    <w:p w14:paraId="69015FD9" w14:textId="5DF13C48" w:rsidR="00DD4291" w:rsidRPr="00925652" w:rsidRDefault="00141854" w:rsidP="00D70E96">
      <w:r w:rsidRPr="00141854">
        <w:t xml:space="preserve">Veilederen retter seg primært mot </w:t>
      </w:r>
      <w:r>
        <w:t>ansatte ved utdanningsinstitusjoner</w:t>
      </w:r>
      <w:r w:rsidRPr="00141854">
        <w:t xml:space="preserve"> som behandler </w:t>
      </w:r>
      <w:r>
        <w:t>skikkethets</w:t>
      </w:r>
      <w:r w:rsidRPr="00141854">
        <w:t>saker etter reglene i forskriften</w:t>
      </w:r>
      <w:r>
        <w:t xml:space="preserve"> og universitets- og høyskoleloven</w:t>
      </w:r>
      <w:r w:rsidRPr="00141854">
        <w:t>. Veilederen gir</w:t>
      </w:r>
      <w:r>
        <w:t xml:space="preserve"> imidlertid</w:t>
      </w:r>
      <w:r w:rsidRPr="00141854">
        <w:t xml:space="preserve"> også </w:t>
      </w:r>
      <w:r w:rsidR="00DD4291">
        <w:t xml:space="preserve">viktig </w:t>
      </w:r>
      <w:r w:rsidRPr="00141854">
        <w:t xml:space="preserve">informasjon til </w:t>
      </w:r>
      <w:r>
        <w:t xml:space="preserve">studenter og øvrige </w:t>
      </w:r>
      <w:r w:rsidR="00121E8C">
        <w:t xml:space="preserve">som studenter vil kunne komme i kontakt med i løpet av praksisstudier og studiet </w:t>
      </w:r>
      <w:proofErr w:type="gramStart"/>
      <w:r w:rsidR="00121E8C">
        <w:t>for øvrig</w:t>
      </w:r>
      <w:proofErr w:type="gramEnd"/>
      <w:r w:rsidR="00121E8C">
        <w:t>.</w:t>
      </w:r>
      <w:r w:rsidR="00121E8C">
        <w:rPr>
          <w:rStyle w:val="Fotnotereferanse"/>
        </w:rPr>
        <w:footnoteReference w:id="3"/>
      </w:r>
      <w:r w:rsidR="003F6D28" w:rsidRPr="008136F8">
        <w:t xml:space="preserve"> </w:t>
      </w:r>
    </w:p>
    <w:p w14:paraId="23CED7DD" w14:textId="7CBFE6AC" w:rsidR="00FA1C59" w:rsidRDefault="00FA1C59" w:rsidP="00AE05B3">
      <w:pPr>
        <w:rPr>
          <w:b/>
          <w:bCs/>
        </w:rPr>
      </w:pPr>
      <w:r>
        <w:rPr>
          <w:b/>
          <w:bCs/>
        </w:rPr>
        <w:t>Gi oss tilbakemelding!</w:t>
      </w:r>
    </w:p>
    <w:p w14:paraId="1C6C45D7" w14:textId="1666A83E" w:rsidR="006975EA" w:rsidRDefault="00FF565D" w:rsidP="00AE05B3">
      <w:r>
        <w:t xml:space="preserve">Vi ønsker innspill </w:t>
      </w:r>
      <w:r w:rsidR="00D33AAA">
        <w:t xml:space="preserve">til veilederen </w:t>
      </w:r>
      <w:r w:rsidR="007430A5">
        <w:t xml:space="preserve">for å gjøre den best mulig for dere som bruker den. Veilederen </w:t>
      </w:r>
      <w:r w:rsidR="004A263A">
        <w:t>skal kunne oppdateres og</w:t>
      </w:r>
      <w:r w:rsidR="004A263A" w:rsidRPr="004A263A">
        <w:t xml:space="preserve"> videreutvikles etter hvert som dere får brukererfaring med forskriften</w:t>
      </w:r>
      <w:r w:rsidR="00131E75">
        <w:t xml:space="preserve">. </w:t>
      </w:r>
      <w:r w:rsidR="00841F70">
        <w:t>Innspi</w:t>
      </w:r>
      <w:r w:rsidR="00824132">
        <w:t>llene kan sendes til</w:t>
      </w:r>
      <w:r w:rsidR="00F5767C">
        <w:t xml:space="preserve"> (e-postadresse).</w:t>
      </w:r>
    </w:p>
    <w:p w14:paraId="164F7B70" w14:textId="77777777" w:rsidR="00DC046D" w:rsidRDefault="00EB481F" w:rsidP="00AE05B3">
      <w:r>
        <w:t xml:space="preserve">Vi ønsker spesielt </w:t>
      </w:r>
      <w:r w:rsidR="001071EB">
        <w:t>innspill og tilbakemelding på</w:t>
      </w:r>
      <w:r w:rsidR="00DC046D">
        <w:t>:</w:t>
      </w:r>
    </w:p>
    <w:p w14:paraId="037C78EC" w14:textId="54026A67" w:rsidR="000578B6" w:rsidRPr="00670562" w:rsidRDefault="00DC046D" w:rsidP="00A34ED5">
      <w:pPr>
        <w:pStyle w:val="Listeavsnitt"/>
        <w:numPr>
          <w:ilvl w:val="0"/>
          <w:numId w:val="5"/>
        </w:numPr>
      </w:pPr>
      <w:r w:rsidRPr="000578B6">
        <w:rPr>
          <w:lang w:val="nn-NO"/>
        </w:rPr>
        <w:t>Språket</w:t>
      </w:r>
      <w:r w:rsidR="002A1683" w:rsidRPr="000578B6">
        <w:rPr>
          <w:lang w:val="nn-NO"/>
        </w:rPr>
        <w:t>: Er det skrivefeil i teksten?</w:t>
      </w:r>
      <w:r w:rsidR="000578B6" w:rsidRPr="000578B6">
        <w:rPr>
          <w:lang w:val="nn-NO"/>
        </w:rPr>
        <w:t xml:space="preserve"> </w:t>
      </w:r>
      <w:r w:rsidR="000578B6" w:rsidRPr="00670562">
        <w:t>Er det noe som er vanskelig å forstå?</w:t>
      </w:r>
    </w:p>
    <w:p w14:paraId="75427284" w14:textId="62B6A097" w:rsidR="00EB481F" w:rsidRPr="00FB1452" w:rsidRDefault="00FB1452" w:rsidP="00A34ED5">
      <w:pPr>
        <w:pStyle w:val="Listeavsnitt"/>
        <w:numPr>
          <w:ilvl w:val="0"/>
          <w:numId w:val="5"/>
        </w:numPr>
      </w:pPr>
      <w:r w:rsidRPr="00FB1452">
        <w:t>Eksemplene: Har du/dere f</w:t>
      </w:r>
      <w:r>
        <w:t xml:space="preserve">orslag til eksempler? Vi ønsker oss </w:t>
      </w:r>
      <w:r w:rsidR="00E27515">
        <w:t>gode eksempler på</w:t>
      </w:r>
      <w:r w:rsidR="00181D50">
        <w:t xml:space="preserve"> praktiske problemstillinger som også kan brukes </w:t>
      </w:r>
      <w:r w:rsidR="00315169">
        <w:t>som ofte stilte spørsmål/svar på ressurssidene våre</w:t>
      </w:r>
      <w:r w:rsidR="00DB1984">
        <w:t>.</w:t>
      </w:r>
    </w:p>
    <w:p w14:paraId="6C25C260" w14:textId="21A71C45" w:rsidR="00D163E3" w:rsidRDefault="00925652" w:rsidP="0084691B">
      <w:pPr>
        <w:pStyle w:val="Overskrift1"/>
        <w:spacing w:after="168"/>
      </w:pPr>
      <w:r>
        <w:lastRenderedPageBreak/>
        <w:t>Nærmere o</w:t>
      </w:r>
      <w:r w:rsidR="009435AB">
        <w:t>m forskriften</w:t>
      </w:r>
    </w:p>
    <w:p w14:paraId="47D7A7A7" w14:textId="3CFF801C" w:rsidR="001D24A3" w:rsidRDefault="000B4FF8" w:rsidP="001D24A3">
      <w:pPr>
        <w:pStyle w:val="Overskrift2"/>
      </w:pPr>
      <w:r>
        <w:t>Forskriftens h</w:t>
      </w:r>
      <w:r w:rsidR="009A5FB7">
        <w:t xml:space="preserve">jemmel </w:t>
      </w:r>
    </w:p>
    <w:p w14:paraId="13090729" w14:textId="37620E9E" w:rsidR="00852978" w:rsidRDefault="00852978" w:rsidP="00852978">
      <w:r>
        <w:t xml:space="preserve">Kunnskapsdepartementet har </w:t>
      </w:r>
      <w:r w:rsidRPr="00D076E3">
        <w:t>fastsatt ny</w:t>
      </w:r>
      <w:r>
        <w:t xml:space="preserve"> skikkethetsforskrift, med virkning fra 1. august 2024. På samme tidspunkt oppheves forskrift 30. juni 2006 nr. 859 om skikkethetsvurdering i høyere utdanning, heretter omtalt som tidligere forskrift. Den nye skikkethetsforskriften er fastsatt med hjemmel i lov 8. mars 2024 nr. 9 om universiteter og høyskoler (universitets- og høyskoleloven) § 12-3. En oppdatert versjon av forskriften er publisert på Lovdata.</w:t>
      </w:r>
    </w:p>
    <w:p w14:paraId="5AC869B5" w14:textId="1A9E8F64" w:rsidR="00852978" w:rsidRPr="00852978" w:rsidRDefault="00852978" w:rsidP="00852978">
      <w:r>
        <w:t xml:space="preserve">Det følger av universitets- og høyskoleloven § 12-3 at institusjonen i enkelte utdanninger skal vurdere om den enkelte studenten er skikket for yrket. For nærmere omtale av universitets- og høyskoleloven § 12-3, se </w:t>
      </w:r>
      <w:proofErr w:type="spellStart"/>
      <w:r>
        <w:t>Prop</w:t>
      </w:r>
      <w:proofErr w:type="spellEnd"/>
      <w:r>
        <w:t xml:space="preserve">. 126 L (2022–2023). Det er departementet som fastsetter hvilke utdanninger som er omfattet av skikkethetsvurderingen, og disse utdanningene er listet opp i forskriften § 1.   </w:t>
      </w:r>
    </w:p>
    <w:p w14:paraId="086F7CE7" w14:textId="6D236C5B" w:rsidR="009435AB" w:rsidRDefault="006705BF" w:rsidP="009435AB">
      <w:pPr>
        <w:pStyle w:val="Overskrift2"/>
      </w:pPr>
      <w:r>
        <w:t xml:space="preserve">Endringer </w:t>
      </w:r>
      <w:r w:rsidR="00B32A14">
        <w:t>gjeldende fra</w:t>
      </w:r>
      <w:r>
        <w:t xml:space="preserve"> 1. august 2024</w:t>
      </w:r>
    </w:p>
    <w:p w14:paraId="41A4D400" w14:textId="1423B227" w:rsidR="006705BF" w:rsidRDefault="006705BF" w:rsidP="006705BF">
      <w:r>
        <w:t>Endringene i den nye forskriften er blant annet å innlemme nye grunnutdanninger til listen over utdanninger som omfattes. Forskriften er blant annet utvidet til å omfatte bachelordelen av todelt master i klinisk ernæringsfysiolog, og ikke bare femårig integrert masterutdanning i ernæringsfysiologi. Videre er det foretatt noen ordlydsendringer i listen over utdanninger som er underlagt skikkethetsforskriften. For eksempel er</w:t>
      </w:r>
      <w:r w:rsidR="00547B7A">
        <w:t xml:space="preserve"> </w:t>
      </w:r>
      <w:proofErr w:type="gramStart"/>
      <w:r w:rsidR="00547B7A">
        <w:t>ordlyden</w:t>
      </w:r>
      <w:r>
        <w:t xml:space="preserve"> ”farmasøyt</w:t>
      </w:r>
      <w:proofErr w:type="gramEnd"/>
      <w:r>
        <w:t xml:space="preserve"> (inkludert reseptar)” endret til ”farmasøytutdanninger”</w:t>
      </w:r>
      <w:r w:rsidR="00B32A14">
        <w:t xml:space="preserve">. Endringen medfører imidlertid ingen </w:t>
      </w:r>
      <w:r>
        <w:t>materiell endrin</w:t>
      </w:r>
      <w:r w:rsidR="00547B7A">
        <w:t>g</w:t>
      </w:r>
      <w:r w:rsidR="00B32A14">
        <w:t>, slik at r</w:t>
      </w:r>
      <w:r>
        <w:t>eseptar fortsatt</w:t>
      </w:r>
      <w:r w:rsidR="00B32A14">
        <w:t xml:space="preserve"> er</w:t>
      </w:r>
      <w:r>
        <w:t xml:space="preserve"> omfattet. Tolkeutdanninger omfatter</w:t>
      </w:r>
      <w:r w:rsidR="00547B7A">
        <w:t xml:space="preserve"> videre</w:t>
      </w:r>
      <w:r>
        <w:t xml:space="preserve"> både tegnspråktolking og tolking i talespråk.      </w:t>
      </w:r>
    </w:p>
    <w:p w14:paraId="6B65D1D9" w14:textId="77777777" w:rsidR="006705BF" w:rsidRDefault="006705BF" w:rsidP="006705BF">
      <w:r>
        <w:t xml:space="preserve">I tillegg er det innført at skikkethetsvurdering for master- og videreutdanninger som bygger på grunnutdanningene, og som fører til spesialisering, skal være underlagt skikkethetsvurdering. </w:t>
      </w:r>
    </w:p>
    <w:p w14:paraId="3C306778" w14:textId="3FDA8E06" w:rsidR="006705BF" w:rsidRDefault="009B2964" w:rsidP="006705BF">
      <w:r>
        <w:t>Nytt i forskriften er videre at dyr er inntatt so</w:t>
      </w:r>
      <w:r w:rsidRPr="006E5DFF">
        <w:t>m subjek</w:t>
      </w:r>
      <w:r w:rsidRPr="009B2964">
        <w:t xml:space="preserve">t (beskyttet sårbar gruppe) </w:t>
      </w:r>
      <w:r>
        <w:t xml:space="preserve">i formålsbestemmelsen. </w:t>
      </w:r>
      <w:r w:rsidR="006705BF">
        <w:t xml:space="preserve">Vurderingskriteriene for skikkethetsvurderingen har </w:t>
      </w:r>
      <w:r>
        <w:t>også</w:t>
      </w:r>
      <w:r w:rsidR="006705BF">
        <w:t xml:space="preserve"> blitt samlet i én paragraf</w:t>
      </w:r>
      <w:r>
        <w:t xml:space="preserve"> som gjelder for alle utdanningene som er underlagt skikkethetsvurdering.</w:t>
      </w:r>
    </w:p>
    <w:p w14:paraId="27FE4754" w14:textId="77777777" w:rsidR="006705BF" w:rsidRDefault="006705BF" w:rsidP="006705BF">
      <w:r>
        <w:lastRenderedPageBreak/>
        <w:t xml:space="preserve">Det tydeliggjort i forskriften at det er adgang til å dele informasjon på tvers av utdanningsinstitusjoner, det er også gjort noen presiseringer i retten til utvidet veiledning og oppfølging. </w:t>
      </w:r>
    </w:p>
    <w:p w14:paraId="61032819" w14:textId="77777777" w:rsidR="006705BF" w:rsidRDefault="006705BF" w:rsidP="006705BF">
      <w:r>
        <w:t xml:space="preserve">Det fremgår nå tydeligere av forskriften at utdanningsinstitusjonen kan stille vilkår i vedtak om utestenging, og at oppfyllelse av vilkårene kan innebære at den fastsatte utestengingsperioden avkortes. Det er også presisert at hvis en student etter oppfordring fra institusjonen ikke fremlegger relevant dokumentasjon i skikkethetssaker, skal saken avgjøres på grunnlag av den dokumentasjon som er tilgjengelig.  </w:t>
      </w:r>
    </w:p>
    <w:p w14:paraId="2059307C" w14:textId="28299FE4" w:rsidR="003B399F" w:rsidRDefault="003B399F" w:rsidP="006705BF">
      <w:r>
        <w:t>Forskriften er harmonisert med den nye universitets- og høyskoleloven som trer i kraft samtidig som forskriften 1. august 2024. På denne bakgrunn er blant annet kravet om at «styret selv» oppnevner skikkethetsnemnd</w:t>
      </w:r>
      <w:r w:rsidR="00A02F9D">
        <w:t>a,</w:t>
      </w:r>
      <w:r>
        <w:t xml:space="preserve"> endret til at «universiteter og høyskoler» (styret) oppnevn</w:t>
      </w:r>
      <w:r w:rsidR="00A02F9D">
        <w:t>er skikkethetsnemnda</w:t>
      </w:r>
      <w:r>
        <w:t>.</w:t>
      </w:r>
      <w:r w:rsidR="00A02F9D">
        <w:t xml:space="preserve"> Dette medfører også at styret kan delegere oppnevningen</w:t>
      </w:r>
      <w:r w:rsidR="000B3AB0">
        <w:t xml:space="preserve">. </w:t>
      </w:r>
    </w:p>
    <w:p w14:paraId="62F487D6" w14:textId="3D985636" w:rsidR="003B399F" w:rsidRDefault="003B399F" w:rsidP="006705BF">
      <w:r>
        <w:t xml:space="preserve">Endelig er enkelte regler om skikkethet flyttet fra forskrift til lov, samt at det er gjort noen språklige endringer for å harmonisere forskriften med loven. Benevnelsen av institusjonsansvarlig har blitt endret til skikkethetsansvarlig.  </w:t>
      </w:r>
    </w:p>
    <w:p w14:paraId="4EEEB79A" w14:textId="3C8A4942" w:rsidR="00A83824" w:rsidRDefault="00252E43" w:rsidP="00A83824">
      <w:pPr>
        <w:pStyle w:val="Overskrift2"/>
      </w:pPr>
      <w:proofErr w:type="gramStart"/>
      <w:r w:rsidRPr="00252E43">
        <w:t>Anvendelse</w:t>
      </w:r>
      <w:proofErr w:type="gramEnd"/>
      <w:r w:rsidRPr="00252E43">
        <w:t xml:space="preserve"> av regelverket etter ikrafttredelse  </w:t>
      </w:r>
    </w:p>
    <w:p w14:paraId="6FFD87E7" w14:textId="3EEDCE2E" w:rsidR="00FF3F47" w:rsidRDefault="00FF3F47" w:rsidP="00FF3F47">
      <w:r>
        <w:t xml:space="preserve">Endringene i skikkethetsforskriften </w:t>
      </w:r>
      <w:r w:rsidR="000462DE">
        <w:t xml:space="preserve">har virkning fra </w:t>
      </w:r>
      <w:r>
        <w:t>1. august 2024. Hvis det allerede på det</w:t>
      </w:r>
      <w:r w:rsidR="000462DE">
        <w:t>te</w:t>
      </w:r>
      <w:r>
        <w:t xml:space="preserve"> tidspunktet var startet en prosess, det vil si at skikkethetsansvarlige hadde sendt saken til skikkethetsnemnda</w:t>
      </w:r>
      <w:r w:rsidR="000462DE">
        <w:t>,</w:t>
      </w:r>
      <w:r>
        <w:t xml:space="preserve"> skal saken behandles etter reglene</w:t>
      </w:r>
      <w:r w:rsidR="00FD334E">
        <w:t xml:space="preserve"> etter tidligere forskrift</w:t>
      </w:r>
      <w:r>
        <w:t xml:space="preserve">. </w:t>
      </w:r>
    </w:p>
    <w:p w14:paraId="6C53A1C6" w14:textId="69ADBDBB" w:rsidR="00FF3F47" w:rsidRDefault="00FF3F47" w:rsidP="00FF3F47">
      <w:r>
        <w:t>Når det gjelder</w:t>
      </w:r>
      <w:r w:rsidR="00FD334E">
        <w:t xml:space="preserve"> de</w:t>
      </w:r>
      <w:r>
        <w:t xml:space="preserve"> nye utdanninge</w:t>
      </w:r>
      <w:r w:rsidR="00FD334E">
        <w:t>ne som er underlagt krav om</w:t>
      </w:r>
      <w:r>
        <w:t xml:space="preserve"> skikkethetsvurderinger, gjelder kravene i den nye forskriften kun for studenter som starter på utdanningene etter ikrafttredelsen. </w:t>
      </w:r>
    </w:p>
    <w:p w14:paraId="5F7228AE" w14:textId="58292828" w:rsidR="00FF3F47" w:rsidRDefault="00FF3F47" w:rsidP="00FF3F47">
      <w:r>
        <w:t>Det forutsettes at de som</w:t>
      </w:r>
      <w:r w:rsidR="00D906D7">
        <w:t xml:space="preserve"> etter</w:t>
      </w:r>
      <w:r w:rsidR="000F0D06">
        <w:t xml:space="preserve"> 1.</w:t>
      </w:r>
      <w:r w:rsidR="00D906D7">
        <w:t xml:space="preserve"> </w:t>
      </w:r>
      <w:r w:rsidR="000F0D06">
        <w:t>august 2024</w:t>
      </w:r>
      <w:r>
        <w:t xml:space="preserve"> får vitnemål i en utdanning som er omfattet av skikkethetsvurderinger </w:t>
      </w:r>
      <w:r w:rsidR="00C1236F">
        <w:t>etter</w:t>
      </w:r>
      <w:r>
        <w:t xml:space="preserve"> forskriften § 1</w:t>
      </w:r>
      <w:r w:rsidR="00C1236F">
        <w:t xml:space="preserve"> første ledd</w:t>
      </w:r>
      <w:r>
        <w:t>, er vurdert som skikket</w:t>
      </w:r>
      <w:r w:rsidR="00A15A88">
        <w:t xml:space="preserve"> </w:t>
      </w:r>
      <w:r w:rsidR="00F232F9">
        <w:t>på dette tidspunktet</w:t>
      </w:r>
      <w:r>
        <w:t>. Saker som er kommet inn etter den</w:t>
      </w:r>
      <w:r w:rsidR="00F232F9">
        <w:t xml:space="preserve"> nevnte datoen</w:t>
      </w:r>
      <w:r>
        <w:t xml:space="preserve"> skal behandles etter bestemmelsene i den</w:t>
      </w:r>
      <w:r w:rsidR="00A452EA">
        <w:t xml:space="preserve"> nye</w:t>
      </w:r>
      <w:r>
        <w:t xml:space="preserve"> forskriften. I vurderingen kan det tas hensyn til forhold før endringen, hvis forholdene sier noe om</w:t>
      </w:r>
      <w:r w:rsidR="00A452EA">
        <w:t xml:space="preserve"> vedkommende</w:t>
      </w:r>
      <w:r>
        <w:t xml:space="preserve"> </w:t>
      </w:r>
      <w:r w:rsidR="00A452EA">
        <w:t xml:space="preserve">sin </w:t>
      </w:r>
      <w:r>
        <w:t>nåværende skikkethet.</w:t>
      </w:r>
    </w:p>
    <w:p w14:paraId="3356488F" w14:textId="3B49A27A" w:rsidR="00FF3F47" w:rsidRDefault="00237669" w:rsidP="00FF3F47">
      <w:r>
        <w:lastRenderedPageBreak/>
        <w:t xml:space="preserve">Utdanningsinstitusjonen skal melde </w:t>
      </w:r>
      <w:r w:rsidR="00422703">
        <w:t>om v</w:t>
      </w:r>
      <w:r w:rsidR="00FF3F47">
        <w:t>edtak om at en student er funnet uskikket til «Register for informasjonsutveksling om reaksjoner», tidligere Register for utestengte studenter – RUST, jf. universitets- og høyskoleloven § 12-11 første ledd.</w:t>
      </w:r>
    </w:p>
    <w:p w14:paraId="0C03A9AD" w14:textId="6B085EAB" w:rsidR="007A1D6F" w:rsidRDefault="007A1D6F" w:rsidP="007A1D6F">
      <w:pPr>
        <w:pStyle w:val="Overskrift2"/>
      </w:pPr>
      <w:r>
        <w:t xml:space="preserve">Begreper </w:t>
      </w:r>
      <w:r w:rsidRPr="00252E43">
        <w:t xml:space="preserve"> </w:t>
      </w:r>
    </w:p>
    <w:p w14:paraId="282FC837" w14:textId="77777777" w:rsidR="00170347" w:rsidRDefault="00170347" w:rsidP="00170347">
      <w:r w:rsidRPr="00170347">
        <w:rPr>
          <w:b/>
          <w:bCs/>
        </w:rPr>
        <w:t xml:space="preserve">Skikkethetsvurdering: </w:t>
      </w:r>
      <w:r>
        <w:t xml:space="preserve">En vurdering av om en student har de faglige og personlige forutsetningene som kreves for å kunne studere og fungere i det yrket vedkommende utdanner seg til. Vurderingen gjøres etter faste vurderingskriterier etter forskriften § 3 og deretter i lys av formålet med skikkethetsvurdering etter § 2. </w:t>
      </w:r>
    </w:p>
    <w:p w14:paraId="4C209FAD" w14:textId="77777777" w:rsidR="00170347" w:rsidRDefault="00170347" w:rsidP="00170347">
      <w:r w:rsidRPr="00170347">
        <w:rPr>
          <w:b/>
          <w:bCs/>
        </w:rPr>
        <w:t xml:space="preserve">Skikkethetsansvarlig: </w:t>
      </w:r>
      <w:r>
        <w:t xml:space="preserve">Ansatt ved utdanningsinstitusjonen som har ansvar for behandling av tvilsmeldinger før behandling i skikkethetsnemnda. Institusjonene kan bestemme at skikkethetsansvarlig også skal ha ansvar for opplæring i skikkethetsvurdering og for å gi studentene informasjon om skikkethetsvurdering. </w:t>
      </w:r>
    </w:p>
    <w:p w14:paraId="1A9A8472" w14:textId="7C1E55E2" w:rsidR="00170347" w:rsidRDefault="00170347" w:rsidP="00170347">
      <w:r w:rsidRPr="00170347">
        <w:rPr>
          <w:b/>
          <w:bCs/>
        </w:rPr>
        <w:t>Skikkethetsnemnd:</w:t>
      </w:r>
      <w:r>
        <w:t xml:space="preserve"> Gir innstilling om en students uskikkethet til styret eller institusjonens nemnd for studentsaker. Skikkethetsnemnda har ikke vedtaksmyndighet.</w:t>
      </w:r>
    </w:p>
    <w:p w14:paraId="34D7BFAA" w14:textId="77777777" w:rsidR="00170347" w:rsidRDefault="00170347" w:rsidP="00170347">
      <w:r w:rsidRPr="00170347">
        <w:rPr>
          <w:b/>
          <w:bCs/>
        </w:rPr>
        <w:t xml:space="preserve">Vurderingssamtale: </w:t>
      </w:r>
      <w:r>
        <w:t>Skikkethetsansvarlig gjennomfører en samtale med studenten der skikkethetsansvarlig redegjør for saken og gir studenten mulighet til å presentere sin side av saken.</w:t>
      </w:r>
    </w:p>
    <w:p w14:paraId="5541E5E2" w14:textId="77777777" w:rsidR="00B111AD" w:rsidRDefault="00170347" w:rsidP="00B111AD">
      <w:pPr>
        <w:rPr>
          <w:b/>
          <w:bCs/>
          <w:color w:val="FF0000"/>
        </w:rPr>
      </w:pPr>
      <w:r w:rsidRPr="00170347">
        <w:rPr>
          <w:b/>
          <w:bCs/>
        </w:rPr>
        <w:t xml:space="preserve">Utvidet oppfølging og veiledning: </w:t>
      </w:r>
      <w:r>
        <w:t>Skikkethetsansvarlig skal utarbeide en plan for studenten og sørge for at den blir gjennomført. Studenten skal få tilbud om utvidet oppfølging og veiledning når det ikke er klart at det ikke er egnet til å hjelpe studenten.</w:t>
      </w:r>
      <w:r w:rsidR="00B111AD" w:rsidRPr="00B111AD">
        <w:rPr>
          <w:b/>
          <w:bCs/>
          <w:color w:val="FF0000"/>
        </w:rPr>
        <w:t xml:space="preserve"> </w:t>
      </w:r>
    </w:p>
    <w:p w14:paraId="340702D0" w14:textId="1041AF5E" w:rsidR="007A1D6F" w:rsidRPr="00626A51" w:rsidRDefault="00B111AD" w:rsidP="00170347">
      <w:pPr>
        <w:rPr>
          <w:color w:val="000000" w:themeColor="text1"/>
        </w:rPr>
      </w:pPr>
      <w:r w:rsidRPr="00B111AD">
        <w:rPr>
          <w:b/>
          <w:bCs/>
          <w:color w:val="000000" w:themeColor="text1"/>
        </w:rPr>
        <w:t xml:space="preserve">Oppfølgingssamtale: </w:t>
      </w:r>
      <w:r w:rsidR="007D0A9D">
        <w:rPr>
          <w:color w:val="000000" w:themeColor="text1"/>
        </w:rPr>
        <w:t>En etterfølgende samtale av vurderingssamta</w:t>
      </w:r>
      <w:r w:rsidR="009950E3">
        <w:rPr>
          <w:color w:val="000000" w:themeColor="text1"/>
        </w:rPr>
        <w:t>le</w:t>
      </w:r>
      <w:r w:rsidR="00FE0734">
        <w:rPr>
          <w:color w:val="000000" w:themeColor="text1"/>
        </w:rPr>
        <w:t>n</w:t>
      </w:r>
      <w:r w:rsidR="009950E3">
        <w:rPr>
          <w:color w:val="000000" w:themeColor="text1"/>
        </w:rPr>
        <w:t xml:space="preserve">, hvor </w:t>
      </w:r>
      <w:r w:rsidR="00C87F0E">
        <w:rPr>
          <w:color w:val="000000" w:themeColor="text1"/>
        </w:rPr>
        <w:t>s</w:t>
      </w:r>
      <w:r w:rsidRPr="00B111AD">
        <w:rPr>
          <w:color w:val="000000" w:themeColor="text1"/>
        </w:rPr>
        <w:t>kikkethetsansvarlig gjennomfører samtale</w:t>
      </w:r>
      <w:r w:rsidR="003F019A">
        <w:rPr>
          <w:color w:val="000000" w:themeColor="text1"/>
        </w:rPr>
        <w:t xml:space="preserve"> </w:t>
      </w:r>
      <w:r w:rsidRPr="00B111AD">
        <w:rPr>
          <w:color w:val="000000" w:themeColor="text1"/>
        </w:rPr>
        <w:t>med studenten</w:t>
      </w:r>
      <w:r>
        <w:rPr>
          <w:color w:val="000000" w:themeColor="text1"/>
        </w:rPr>
        <w:t xml:space="preserve"> </w:t>
      </w:r>
      <w:r w:rsidR="008632E9">
        <w:rPr>
          <w:color w:val="000000" w:themeColor="text1"/>
        </w:rPr>
        <w:t xml:space="preserve">for å vurdere om </w:t>
      </w:r>
      <w:r w:rsidR="00BB525D">
        <w:rPr>
          <w:color w:val="000000" w:themeColor="text1"/>
        </w:rPr>
        <w:t xml:space="preserve">plan om utvidet oppfølging og veiledning gir </w:t>
      </w:r>
      <w:r w:rsidR="00A7019C">
        <w:rPr>
          <w:color w:val="000000" w:themeColor="text1"/>
        </w:rPr>
        <w:t xml:space="preserve">nødvendige endring og </w:t>
      </w:r>
      <w:r w:rsidR="00627C5C">
        <w:rPr>
          <w:color w:val="000000" w:themeColor="text1"/>
        </w:rPr>
        <w:t>utvikling</w:t>
      </w:r>
      <w:r w:rsidR="001E1B2A">
        <w:rPr>
          <w:color w:val="000000" w:themeColor="text1"/>
        </w:rPr>
        <w:t>.</w:t>
      </w:r>
    </w:p>
    <w:p w14:paraId="495CBC30" w14:textId="4301549E" w:rsidR="003F3DF4" w:rsidRDefault="002E328C" w:rsidP="003F3DF4">
      <w:pPr>
        <w:pStyle w:val="Overskrift2"/>
      </w:pPr>
      <w:r w:rsidRPr="002E328C">
        <w:t>Formålet med skikkethetsvurdering</w:t>
      </w:r>
    </w:p>
    <w:p w14:paraId="5D556347" w14:textId="037E0569" w:rsidR="003D7457" w:rsidRDefault="003D7457" w:rsidP="003D7457">
      <w:r>
        <w:t>Hensikten med skikkethetsvurderingene er å verne mennesker og dyr som</w:t>
      </w:r>
      <w:r w:rsidR="001F6ABC">
        <w:t xml:space="preserve"> </w:t>
      </w:r>
      <w:r>
        <w:t>studenten kan komme i kontakt med eller ha</w:t>
      </w:r>
      <w:r w:rsidR="001F6ABC">
        <w:t xml:space="preserve">r </w:t>
      </w:r>
      <w:r>
        <w:t xml:space="preserve">ansvar for i praksis eller framtidig yrkesutøvelse, jf. </w:t>
      </w:r>
      <w:proofErr w:type="spellStart"/>
      <w:r>
        <w:t>Prop</w:t>
      </w:r>
      <w:proofErr w:type="spellEnd"/>
      <w:r w:rsidR="002126AA">
        <w:t>.</w:t>
      </w:r>
      <w:r w:rsidR="00D948E6">
        <w:t xml:space="preserve"> 126 L</w:t>
      </w:r>
      <w:r w:rsidR="006D58F2">
        <w:t xml:space="preserve"> </w:t>
      </w:r>
      <w:r w:rsidR="00BA1259">
        <w:t>(2022-2023)</w:t>
      </w:r>
      <w:r w:rsidR="001F6ABC">
        <w:t xml:space="preserve"> til</w:t>
      </w:r>
      <w:r w:rsidR="000825B8">
        <w:t xml:space="preserve"> universitets- og høyskoleloven § 12-3</w:t>
      </w:r>
      <w:r w:rsidR="00BA1259">
        <w:t xml:space="preserve"> om skikkethetsvurdering. </w:t>
      </w:r>
    </w:p>
    <w:p w14:paraId="352AF0E6" w14:textId="7980CD6A" w:rsidR="00D52577" w:rsidRDefault="00D52577" w:rsidP="00D52577">
      <w:r>
        <w:lastRenderedPageBreak/>
        <w:t xml:space="preserve">Etter skikkethetsforskriften § 2 har en skikkethetsvurdering som formål å avdekke om studenten har de nødvendige forutsetninger for å kunne utøve yrket. En student som utgjør en mulig fare for liv, fysisk og psykisk helse, rettigheter og sikkerhet til de pasienter, brukere, barnehagebarn, elever, dyr, klienter, dyreeiere eller andre studenten vil komme i kontakt med under praksisstudiene eller under framtidig yrkesutøvelse, er ikke skikket for yrket. </w:t>
      </w:r>
    </w:p>
    <w:p w14:paraId="4B687F2F" w14:textId="77777777" w:rsidR="00D52577" w:rsidRDefault="00D52577" w:rsidP="00D52577">
      <w:r>
        <w:t xml:space="preserve">Institusjonen har ansvar for å sikre at kun personer som er skikket til yrket får vitnemål. Dette skal institusjonen gjøre ved å foreta en helhetsvurdering av studentens faglige og personlige forutsetninger for å kunne fungere i det yrket studenten utdanner seg til. Skikkethetsvurdering foretas gjennom hele utdanningen, uavhengig resultatene på teoretiske eksamener og i praksisstudiene. Skikkethetsvurdering benyttes som hovedregel når andre formelle og uformelle virkemidler underveis i studiet, ikke har avhjulpet situasjonen. Det skal sikre at bare studenter som oppfyller kravene får vitnemål. Slike andre virkemidler er blant annet at institusjonen kan gi stryk eller ikke-bestått i fag eller i praksis. </w:t>
      </w:r>
    </w:p>
    <w:p w14:paraId="02E4052F" w14:textId="1B2A147B" w:rsidR="00D52577" w:rsidRDefault="00D52577" w:rsidP="00D52577">
      <w:r>
        <w:t xml:space="preserve">En typisk arena for å vurdere en students skikkethet er i praksisstudier. Gjennom praksisstudier vil for eksempel en students opptreden kunne vise at studenten er uskikket til det aktuelle yrket. Dette vil ofte kunne resultere i en ikke-bestått praksisperiode. En student kan imidlertid vurderes uskikket til tross for bestått praksisperiode. En student kan også være underlagt skikkethetsvurdering i tilfeller der studenten har valgt å slutte på studiet, dersom institusjonen mener </w:t>
      </w:r>
      <w:r w:rsidR="00E20798">
        <w:t>det foreligger begrunnet tvil om mulig fare om at studenten ikke er skikket for yrket etter definisjonen i</w:t>
      </w:r>
      <w:r w:rsidR="00940186">
        <w:t xml:space="preserve"> forskriften § 2</w:t>
      </w:r>
      <w:r>
        <w:t xml:space="preserve">. </w:t>
      </w:r>
    </w:p>
    <w:p w14:paraId="66EB312A" w14:textId="139FDFA3" w:rsidR="00C227C2" w:rsidRDefault="00C227C2" w:rsidP="00D52577">
      <w:r>
        <w:t>Dersom det ikke</w:t>
      </w:r>
      <w:r w:rsidRPr="00C227C2">
        <w:t xml:space="preserve"> lenger foreligger begrunnet tvil om mulig fare for</w:t>
      </w:r>
      <w:r w:rsidR="008F2421" w:rsidRPr="008F2421">
        <w:t xml:space="preserve"> </w:t>
      </w:r>
      <w:r w:rsidR="008F2421">
        <w:t>«</w:t>
      </w:r>
      <w:r w:rsidR="008F2421" w:rsidRPr="008F2421">
        <w:t>liv, fysisk og psykisk helse, rettigheter eller sikkerhet</w:t>
      </w:r>
      <w:r w:rsidR="008F2421">
        <w:t>»</w:t>
      </w:r>
      <w:r w:rsidRPr="00C227C2">
        <w:t xml:space="preserve"> etter definisjonen i forskriften § 2, er ikke kravene for å fortsette en skikkethetsvurdering oppfylt.</w:t>
      </w:r>
    </w:p>
    <w:p w14:paraId="7B641F16" w14:textId="4A2F014E" w:rsidR="003F3DF4" w:rsidRDefault="00D52577" w:rsidP="00D52577">
      <w:r>
        <w:t>Se nærmere om formålet med skikkethetsvurderingen under merknaden til forskriften § 2.</w:t>
      </w:r>
    </w:p>
    <w:p w14:paraId="27E9AA17" w14:textId="1FC5EEC9" w:rsidR="000F65B4" w:rsidRDefault="0064548F" w:rsidP="00D52577">
      <w:pPr>
        <w:pStyle w:val="Overskrift2"/>
      </w:pPr>
      <w:r>
        <w:t>Gangen i en skikkethetssak</w:t>
      </w:r>
    </w:p>
    <w:p w14:paraId="664791C1" w14:textId="77777777" w:rsidR="000F65B4" w:rsidRDefault="000F65B4" w:rsidP="000F65B4">
      <w:r>
        <w:t xml:space="preserve">En skikkethetsvurdering begynner ofte med at den skikkethetsansvarlige mottar en tvilsmelding om studenten.  Den skikkethetsansvarlige har ansvaret for å utrede saken og for at det eventuelt utarbeides utvidet oppfølging og veiledning </w:t>
      </w:r>
      <w:r>
        <w:lastRenderedPageBreak/>
        <w:t xml:space="preserve">for studenten. Dersom utvidet oppfølging og veiledning ikke anses å være egnet til å hjelpe studenten, eller gjennomført utvidet oppfølging og veiledning ikke har medført nødvendig endring og utvikling hos studenten, går saken til behandling i skikkethetsnemnda. </w:t>
      </w:r>
    </w:p>
    <w:p w14:paraId="62AF94E5" w14:textId="77777777" w:rsidR="000F65B4" w:rsidRDefault="000F65B4" w:rsidP="000F65B4">
      <w:r>
        <w:t xml:space="preserve">Studenten skal motta et skriftlig varsel om at det foreligger begrunnet tvil om </w:t>
      </w:r>
      <w:proofErr w:type="spellStart"/>
      <w:r>
        <w:t>vedkommendes</w:t>
      </w:r>
      <w:proofErr w:type="spellEnd"/>
      <w:r>
        <w:t xml:space="preserve"> skikkethet i tråd med reglene i lov 10. februar 1967 om behandlingsmåten i forvaltningssaker (forvaltningsloven) § 11.  Skikkethetsnemnda skal lage en innstilling til styret eller institusjonens nemnd for studentsaker. På bakgrunn av innstillingen kan nemnda fatte vedtak om at en student ikke er skikket for yrket, og eventuelt vedtak om utestenging som følge av dette. Studenter har rett til å få dekket utgifter til advokat eller annen fullmektig av institusjonen, fra det tidspunktet saken er fremmet for skikkethetsnemnda, jf. universitets- og høyskoleloven § 12-9 første og andre ledd.   </w:t>
      </w:r>
    </w:p>
    <w:p w14:paraId="04EFF1BB" w14:textId="77777777" w:rsidR="000F65B4" w:rsidRDefault="000F65B4" w:rsidP="000F65B4">
      <w:r>
        <w:t xml:space="preserve">Felles klagenemnd er klagenemnd for styrets eller klagenemndas vedtak etter universitets- og høyskoleloven § 14-2.  </w:t>
      </w:r>
    </w:p>
    <w:p w14:paraId="68933B73" w14:textId="77777777" w:rsidR="001579B5" w:rsidRDefault="000F65B4" w:rsidP="000F65B4">
      <w:r>
        <w:t xml:space="preserve">I forbindelse med en opprettet skikkehetssak må institusjonene informere studenten om den behandling av personopplysninger som skal skje, jf. personopplysningsloven §§ 19 og 20. I henhold til de nevnte bestemmelsene i personopplysningsloven må institusjonen blant annet opplyse studenten om hva som er formålet med behandlingen, at opplysningene lagres i et sentralt register og om retten til innsyn, retting og sletting.    </w:t>
      </w:r>
    </w:p>
    <w:p w14:paraId="4C4076F0" w14:textId="601E48CA" w:rsidR="000F65B4" w:rsidRDefault="001579B5" w:rsidP="000F65B4">
      <w:pPr>
        <w:pStyle w:val="Overskrift2"/>
      </w:pPr>
      <w:r w:rsidRPr="002E328C">
        <w:t>For</w:t>
      </w:r>
      <w:r>
        <w:t>hold til annet regelverk</w:t>
      </w:r>
      <w:r w:rsidR="000F65B4">
        <w:t xml:space="preserve"> </w:t>
      </w:r>
    </w:p>
    <w:p w14:paraId="0DCE1E0B" w14:textId="77777777" w:rsidR="008C0E3E" w:rsidRPr="008C0E3E" w:rsidRDefault="008C0E3E" w:rsidP="008C0E3E">
      <w:pPr>
        <w:rPr>
          <w:u w:val="single"/>
        </w:rPr>
      </w:pPr>
      <w:r w:rsidRPr="008C0E3E">
        <w:rPr>
          <w:u w:val="single"/>
        </w:rPr>
        <w:t>Saksbehandlingsregler etter forvaltningsloven</w:t>
      </w:r>
    </w:p>
    <w:p w14:paraId="3763386E" w14:textId="10D6D8C4" w:rsidR="008C0E3E" w:rsidRDefault="008C0E3E" w:rsidP="008C0E3E">
      <w:r>
        <w:t xml:space="preserve">Saksbehandlingsreglene i forvaltningsloven kapittel IV, V og VI gjelder når institusjonen behandler og fatter enkeltvedtak i skikkethetssaker. </w:t>
      </w:r>
      <w:r w:rsidR="00467466">
        <w:t>Blant sentrale regler</w:t>
      </w:r>
      <w:r>
        <w:t xml:space="preserve"> kan blant annet nevnes reglene om habilitet, taushetsplik</w:t>
      </w:r>
      <w:r w:rsidR="00467466">
        <w:t>t</w:t>
      </w:r>
      <w:r>
        <w:t xml:space="preserve">, institusjonens plikt til å forhåndsvarsle og påse at saken er tilstrekkelig opplyst, studentens rett til å gjøre seg kjent med saksdokumentene, at vedtaket skal være skriftlig, begrunnet og redegjøre for de faktiske og rettslige grunnlaget det bygger på, og klageadgang.   </w:t>
      </w:r>
    </w:p>
    <w:p w14:paraId="5309D628" w14:textId="77777777" w:rsidR="008C0E3E" w:rsidRPr="008C0E3E" w:rsidRDefault="008C0E3E" w:rsidP="008C0E3E">
      <w:pPr>
        <w:rPr>
          <w:u w:val="single"/>
        </w:rPr>
      </w:pPr>
      <w:r w:rsidRPr="008C0E3E">
        <w:rPr>
          <w:u w:val="single"/>
        </w:rPr>
        <w:t xml:space="preserve">Oppbevaring og sletting av informasjon </w:t>
      </w:r>
    </w:p>
    <w:p w14:paraId="4615C839" w14:textId="1E85D756" w:rsidR="004F5768" w:rsidRDefault="008C0E3E" w:rsidP="008C0E3E">
      <w:r>
        <w:lastRenderedPageBreak/>
        <w:t>Lov 4.</w:t>
      </w:r>
      <w:r w:rsidR="001A3621">
        <w:t xml:space="preserve"> </w:t>
      </w:r>
      <w:r>
        <w:t xml:space="preserve">desember 1992 nr.126 om arkiv (arkivloven) med </w:t>
      </w:r>
      <w:r w:rsidR="009A6395">
        <w:t xml:space="preserve">tilhørende </w:t>
      </w:r>
      <w:r w:rsidR="000A73B7">
        <w:t>forskrift</w:t>
      </w:r>
      <w:r>
        <w:t xml:space="preserve"> stiller krav til oppbevaring av dokumentasjon knyttet til tvilsmeldinger. </w:t>
      </w:r>
      <w:r w:rsidR="000A73B7">
        <w:t>Se særli</w:t>
      </w:r>
      <w:r w:rsidR="004F5768">
        <w:t>g forskrift 15.</w:t>
      </w:r>
      <w:r w:rsidR="001A3621">
        <w:t xml:space="preserve"> </w:t>
      </w:r>
      <w:r w:rsidR="004F5768">
        <w:t xml:space="preserve">desember </w:t>
      </w:r>
      <w:r w:rsidR="006C3158">
        <w:t>2017</w:t>
      </w:r>
      <w:r w:rsidR="001A3621">
        <w:t xml:space="preserve"> nr.2105</w:t>
      </w:r>
      <w:r w:rsidR="006C3158">
        <w:t xml:space="preserve"> </w:t>
      </w:r>
      <w:r w:rsidR="004F5768">
        <w:t>om offentlige arkiv §§ 9 og 14.</w:t>
      </w:r>
    </w:p>
    <w:p w14:paraId="5B789AAB" w14:textId="0A29A592" w:rsidR="008C0E3E" w:rsidRDefault="008C0E3E" w:rsidP="008C0E3E">
      <w:r>
        <w:t>Etter lov 15. juni 2018 nr. 38 om behandling av personopplysninger (personopplysningsloven), gjelder også EUROPAPARLAMENTS- OG RÅDSFORORDNING (EU) 2016/679 av 27. april 2016</w:t>
      </w:r>
      <w:r w:rsidR="002F7688">
        <w:t xml:space="preserve"> (</w:t>
      </w:r>
      <w:proofErr w:type="spellStart"/>
      <w:r w:rsidR="002F7688">
        <w:t>GDPR</w:t>
      </w:r>
      <w:proofErr w:type="spellEnd"/>
      <w:r w:rsidR="002F7688">
        <w:t xml:space="preserve">) </w:t>
      </w:r>
      <w:r>
        <w:t xml:space="preserve">om vern av fysiske personer i forbindelse med behandling av personopplysninger og om fri utveksling av slike opplysninger. Oppheving av direktiv 95/46/EF (generell personvernforordning) gjelder også. </w:t>
      </w:r>
      <w:r w:rsidR="002F7688">
        <w:t>Etter regelverket kan</w:t>
      </w:r>
      <w:r>
        <w:t xml:space="preserve"> studenten som tvilsmeldingen gjelder</w:t>
      </w:r>
      <w:r w:rsidR="002F7688">
        <w:t xml:space="preserve"> </w:t>
      </w:r>
      <w:r>
        <w:t>kan kreve</w:t>
      </w:r>
      <w:r w:rsidR="002F7688">
        <w:t xml:space="preserve"> at </w:t>
      </w:r>
      <w:r>
        <w:t xml:space="preserve">opplysninger blir slettet hvis gitte vilkår er oppfylt. </w:t>
      </w:r>
    </w:p>
    <w:p w14:paraId="3CD26CB6" w14:textId="77777777" w:rsidR="008C0E3E" w:rsidRDefault="008C0E3E" w:rsidP="008C0E3E">
      <w:r>
        <w:t xml:space="preserve">Etter universitets- og høyskoleloven § 12-11 første ledd skal et vedtak om skikkethet slettes fra registeret for informasjonsutveksling om reaksjoner overfor søkere og studenter, når perioden vedtaket gjelder for er utløpt.  </w:t>
      </w:r>
    </w:p>
    <w:p w14:paraId="6FA14CBE" w14:textId="77777777" w:rsidR="008C0E3E" w:rsidRPr="008C0E3E" w:rsidRDefault="008C0E3E" w:rsidP="008C0E3E">
      <w:pPr>
        <w:rPr>
          <w:u w:val="single"/>
        </w:rPr>
      </w:pPr>
      <w:r w:rsidRPr="008C0E3E">
        <w:rPr>
          <w:u w:val="single"/>
        </w:rPr>
        <w:t>Tilbakekallelse av autorisasjon i helseutdanninger etter endt studie</w:t>
      </w:r>
    </w:p>
    <w:p w14:paraId="4AA4EFDE" w14:textId="6CDC11E2" w:rsidR="008C0E3E" w:rsidRPr="008C0E3E" w:rsidRDefault="008C0E3E" w:rsidP="008C0E3E">
      <w:r>
        <w:t xml:space="preserve">Autorisering skjer først etter fullført utdanning og mottatt vitnemål. Autorisasjon er regulert i lov 2. juli 1999 nr. 64 om helsepersonell </w:t>
      </w:r>
      <w:proofErr w:type="spellStart"/>
      <w:r>
        <w:t>m.v</w:t>
      </w:r>
      <w:proofErr w:type="spellEnd"/>
      <w:r>
        <w:t xml:space="preserve">. (helsepersonelloven). Etter helsepersonelloven § 57 kan autorisasjon tilbakekalles til enhver tid dersom vilkårene for autorisasjon ikke lengre er til stede.     </w:t>
      </w:r>
    </w:p>
    <w:p w14:paraId="0C9F9980" w14:textId="6287B5A2" w:rsidR="00D163E3" w:rsidRDefault="00AE2C1B" w:rsidP="0084691B">
      <w:pPr>
        <w:pStyle w:val="Overskrift1"/>
        <w:spacing w:after="168"/>
      </w:pPr>
      <w:r w:rsidRPr="00AE2C1B">
        <w:t>Merknader til forskriftsbestemmelsene</w:t>
      </w:r>
    </w:p>
    <w:bookmarkEnd w:id="1"/>
    <w:p w14:paraId="2AC1D5E2" w14:textId="705EAC31" w:rsidR="00670562" w:rsidRDefault="005B0A7D" w:rsidP="00AE2C1B">
      <w:pPr>
        <w:pStyle w:val="Overskrift2"/>
      </w:pPr>
      <w:r w:rsidRPr="005B0A7D">
        <w:t>Til skikkethetsforskriften § 1</w:t>
      </w:r>
    </w:p>
    <w:p w14:paraId="66EDECEF" w14:textId="77777777" w:rsidR="0036222A" w:rsidRDefault="0036222A" w:rsidP="0036222A">
      <w:r>
        <w:t>Utdanningene som er omfattet av skikkethetsvurdering er listet opp i skikkethetsforskriften § 1 første ledd. Listen er uttømmende, og omfatter utdanninger der studenten under praksis og framtidig yrkesutøvelse vil komme i kontakt med mennesker og dyr i sårbare situasjoner.</w:t>
      </w:r>
    </w:p>
    <w:p w14:paraId="301BB650" w14:textId="4382973E" w:rsidR="008D6AFD" w:rsidRDefault="00C509FE" w:rsidP="0036222A">
      <w:r>
        <w:t xml:space="preserve">Utdanningsinstitusjonene skal altså gjøre </w:t>
      </w:r>
      <w:r w:rsidR="0036222A">
        <w:t>skikkhetsvurdering</w:t>
      </w:r>
      <w:r>
        <w:t>er</w:t>
      </w:r>
      <w:r w:rsidR="0036222A">
        <w:t xml:space="preserve"> </w:t>
      </w:r>
      <w:r>
        <w:t xml:space="preserve">i </w:t>
      </w:r>
      <w:r w:rsidR="00036451">
        <w:t xml:space="preserve">master- og </w:t>
      </w:r>
      <w:proofErr w:type="gramStart"/>
      <w:r w:rsidR="00A95CEF">
        <w:t>videreutdanninger</w:t>
      </w:r>
      <w:r w:rsidR="00A95CEF" w:rsidRPr="00454156">
        <w:t xml:space="preserve"> </w:t>
      </w:r>
      <w:r w:rsidR="00832D87" w:rsidRPr="00832D87">
        <w:t xml:space="preserve"> </w:t>
      </w:r>
      <w:r w:rsidR="00832D87">
        <w:t>som</w:t>
      </w:r>
      <w:proofErr w:type="gramEnd"/>
      <w:r w:rsidR="00832D87">
        <w:t xml:space="preserve"> fører til en «spesialisering»</w:t>
      </w:r>
      <w:r w:rsidR="00DE64A6">
        <w:t xml:space="preserve">, og </w:t>
      </w:r>
      <w:r w:rsidR="00A95CEF" w:rsidRPr="00454156">
        <w:t>som</w:t>
      </w:r>
      <w:r w:rsidR="0036222A">
        <w:t xml:space="preserve"> bygger på grunnutdanningene som er underlagt skikkethetsvurdering etter første ledd, jf. andre ledd. Det er to kumulative vilkår, som betyr at begge vilkårene må være oppfylt, for at institusjonene skal gjøre skikkethetsvurderinger i master- og </w:t>
      </w:r>
      <w:r w:rsidR="0036222A">
        <w:lastRenderedPageBreak/>
        <w:t xml:space="preserve">videreutdanningen. </w:t>
      </w:r>
      <w:r w:rsidR="00197D14">
        <w:t>Utdanningen må altså føre til en spesialisering, og den må bygge på én eller flere av utdanningene nevnt i første ledd.</w:t>
      </w:r>
    </w:p>
    <w:p w14:paraId="49705C24" w14:textId="0F97EB6D" w:rsidR="008762BA" w:rsidRDefault="0036222A" w:rsidP="0036222A">
      <w:r>
        <w:t xml:space="preserve">Det er </w:t>
      </w:r>
      <w:r w:rsidR="00197D14">
        <w:t xml:space="preserve">master- og </w:t>
      </w:r>
      <w:r>
        <w:t>videreutdanninger som gir en formell kompetanse i form av studiepoeng</w:t>
      </w:r>
      <w:r w:rsidR="006A064C">
        <w:t xml:space="preserve"> og som </w:t>
      </w:r>
      <w:r w:rsidR="0056497A">
        <w:t xml:space="preserve">fører til en spesialisering </w:t>
      </w:r>
      <w:r w:rsidR="00D43C95">
        <w:t xml:space="preserve">til en ny yrkesvei eller stilling </w:t>
      </w:r>
      <w:r>
        <w:t>som er omfattet av skikkethetsforskriften.</w:t>
      </w:r>
      <w:r w:rsidR="008762BA" w:rsidRPr="008762BA">
        <w:t xml:space="preserve"> </w:t>
      </w:r>
      <w:r w:rsidR="008762BA">
        <w:t xml:space="preserve">Skikkethetsforskriften er ikke ment å omfatte </w:t>
      </w:r>
      <w:r w:rsidR="00765482">
        <w:t>videreutdanninger som er en oppdatering og styrking av kompetanse innenfor eksisterende utdanningsnivå og stilling</w:t>
      </w:r>
      <w:r w:rsidR="00C730EB">
        <w:t xml:space="preserve">, eller </w:t>
      </w:r>
      <w:r w:rsidR="008762BA">
        <w:t>etterutdanninger i form kortere kurs som ikke gir formell kompetanse</w:t>
      </w:r>
      <w:r w:rsidR="004C4B3A">
        <w:t xml:space="preserve"> eller</w:t>
      </w:r>
      <w:r w:rsidR="008762BA">
        <w:t xml:space="preserve"> studiepoeng</w:t>
      </w:r>
      <w:r w:rsidR="00C730EB">
        <w:t>.</w:t>
      </w:r>
      <w:r w:rsidR="00646FD6">
        <w:t xml:space="preserve"> </w:t>
      </w:r>
      <w:r w:rsidR="00B86258">
        <w:t>Kravet</w:t>
      </w:r>
      <w:r w:rsidR="005F0C33">
        <w:t xml:space="preserve"> om skikkethetsvurdering </w:t>
      </w:r>
      <w:r w:rsidR="00B86258">
        <w:t>må forstås i lys av formål</w:t>
      </w:r>
      <w:r w:rsidR="006E4EE3">
        <w:t>et med skikkethetsvurderinger etter</w:t>
      </w:r>
      <w:r w:rsidR="000D4CE8">
        <w:t xml:space="preserve"> skikkethetsfor</w:t>
      </w:r>
      <w:r w:rsidR="00CD7C40">
        <w:t>skriften § 2</w:t>
      </w:r>
      <w:r w:rsidR="00331A76">
        <w:t>.</w:t>
      </w:r>
      <w:r w:rsidR="00F87250" w:rsidRPr="00F87250">
        <w:t xml:space="preserve"> </w:t>
      </w:r>
      <w:r w:rsidR="006E4EE3">
        <w:t>Dette innebærer at i</w:t>
      </w:r>
      <w:r w:rsidR="00F87250">
        <w:t xml:space="preserve">nstitusjonen må vurdere konkret hvorvidt studenten under </w:t>
      </w:r>
      <w:r w:rsidR="006E4EE3">
        <w:t>master- eller videre</w:t>
      </w:r>
      <w:r w:rsidR="00F87250">
        <w:t>utdanningen eller i</w:t>
      </w:r>
      <w:r w:rsidR="006E4EE3">
        <w:t xml:space="preserve"> det</w:t>
      </w:r>
      <w:r w:rsidR="00F87250">
        <w:t xml:space="preserve"> fremtidig</w:t>
      </w:r>
      <w:r w:rsidR="006E4EE3">
        <w:t>e</w:t>
      </w:r>
      <w:r w:rsidR="00F87250">
        <w:t xml:space="preserve"> yrket</w:t>
      </w:r>
      <w:r w:rsidR="002744DD">
        <w:t xml:space="preserve">, kommer i kontakt </w:t>
      </w:r>
      <w:r w:rsidR="006E4EE3">
        <w:t xml:space="preserve">med </w:t>
      </w:r>
      <w:r w:rsidR="00587E2D">
        <w:t>sårbare mennesker eller dyr</w:t>
      </w:r>
      <w:r w:rsidR="00F87250">
        <w:t>.</w:t>
      </w:r>
      <w:r w:rsidR="00331A76">
        <w:t xml:space="preserve"> </w:t>
      </w:r>
    </w:p>
    <w:p w14:paraId="50A78B87" w14:textId="05371B52" w:rsidR="0036222A" w:rsidRDefault="00BB2AC6" w:rsidP="0036222A">
      <w:r>
        <w:t xml:space="preserve">Eksempler på </w:t>
      </w:r>
      <w:r w:rsidR="00FA7C45">
        <w:t>videreutdanninger</w:t>
      </w:r>
      <w:r>
        <w:t xml:space="preserve"> </w:t>
      </w:r>
      <w:r w:rsidR="00C730EB">
        <w:t xml:space="preserve">som er omfattet av skikkethetsforskriften </w:t>
      </w:r>
      <w:r>
        <w:t>er</w:t>
      </w:r>
      <w:r w:rsidR="00FA7C45">
        <w:t xml:space="preserve"> </w:t>
      </w:r>
      <w:r w:rsidR="00C91D70">
        <w:t xml:space="preserve">anestesi-, barne-, intensiv-, kreft-, og operasjonssykepleier. </w:t>
      </w:r>
      <w:r w:rsidR="00E86D3B">
        <w:t>V</w:t>
      </w:r>
      <w:r w:rsidR="00347CE5">
        <w:t>i</w:t>
      </w:r>
      <w:r w:rsidR="00347CE5" w:rsidRPr="00347CE5">
        <w:t xml:space="preserve">dereutdanning for lærere </w:t>
      </w:r>
      <w:r w:rsidR="00E86D3B">
        <w:t xml:space="preserve">vil </w:t>
      </w:r>
      <w:r w:rsidR="00C32938">
        <w:t>i utgangspunktet ikke være omfattet</w:t>
      </w:r>
      <w:r w:rsidR="00A87F54">
        <w:t>. Dette er</w:t>
      </w:r>
      <w:r w:rsidR="00C32938">
        <w:t xml:space="preserve"> fordi den</w:t>
      </w:r>
      <w:r w:rsidR="00A87F54">
        <w:t xml:space="preserve"> normalt sett</w:t>
      </w:r>
      <w:r w:rsidR="00C32938">
        <w:t xml:space="preserve"> ikke</w:t>
      </w:r>
      <w:r w:rsidR="00A87F54">
        <w:t xml:space="preserve"> vil </w:t>
      </w:r>
      <w:r w:rsidR="00A87F54" w:rsidRPr="00347CE5">
        <w:t>kvalifisere for en ny yrkesvei eller en ny stilling</w:t>
      </w:r>
      <w:r w:rsidR="00A87F54">
        <w:t xml:space="preserve">, men </w:t>
      </w:r>
      <w:r w:rsidR="00BF5199" w:rsidRPr="00347CE5">
        <w:t xml:space="preserve">gi </w:t>
      </w:r>
      <w:r w:rsidR="00BF5199">
        <w:t>vedkommende</w:t>
      </w:r>
      <w:r w:rsidR="00BF5199" w:rsidRPr="00347CE5">
        <w:t xml:space="preserve"> tyngre kompetanse for å utøve det yrket de allerede er skikkethetsvurdert for gjennom grunnutdanningen</w:t>
      </w:r>
      <w:r w:rsidR="003D594A">
        <w:t>.</w:t>
      </w:r>
      <w:r w:rsidR="00DE0C06">
        <w:t xml:space="preserve"> </w:t>
      </w:r>
    </w:p>
    <w:p w14:paraId="69873F78" w14:textId="154CEFCC" w:rsidR="005B0A7D" w:rsidRDefault="0036222A" w:rsidP="0036222A">
      <w:r>
        <w:t xml:space="preserve">Dersom en student anses som uskikket i videreutdanningen påvirker ikke dette grunnutdanningen som studenten tidligere har fullført. Skikkethetsvurderingen er avgrenset til den spesialiseringen som videreutdanningen gir. Institusjonene kan ikke dele informasjon om studentens uskikkethet i videreutdanningen til studentens arbeidsgiver eller autorisasjonsmyndighet.   </w:t>
      </w:r>
    </w:p>
    <w:p w14:paraId="63B647D4" w14:textId="2BA4BF73" w:rsidR="000273D4" w:rsidRDefault="006D7D09" w:rsidP="000273D4">
      <w:pPr>
        <w:pStyle w:val="Overskrift2"/>
      </w:pPr>
      <w:r w:rsidRPr="006D7D09">
        <w:t>Til skikkethetsforskriften § 2</w:t>
      </w:r>
    </w:p>
    <w:p w14:paraId="434C5EE5" w14:textId="77777777" w:rsidR="00A802FA" w:rsidRDefault="00A802FA" w:rsidP="00A802FA">
      <w:r>
        <w:t xml:space="preserve">Det viktigste hensynet bak en skikkethetsvurdering er å sikre at pasienter, brukere, barnehagebarn, elever, dyr, klienter, dyreeiere eller andre studenten vil komme i kontakt med blir tatt hånd om av en skikket person. Skikkethetsvurderingen har altså som formål å beskytte en tredjepart. Dersom studenten kun er til fare for seg selv bør studenten ikke anses som uskikket etter forskriften. </w:t>
      </w:r>
    </w:p>
    <w:p w14:paraId="63E15F1D" w14:textId="77777777" w:rsidR="00A802FA" w:rsidRDefault="00A802FA" w:rsidP="00A802FA">
      <w:r>
        <w:t xml:space="preserve">Institusjonen, nærmere bestemt lærere, praksislærere, veiledere og andre som har med studenten i utdanningssituasjonen å gjøre, skal gjennom hele den teoretiske og den praktiske delen av studiet løpende vurdere den enkelte students skikkethet. Ettersom skikkethetsvurdering skal benyttes i spesielle tilfeller, bør </w:t>
      </w:r>
      <w:r>
        <w:lastRenderedPageBreak/>
        <w:t>institusjonen forsøke å rette opp i mindre (uønskede) forhold underveis i studieløpet gjennom veiledning og i samtaler. Institusjonen må sørge for at de ansatte, veiledere, praksislærere og andre ved de aktuelle utdanningene, har nødvendig kunnskap og kompetanse til å kunne vurdere studentens skikkethet.</w:t>
      </w:r>
    </w:p>
    <w:p w14:paraId="580AD944" w14:textId="77777777" w:rsidR="00A802FA" w:rsidRDefault="00A802FA" w:rsidP="00A802FA">
      <w:r>
        <w:t xml:space="preserve">I en skikkethetsvurdering kan institusjonen også legge vekt på forhold eller hendelser utenfor studiesituasjonen hvis forholdene har, eller må antas å kunne ha innvirkning på hvordan studenten vil utføre oppgavene i det aktuelle yrket. Studentene utdanner seg til yrker der de påvirker og former blant annet barn, og har derfor et særlig ansvar som rollemodeller. Når institusjonen vurderer om studenten tar dette ansvaret må de vurdere om studentens adferd/handlinger/unnlatelser bryter med de sentrale verdiene i formålsbestemmelsene i det aktuelle regelverket. For eksempel vil formålsbestemmelsene i opplæringsloven og barnehageloven kunne belyse hvordan studenten fremstår som rollemodell i lærer- og barnehagelæreryrket. </w:t>
      </w:r>
    </w:p>
    <w:p w14:paraId="62B1DDFE" w14:textId="006BD78B" w:rsidR="00A802FA" w:rsidRDefault="00A802FA" w:rsidP="00A802FA">
      <w:r>
        <w:t>Hvis studenten har bestått praksisperioden, vil normalt ikke forhold som kun knytter seg til selve praksisperioden funne føre til at studenten blir vurdert som uskikket. Men slike forhold kan være momenter som blir tillagt vekt i en helhetsvurdering av studentens skikkethet. På samme måte vil det at en student blir midlertidig utestengt etter universitets- og høyskoleloven §§ 12-5 og 12-6 ikke nødvendigvis innebære at studenten ikke er skikket. Det avgjørende er om forholdene vil være egnet til å hindre studenten i en tilfredsstillende utøvelse av det aktuelle yrket.</w:t>
      </w:r>
    </w:p>
    <w:p w14:paraId="51F4BDEC" w14:textId="244C5A00" w:rsidR="006D7D09" w:rsidRDefault="00BA00A8" w:rsidP="006D7D09">
      <w:pPr>
        <w:pStyle w:val="Overskrift2"/>
      </w:pPr>
      <w:r w:rsidRPr="00BA00A8">
        <w:t xml:space="preserve">Til skikkethetsforskriften § 3 </w:t>
      </w:r>
    </w:p>
    <w:p w14:paraId="4CC75F0F" w14:textId="3CC98831" w:rsidR="000D0A3A" w:rsidRDefault="000D0A3A" w:rsidP="000D0A3A">
      <w:r>
        <w:t xml:space="preserve">Det er en sammensatt og skjønnsmessig vurdering av hvorvidt en student er uskikket for yrket. For at en student skal være uskikket for yrket må minimum ett av vurderingskriteriene i § 3 være oppfylt. Vurderingen skal knyttes opp mot om studenten utgjør en mulig fare, jf. § 2. Kriteriene skal vurderes opp mot den aktuelle utdanningen og yrket. Utdanningsinstitusjonen    må ta stilling til hvilke kriterier som er relevante for den konkrete utdanningen som studenten vurderes ut ifra. Forståelsen og betydningen av hvorvidt de ulike skikkethetskriteriene er oppfylt, må ses i lys av innholdet i den aktuelle utdanningen og profesjonen.  </w:t>
      </w:r>
    </w:p>
    <w:p w14:paraId="1796A941" w14:textId="77777777" w:rsidR="000D0A3A" w:rsidRDefault="000D0A3A" w:rsidP="000D0A3A">
      <w:r>
        <w:t xml:space="preserve">Dersom ett eller flere av kriteriene i § 3 er oppfylt, må utdanningsinstitusjonen      videre vurdere det opp mot grunnvilkåret i § 2. I denne vurderingen må institusjonen ta stilling til hvorvidt dette, alene eller sammen med andre forhold </w:t>
      </w:r>
      <w:r>
        <w:lastRenderedPageBreak/>
        <w:t>gjør at studenten vil utgjøre en mulig fare for den sårbare gruppen studenten kommer i kontakt med i praksis eller i det framtidig yrke. Se også merknaden til § 2. En student skal altså vurderes som uskikket med mindre vedkommende utgjør en mulig fare for den målgruppen studenten skal utøve yrket sitt mot.</w:t>
      </w:r>
    </w:p>
    <w:p w14:paraId="09E7DE2F" w14:textId="753103BE" w:rsidR="000D0A3A" w:rsidRDefault="000D0A3A" w:rsidP="000D0A3A">
      <w:r>
        <w:t xml:space="preserve">I helhetsvurderingen av om en student skal anses uskikket er det et viktig moment hvor langt studenten er kommet i studiet. Videre er det et moment hvorvidt det kan tenkes at læring og utvikling videre i studiet kan gjøre studenten skikket til det aktuelle yrket. Tidlig i studieløpet kan studenten være mindre moden og reflektert, mens det gradvis forventes mer av studenten. Terskelen for å fastslå at en student er uskikket blir derfor lavere jo lengre ut i studieløpet studenten kommer.  </w:t>
      </w:r>
    </w:p>
    <w:p w14:paraId="1F437410" w14:textId="77777777" w:rsidR="000D0A3A" w:rsidRDefault="000D0A3A" w:rsidP="000D0A3A">
      <w:r>
        <w:t xml:space="preserve">Når det gjelder § 3 bokstav i, er studentens evne til vurdering forut for handling grunnleggende viktig for at handlingen kan utføres i tråd med god yrkesutøvelse. </w:t>
      </w:r>
    </w:p>
    <w:p w14:paraId="79C84C1F" w14:textId="2FC268E3" w:rsidR="000D0A3A" w:rsidRDefault="000D0A3A" w:rsidP="000D0A3A">
      <w:r>
        <w:t>Etter universitets- og høyskolelo</w:t>
      </w:r>
      <w:r w:rsidRPr="001014D9">
        <w:t>ven §</w:t>
      </w:r>
      <w:r w:rsidR="00396FE0" w:rsidRPr="001014D9">
        <w:t xml:space="preserve"> 10-5</w:t>
      </w:r>
      <w:r w:rsidRPr="001014D9">
        <w:t xml:space="preserve"> h</w:t>
      </w:r>
      <w:r>
        <w:t>ar studenten rett til tilrettelegging ved funksjonsnedsettelse</w:t>
      </w:r>
      <w:r w:rsidR="001014D9">
        <w:t xml:space="preserve"> og andre særskilte behov</w:t>
      </w:r>
      <w:r>
        <w:t xml:space="preserve">. Tilretteleggingen kan likevel ikke føre til reduksjon av de faglige krav som stilles i den enkelte utdanningen. Dersom studenten ikke er i stand til å utføre yrkesmessige handlinger som kreves, til tross for relevante retteleggingstiltak, skal ivaretakelsen av sårbare grupper gå foran hensynet til at studenten skal regnes som skikket.  </w:t>
      </w:r>
    </w:p>
    <w:p w14:paraId="13D92FC5" w14:textId="141D37F3" w:rsidR="00BA00A8" w:rsidRDefault="000D0A3A" w:rsidP="000D0A3A">
      <w:r>
        <w:t xml:space="preserve">Flere av vurderingstemaene som gjelder ved skikkethetsvurdering vil også kunne være vurderingstema ved tildeling og tilbakekall av autorisasjon og lisens til helsepersonell, se helsepersonelloven.      </w:t>
      </w:r>
    </w:p>
    <w:p w14:paraId="22C3FEE9" w14:textId="7730C040" w:rsidR="00307B35" w:rsidRDefault="00E40D7A" w:rsidP="00307B35">
      <w:pPr>
        <w:pStyle w:val="Overskrift2"/>
      </w:pPr>
      <w:r w:rsidRPr="00E40D7A">
        <w:t xml:space="preserve">Til skikkethetsforskriften § 4 </w:t>
      </w:r>
    </w:p>
    <w:p w14:paraId="4426B1BC" w14:textId="77777777" w:rsidR="00D36C9F" w:rsidRDefault="00D36C9F" w:rsidP="00D36C9F">
      <w:r>
        <w:t xml:space="preserve">Bestemmelsen presiserer institusjonenes alminnelige veiledningsplikt etter forvaltningsloven § 11. </w:t>
      </w:r>
    </w:p>
    <w:p w14:paraId="3BD49AA8" w14:textId="1B7D6220" w:rsidR="00D36C9F" w:rsidRDefault="00D36C9F" w:rsidP="00D36C9F">
      <w:r>
        <w:t>Institusjonene skal sørge for at alle studentene som begynner på utdanninger som er omfattet av skikkethetsvurdering får tilstrekkelig og relevant informasjon om regelverket ved studiestart. I tillegg bør det være tydelig for søkere før studiestart hva som er innhold i studiet og om utdanningen er underlagt skikkethetsvurdering. Institusjonen bør ha interne retningslinjer for informasjon om skikkethetsvurdering til studentene.</w:t>
      </w:r>
    </w:p>
    <w:p w14:paraId="5B3ECB1B" w14:textId="4255A870" w:rsidR="00E40D7A" w:rsidRDefault="00581DE8" w:rsidP="003C2067">
      <w:pPr>
        <w:pStyle w:val="Overskrift2"/>
      </w:pPr>
      <w:r w:rsidRPr="00581DE8">
        <w:lastRenderedPageBreak/>
        <w:t>Til skikkethetsforskriften § 5</w:t>
      </w:r>
    </w:p>
    <w:p w14:paraId="2EB91684" w14:textId="4EDE4CFC" w:rsidR="00532B5E" w:rsidRDefault="00532B5E" w:rsidP="003C2067">
      <w:r>
        <w:t>S</w:t>
      </w:r>
      <w:r w:rsidR="000A70E5">
        <w:t xml:space="preserve">kikkethetsforskriften § 5 </w:t>
      </w:r>
      <w:r>
        <w:t xml:space="preserve">regulerer </w:t>
      </w:r>
      <w:r w:rsidR="00EA23EA">
        <w:t xml:space="preserve">oppnevning og </w:t>
      </w:r>
      <w:r>
        <w:t xml:space="preserve">sammensetning av </w:t>
      </w:r>
      <w:r w:rsidR="00EA23EA">
        <w:t xml:space="preserve">utdanningsinstitusjonen </w:t>
      </w:r>
      <w:r>
        <w:t xml:space="preserve">skikkethetsnemnd. </w:t>
      </w:r>
    </w:p>
    <w:p w14:paraId="464CC810" w14:textId="60933D03" w:rsidR="00BA5398" w:rsidRDefault="00532B5E" w:rsidP="003C2067">
      <w:r>
        <w:t>Etter</w:t>
      </w:r>
      <w:r w:rsidR="00ED28F0">
        <w:t xml:space="preserve"> forskriften § 5</w:t>
      </w:r>
      <w:r>
        <w:t xml:space="preserve"> </w:t>
      </w:r>
      <w:r w:rsidR="000A70E5">
        <w:t xml:space="preserve">første ledd </w:t>
      </w:r>
      <w:r w:rsidR="003C2067">
        <w:t xml:space="preserve">skal universiteter og høyskoler </w:t>
      </w:r>
      <w:r w:rsidR="00F80533">
        <w:t xml:space="preserve">(styret) </w:t>
      </w:r>
      <w:r w:rsidR="003C2067">
        <w:t>oppnevne en skikkethetsnemnd</w:t>
      </w:r>
      <w:r w:rsidR="00832B59">
        <w:t xml:space="preserve"> bestående av ni medlemmer</w:t>
      </w:r>
      <w:r w:rsidR="003C2067">
        <w:t>.</w:t>
      </w:r>
      <w:r w:rsidR="00BA5398">
        <w:t xml:space="preserve"> </w:t>
      </w:r>
      <w:r w:rsidR="005B38A3">
        <w:t xml:space="preserve">Styret kan </w:t>
      </w:r>
      <w:r w:rsidR="00B42BE6">
        <w:t xml:space="preserve">etter universitets- og høyskoleloven § 4-2 </w:t>
      </w:r>
      <w:r w:rsidR="005B38A3">
        <w:t xml:space="preserve">delegere </w:t>
      </w:r>
      <w:r w:rsidR="003B399F">
        <w:t xml:space="preserve">oppnevningen videre til </w:t>
      </w:r>
      <w:r w:rsidR="00B42BE6">
        <w:t xml:space="preserve">andre ved institusjonen. </w:t>
      </w:r>
      <w:r w:rsidR="00B42BE6" w:rsidRPr="00B42BE6">
        <w:t>Styret er uansett ansvarlig for at oppnevningen er i samsvar med regelverket.</w:t>
      </w:r>
    </w:p>
    <w:p w14:paraId="62CDA1BD" w14:textId="0B98740F" w:rsidR="003C2067" w:rsidRDefault="003C2067" w:rsidP="003C2067">
      <w:r>
        <w:t>Institusjoner som er spredt på flere avdelinger eller fakulteter, bør ha en så bred representasjon</w:t>
      </w:r>
      <w:r w:rsidR="00582DB9">
        <w:t xml:space="preserve"> i skikkethetsnemnda</w:t>
      </w:r>
      <w:r>
        <w:t xml:space="preserve"> som mulig.  Hvis utdanningene ikke er organisert i avdeling, enhet eller fakultet, må institusjonen oppnevne personer som har tilsvarende funksjoner som faglig leder eller studieleder. De som oppnevnes til skikkethetsnemnda bør ha god kjennskap til utdanningene regelverket gjelder for.</w:t>
      </w:r>
    </w:p>
    <w:p w14:paraId="3439AEB4" w14:textId="7AAAC45F" w:rsidR="003C2067" w:rsidRDefault="002249B6" w:rsidP="003C2067">
      <w:r>
        <w:t>M</w:t>
      </w:r>
      <w:r w:rsidR="003C2067">
        <w:t xml:space="preserve">edlemmene i skikkethetsnemnda oppnevnes for tre år, </w:t>
      </w:r>
      <w:r>
        <w:t>mens</w:t>
      </w:r>
      <w:r w:rsidR="003C2067">
        <w:t xml:space="preserve"> studentrepresentantene </w:t>
      </w:r>
      <w:r>
        <w:t xml:space="preserve">oppnevnes </w:t>
      </w:r>
      <w:r w:rsidR="003C2067">
        <w:t>for ett år</w:t>
      </w:r>
      <w:r>
        <w:t xml:space="preserve">, jf. </w:t>
      </w:r>
      <w:r w:rsidR="00E87D1E">
        <w:t>forskriften § 5 andre ledd.</w:t>
      </w:r>
      <w:r w:rsidR="003C2067">
        <w:t xml:space="preserve"> Det skal ikke velges vararepresentanter for medlemmene i nemnda. Nemndsmedlemmene kan gjenoppnevnes. Medlemmer kan kun sitte i skikkethetsnemnda så lenge de oppfyller kravene </w:t>
      </w:r>
      <w:r w:rsidR="00B2490F">
        <w:t>etter skikkethetsforskriften</w:t>
      </w:r>
      <w:r w:rsidR="003C2067">
        <w:t>. Dersom medlemmene går ut av rollen som har gjort dem kvalifisert før oppnevnelsesperioden er over, må nytt medlem oppnevnes.</w:t>
      </w:r>
    </w:p>
    <w:p w14:paraId="0273CEAA" w14:textId="649C4B52" w:rsidR="00581DE8" w:rsidRDefault="00A35C0D" w:rsidP="00581DE8">
      <w:pPr>
        <w:pStyle w:val="Overskrift2"/>
      </w:pPr>
      <w:r w:rsidRPr="00A35C0D">
        <w:t>Til skikkethetsforskriften § 6</w:t>
      </w:r>
    </w:p>
    <w:p w14:paraId="25132598" w14:textId="77777777" w:rsidR="0038293C" w:rsidRPr="00437010" w:rsidRDefault="0038293C" w:rsidP="0038293C">
      <w:pPr>
        <w:rPr>
          <w:i/>
          <w:iCs/>
        </w:rPr>
      </w:pPr>
      <w:r w:rsidRPr="00437010">
        <w:rPr>
          <w:i/>
          <w:iCs/>
        </w:rPr>
        <w:t>Skikkethetsansvarlig</w:t>
      </w:r>
    </w:p>
    <w:p w14:paraId="6A96059E" w14:textId="77777777" w:rsidR="0038293C" w:rsidRDefault="0038293C" w:rsidP="0038293C">
      <w:r>
        <w:t xml:space="preserve">Universiteter og høyskoler skal oppnevne én eller flere ansatte ved institusjonen som ansvarlig for skikkethetsvurderingen. Skikkethetsansvarlig er ansvarlig for den særskilte skikkethetsvurderingen, behandling av tvilsmeldinger før behandling i skikkethetsnemnda og innstiller til skikkethetsnemnda. Institusjonen kan bestemme at skikkethetsansvarlig er ansvarlig for opplæring i skikkethetsvurdering på institusjonen og informasjon om skikkethet til studentene. </w:t>
      </w:r>
    </w:p>
    <w:p w14:paraId="1AC56CA5" w14:textId="2876C88C" w:rsidR="0038293C" w:rsidRDefault="0038293C" w:rsidP="0038293C">
      <w:r>
        <w:t>Det kan oppnevnes</w:t>
      </w:r>
      <w:r w:rsidR="00DB05EE">
        <w:t xml:space="preserve"> en</w:t>
      </w:r>
      <w:r>
        <w:t xml:space="preserve"> stedfortreder for</w:t>
      </w:r>
      <w:r w:rsidR="00DB05EE">
        <w:t xml:space="preserve"> den</w:t>
      </w:r>
      <w:r>
        <w:t xml:space="preserve"> skikkethetsansvarlig</w:t>
      </w:r>
      <w:r w:rsidR="00DB05EE">
        <w:t>e</w:t>
      </w:r>
      <w:r>
        <w:t>.</w:t>
      </w:r>
    </w:p>
    <w:p w14:paraId="0F33D39F" w14:textId="08ADB05D" w:rsidR="0053277A" w:rsidRDefault="002A1254" w:rsidP="0053277A">
      <w:pPr>
        <w:pStyle w:val="Overskrift2"/>
      </w:pPr>
      <w:r w:rsidRPr="002A1254">
        <w:lastRenderedPageBreak/>
        <w:t>Til skikkethetsforskriften § 7</w:t>
      </w:r>
    </w:p>
    <w:p w14:paraId="7A79B84C" w14:textId="2B01CCE5" w:rsidR="003E35AB" w:rsidRDefault="003E35AB" w:rsidP="003E35AB">
      <w:r>
        <w:t>Alle som er i kontakt med studenten kan levere inn tvilsmelding</w:t>
      </w:r>
      <w:r w:rsidR="00DB05EE">
        <w:t xml:space="preserve"> om vedkommende</w:t>
      </w:r>
      <w:r>
        <w:t>.</w:t>
      </w:r>
    </w:p>
    <w:p w14:paraId="2AA04567" w14:textId="62F0C442" w:rsidR="003E35AB" w:rsidRDefault="003E35AB" w:rsidP="003E35AB">
      <w:r>
        <w:t xml:space="preserve">Tvilsmelding kan gis anonymt og skal vurderes av institusjonen. Det er likevel en fordel for institusjonen å vite hvem som har sendt meldingen av hensyn til muligheten for å innhente mer informasjon. </w:t>
      </w:r>
      <w:r w:rsidR="00DB46FA">
        <w:t xml:space="preserve">Den som leverer tvilsmelding, regnes ikke som part i saken, jf. </w:t>
      </w:r>
      <w:proofErr w:type="spellStart"/>
      <w:r w:rsidR="00DB46FA">
        <w:t>fvl</w:t>
      </w:r>
      <w:proofErr w:type="spellEnd"/>
      <w:r w:rsidR="00DB46FA">
        <w:t xml:space="preserve">. § 2 første ledd bokstav e. </w:t>
      </w:r>
    </w:p>
    <w:p w14:paraId="61935BC1" w14:textId="32D1B963" w:rsidR="003E35AB" w:rsidRDefault="003E35AB" w:rsidP="003E35AB">
      <w:r>
        <w:t>I noen tilfeller vil den som leverer en tvilsmelding ønske at den meldingen gjelder ikke får vite hvem som meldte tvil. Studenten som tvilsmeldingen gjelder, har rett til å gjøre seg kjent med sakens dokumenter, etter forvaltningsloven § 18 om partsinnsyn. Det innebærer at studenten i utgangspunktet har rett til å få vite hvem som har levert tvilsmeldingen. Anonymisering av melder</w:t>
      </w:r>
      <w:r w:rsidR="00C43EAE">
        <w:t xml:space="preserve"> av tvilsmeldingen</w:t>
      </w:r>
      <w:r>
        <w:t xml:space="preserve"> kan bare gjøres der særlige grunner taler for det, se forvaltningsloven § 19 andre ledd bokstav b. Det skal tas hensyn til hvilke konsekvenser det vil ha for den som har levert tvilsmelding om </w:t>
      </w:r>
      <w:proofErr w:type="spellStart"/>
      <w:r>
        <w:t>vedkommendes</w:t>
      </w:r>
      <w:proofErr w:type="spellEnd"/>
      <w:r>
        <w:t xml:space="preserve"> identitet blir kjent, for eksempel om det kan være fare for gjengjeldelse. Det skal også legges vekt på om det er av vesentlig betydning for studenten det er varslet tvil om, å få opplysningen for å kunne vareta egne interesser i saken. Eksempler fra forvaltningspraksis viser at det er gitt unntak fra innsyn i saker der foreldre har klaget på deres barns lærere. Praksisen skyldes at det har vært frykt for represalier og fordi det ikke har vært av vesentlig betydning for læreren å vite hvilke foreldre som har klaget. Før det eventuelt gis innsyn i informasjon som kan røpe melders identitet, bør tvilsmelderen få anledning til uttale seg. </w:t>
      </w:r>
    </w:p>
    <w:p w14:paraId="41B5B4FD" w14:textId="6A1080DF" w:rsidR="002A1254" w:rsidRDefault="003E35AB" w:rsidP="003E35AB">
      <w:r>
        <w:t>Skikkethetsansvarlig skal ikke behandle tvilsmeldinger som er åpenbart ugrunnet.  Terskelen for at en tvilsmelding er åpenbart ugrunnet er høy, og det skal mye til for at en tvilsmelding ikke skal behandles. Det kan være tvilsmeldinger som ikke faller inn under vurderingskriteriene i skikkethetsforskriften § 3, eller at det er klart at innholdet i tvilsmeldingen ikke utgjør en mulig fare for de sårbare gruppene som er nedfelt i forskriftens formålsbestemmelse, § 2. Skikkethetsansvarlige må begrunne hvorfor tvilsmeldinger ikke tas til behandling.</w:t>
      </w:r>
    </w:p>
    <w:p w14:paraId="05881E19" w14:textId="05A73AB0" w:rsidR="00925CB7" w:rsidRDefault="002B1173" w:rsidP="00925CB7">
      <w:pPr>
        <w:pStyle w:val="Overskrift2"/>
      </w:pPr>
      <w:r w:rsidRPr="002B1173">
        <w:t>Til skikkethetsforskriften § 8</w:t>
      </w:r>
    </w:p>
    <w:p w14:paraId="4FDB4CD9" w14:textId="09FF1ABF" w:rsidR="00925CB7" w:rsidRDefault="00925CB7" w:rsidP="00925CB7">
      <w:r>
        <w:t xml:space="preserve">Studenten skal </w:t>
      </w:r>
      <w:r w:rsidR="006F7EAC">
        <w:t xml:space="preserve">etter forskriften § 8 første ledd </w:t>
      </w:r>
      <w:r>
        <w:t xml:space="preserve">motta et skriftlig varsel om at det foreligger begrunnet tvil om </w:t>
      </w:r>
      <w:proofErr w:type="spellStart"/>
      <w:r>
        <w:t>vedkommendes</w:t>
      </w:r>
      <w:proofErr w:type="spellEnd"/>
      <w:r>
        <w:t xml:space="preserve"> skikkethet. Varselet skal utarbeides </w:t>
      </w:r>
      <w:r>
        <w:lastRenderedPageBreak/>
        <w:t xml:space="preserve">etter </w:t>
      </w:r>
      <w:r w:rsidR="003912AE">
        <w:t>saksbehandlings</w:t>
      </w:r>
      <w:r>
        <w:t>reglene i forvaltningsloven</w:t>
      </w:r>
      <w:r w:rsidR="003912AE">
        <w:t xml:space="preserve"> § 11</w:t>
      </w:r>
      <w:r>
        <w:t xml:space="preserve">, og skal blant annet inneholde informasjon om regelverket, om de forhold som ligger til grunn for tvil om </w:t>
      </w:r>
      <w:proofErr w:type="spellStart"/>
      <w:r>
        <w:t>vedkommendes</w:t>
      </w:r>
      <w:proofErr w:type="spellEnd"/>
      <w:r>
        <w:t xml:space="preserve"> skikkethet og videre saksgang. Skikkethetsansvarlig skal innkalle studenten til en vurderingssamtale. Formålet med vurderingssamtalen er å utrede saken og la studenten få presentere sin side av saken. Studenten kan ta med seg en talsperson til vurderingssamtalen, men må dekke utgiftene selv til dette selv, jf. forvaltningsloven § 12 første ledd. </w:t>
      </w:r>
    </w:p>
    <w:p w14:paraId="2B1FEF95" w14:textId="65EBE894" w:rsidR="00925CB7" w:rsidRDefault="001F4D4C" w:rsidP="00925CB7">
      <w:r>
        <w:t>Etter forskriften § 8 andre ledd skal s</w:t>
      </w:r>
      <w:r w:rsidR="00925CB7">
        <w:t xml:space="preserve">tudenten få tilbud om utvidet oppfølging og veiledning. Skikkethetsansvarlig har ansvar for vurderingen av resultatet av den utvidede veiledningen og oppfølgingen. Skikkethetsansvarlig skal lage en plan for utvidet oppfølging og veiledning og sørge for at den blir gjennomført. </w:t>
      </w:r>
    </w:p>
    <w:p w14:paraId="0336FD4D" w14:textId="6721F957" w:rsidR="00925CB7" w:rsidRDefault="00925CB7" w:rsidP="00925CB7">
      <w:r>
        <w:t xml:space="preserve">I enkelte tilfeller vil det være klart at tilbud om utvidet oppfølging og veiledning ikke vil kunne hjelpe studenten. I slike saker kan skikkethetsansvarlig </w:t>
      </w:r>
      <w:r w:rsidR="00487A4E">
        <w:t xml:space="preserve">unntaksvis </w:t>
      </w:r>
      <w:r>
        <w:t>avgjøre at det ikke skal gis utvidet oppfølging og veiledning.</w:t>
      </w:r>
      <w:r w:rsidR="00487A4E" w:rsidRPr="00487A4E">
        <w:t xml:space="preserve"> </w:t>
      </w:r>
      <w:r w:rsidR="00487A4E">
        <w:t>Skikkethetsansvarlig skal ikke utarbeide en plan for utvidet oppfølging og veiledning i tilfeller hvor unntaksbestemmelsen tas i bruk.</w:t>
      </w:r>
      <w:r>
        <w:t xml:space="preserve"> I vurderingen</w:t>
      </w:r>
      <w:r w:rsidR="00487A4E">
        <w:t xml:space="preserve"> av </w:t>
      </w:r>
      <w:proofErr w:type="gramStart"/>
      <w:r w:rsidR="00487A4E">
        <w:t>anvendelse</w:t>
      </w:r>
      <w:proofErr w:type="gramEnd"/>
      <w:r w:rsidR="00487A4E">
        <w:t xml:space="preserve"> av unntaksbestemmelsen</w:t>
      </w:r>
      <w:r>
        <w:t xml:space="preserve"> vil alltid pasientrettigheter og hensynet til brukerne gå foran hensynet til studenten. Terskelen for å ikke tilby utvidet oppfølging og veiledning </w:t>
      </w:r>
      <w:r w:rsidR="00573EE1">
        <w:t>er</w:t>
      </w:r>
      <w:r>
        <w:t xml:space="preserve"> svært høy, samtidig som den skal gi skikkethetsansvarlig et handlingsrom til å vurdere om studenten er i stand til å ta imot eller nyttiggjøre seg den oppfølgning og veiledning som omhandler tvilsgrunnlaget. Det kan være situasjoner hvor studenten gjør seg utilgjengelig og unnlater å medvirke i saken. Studenten kan eksempelvis unnlate å møte til vurderingssamtale eller utvise en adferd som klart tyder på at studenten ikke er i stand til å ta imot eller nyttiggjøre seg den veiledningen som omhandler tvilsgrunnlaget. </w:t>
      </w:r>
    </w:p>
    <w:p w14:paraId="604F9774" w14:textId="12F7F9A1" w:rsidR="0071454F" w:rsidRDefault="005267CB" w:rsidP="008A3388">
      <w:r>
        <w:t>Det er den skikkethetsansvarlige som</w:t>
      </w:r>
      <w:r w:rsidR="009937F0">
        <w:t xml:space="preserve"> avgjør om skal behandles av skikkethetsnemnda, jf. forskriften § 8 tredje ledd.</w:t>
      </w:r>
      <w:r>
        <w:t xml:space="preserve"> </w:t>
      </w:r>
      <w:r w:rsidR="009937F0">
        <w:t xml:space="preserve">Bestemmelsen stiller opp </w:t>
      </w:r>
      <w:r w:rsidR="003A2CDD">
        <w:t>tre alternative vilkår for å kunne fremme saken for skikkethetsnemda</w:t>
      </w:r>
      <w:r w:rsidR="00943D8C">
        <w:t xml:space="preserve"> i bokstav a-c</w:t>
      </w:r>
      <w:r w:rsidR="003A2CDD">
        <w:t xml:space="preserve">. </w:t>
      </w:r>
    </w:p>
    <w:p w14:paraId="3194BD48" w14:textId="16520FDB" w:rsidR="00577DA3" w:rsidRDefault="0071454F" w:rsidP="008A3388">
      <w:r>
        <w:t>Etter</w:t>
      </w:r>
      <w:r w:rsidR="00943D8C">
        <w:t xml:space="preserve"> bokstav</w:t>
      </w:r>
      <w:r w:rsidR="008A3388">
        <w:t xml:space="preserve"> a) </w:t>
      </w:r>
      <w:r w:rsidR="00943D8C">
        <w:t xml:space="preserve">kan </w:t>
      </w:r>
      <w:r w:rsidR="00925CB7">
        <w:t xml:space="preserve">skikkethetsansvarlig </w:t>
      </w:r>
      <w:r w:rsidR="00943D8C">
        <w:t>fremme sak dersom</w:t>
      </w:r>
      <w:r w:rsidR="0032439B">
        <w:t xml:space="preserve"> vedkommende</w:t>
      </w:r>
      <w:r w:rsidR="00943D8C">
        <w:t xml:space="preserve"> </w:t>
      </w:r>
      <w:r w:rsidR="00925CB7">
        <w:t>vurderer at det er klart at oppfølging og veiledning ikke er egnet til å hjelpe studenten</w:t>
      </w:r>
      <w:r>
        <w:t xml:space="preserve">. Dette </w:t>
      </w:r>
      <w:r w:rsidR="00925CB7">
        <w:t>m</w:t>
      </w:r>
      <w:r>
        <w:t>å</w:t>
      </w:r>
      <w:r w:rsidR="00925CB7">
        <w:t xml:space="preserve"> skikkethetsansvarlig begrunne særskilt. </w:t>
      </w:r>
      <w:r w:rsidR="00D31995">
        <w:t>Videre kan det e</w:t>
      </w:r>
      <w:r w:rsidR="0032439B">
        <w:t>tter bokstav b) fremmes</w:t>
      </w:r>
      <w:r w:rsidR="00D31995">
        <w:t xml:space="preserve"> sak</w:t>
      </w:r>
      <w:r w:rsidR="0032439B">
        <w:t xml:space="preserve"> dersom</w:t>
      </w:r>
      <w:r w:rsidR="00577DA3">
        <w:t xml:space="preserve"> studenten ikke tar imot tilbudet om utvidet oppfølging og veiledning eller ikke vil gjennomføre tilbudet. E</w:t>
      </w:r>
      <w:r w:rsidR="00D31995">
        <w:t>ndelig kan det e</w:t>
      </w:r>
      <w:r w:rsidR="00577DA3">
        <w:t>tter bokstav c</w:t>
      </w:r>
      <w:r w:rsidR="00D31995">
        <w:t>) kan det fremmes sak</w:t>
      </w:r>
      <w:r w:rsidR="00577DA3">
        <w:t xml:space="preserve"> dersom </w:t>
      </w:r>
      <w:r w:rsidR="00D31995">
        <w:t xml:space="preserve">studenten etter </w:t>
      </w:r>
      <w:r w:rsidR="00577DA3">
        <w:t>utvidet oppfølging og veiledning ikke har hatt nødvendig endring og utvikling</w:t>
      </w:r>
      <w:r w:rsidR="00D31995">
        <w:t>en</w:t>
      </w:r>
      <w:r w:rsidR="00577DA3">
        <w:t xml:space="preserve">. </w:t>
      </w:r>
    </w:p>
    <w:p w14:paraId="3BA52035" w14:textId="77777777" w:rsidR="00CE1D3E" w:rsidRDefault="00925CB7" w:rsidP="00925CB7">
      <w:r>
        <w:lastRenderedPageBreak/>
        <w:t xml:space="preserve">Av hensyn til </w:t>
      </w:r>
      <w:r w:rsidR="00E44F30">
        <w:t>de</w:t>
      </w:r>
      <w:r>
        <w:t xml:space="preserve"> som studenten møter i praksis, kan skikkethetsansvarlig</w:t>
      </w:r>
      <w:r w:rsidR="00E44F30">
        <w:t xml:space="preserve"> etter forskriften § 8 fjerde ledd</w:t>
      </w:r>
      <w:r>
        <w:t xml:space="preserve"> vedta å utsette praksis fra tvilsmelding er mottatt til etter at utvidet veiledning er gjennomført. </w:t>
      </w:r>
      <w:r w:rsidR="006F0FFF">
        <w:t xml:space="preserve">Vedtak om utsettelse av praksis </w:t>
      </w:r>
      <w:r w:rsidR="00480198">
        <w:t xml:space="preserve">har stor </w:t>
      </w:r>
      <w:r w:rsidR="001F354F">
        <w:t>betydning for studenten</w:t>
      </w:r>
      <w:r w:rsidR="00434965">
        <w:t>, og bør derfor behandles som</w:t>
      </w:r>
      <w:r w:rsidR="006F0FFF">
        <w:t xml:space="preserve"> et enkeltvedtak etter forvaltningsloven</w:t>
      </w:r>
      <w:r w:rsidR="00434965">
        <w:t xml:space="preserve">. Dette innebærer at </w:t>
      </w:r>
      <w:r w:rsidR="00480198">
        <w:t xml:space="preserve">studenten har </w:t>
      </w:r>
      <w:r w:rsidR="00757E94">
        <w:t xml:space="preserve">anledning til å klage på avgjørelsen. </w:t>
      </w:r>
      <w:r w:rsidR="00A737BE" w:rsidRPr="00A737BE">
        <w:t xml:space="preserve">Klager på avgjørelser om å utsette praksis etter skikkethetsforskriften § </w:t>
      </w:r>
      <w:r w:rsidR="00A737BE">
        <w:t>8 fjerde ledd</w:t>
      </w:r>
      <w:r w:rsidR="00A737BE" w:rsidRPr="00A737BE">
        <w:t xml:space="preserve"> skal avgjøres av</w:t>
      </w:r>
      <w:r w:rsidR="002430F7">
        <w:t xml:space="preserve"> </w:t>
      </w:r>
      <w:r w:rsidR="00A737BE" w:rsidRPr="00A737BE">
        <w:t>institusjonenes nemnd</w:t>
      </w:r>
      <w:r w:rsidR="00A737BE">
        <w:t xml:space="preserve"> for studentsaker</w:t>
      </w:r>
      <w:r w:rsidR="00A737BE" w:rsidRPr="00A737BE">
        <w:t>, jf. universitets- og høyskoleloven §</w:t>
      </w:r>
      <w:r w:rsidR="002430F7">
        <w:t xml:space="preserve"> </w:t>
      </w:r>
      <w:r w:rsidR="008874D5">
        <w:t>14-1 andre ledd.</w:t>
      </w:r>
      <w:r w:rsidR="00EC362C">
        <w:t xml:space="preserve"> Nemnda skal i </w:t>
      </w:r>
      <w:r w:rsidR="00CD00E5">
        <w:t>klage</w:t>
      </w:r>
      <w:r w:rsidR="00EC362C">
        <w:t>behandlingen</w:t>
      </w:r>
      <w:r w:rsidR="00CD00E5">
        <w:t xml:space="preserve"> ta stilling til om varselet og forholdene </w:t>
      </w:r>
      <w:proofErr w:type="gramStart"/>
      <w:r w:rsidR="00CD00E5">
        <w:t>for øvrig</w:t>
      </w:r>
      <w:proofErr w:type="gramEnd"/>
      <w:r w:rsidR="00CD00E5">
        <w:t xml:space="preserve"> er av en slik karakter </w:t>
      </w:r>
      <w:r w:rsidR="002C33EC">
        <w:t>at praksisperioder bør utsettes. Nemnda skal</w:t>
      </w:r>
      <w:r w:rsidR="00EC362C">
        <w:t xml:space="preserve"> ikke ta stilling til hvorvidt studenten er uskikket</w:t>
      </w:r>
      <w:r w:rsidR="00CD00E5">
        <w:t xml:space="preserve">. </w:t>
      </w:r>
    </w:p>
    <w:p w14:paraId="6BF8D888" w14:textId="3F5504C7" w:rsidR="00BC1E32" w:rsidRDefault="00BC1E32" w:rsidP="00925CB7">
      <w:r>
        <w:t>En klage på</w:t>
      </w:r>
      <w:r w:rsidR="00CE1D3E">
        <w:t xml:space="preserve"> en</w:t>
      </w:r>
      <w:r>
        <w:t xml:space="preserve"> avgjørelse om </w:t>
      </w:r>
      <w:r w:rsidR="0023558A">
        <w:t xml:space="preserve">utsatt praksis </w:t>
      </w:r>
      <w:r w:rsidR="00CE1D3E">
        <w:t>har ikke oppsettende virkning med mindre noe annet blir bestemt, jf. forvaltningsloven § 42.</w:t>
      </w:r>
    </w:p>
    <w:p w14:paraId="0BFAE80B" w14:textId="385F8B1A" w:rsidR="00925CB7" w:rsidRDefault="00925CB7" w:rsidP="00925CB7">
      <w:r>
        <w:t xml:space="preserve">Adgangen til informasjonsutveksling </w:t>
      </w:r>
      <w:r w:rsidR="00AA11EC">
        <w:t xml:space="preserve">om skikkethetssaker </w:t>
      </w:r>
      <w:r>
        <w:t>mellom institusjoner, er begrenset til tidspunkt</w:t>
      </w:r>
      <w:r w:rsidR="001C6DC4">
        <w:t xml:space="preserve">et en </w:t>
      </w:r>
      <w:r>
        <w:t>særskilt skikkethetsvurdering er igangsatt</w:t>
      </w:r>
      <w:r w:rsidR="007301B2">
        <w:t xml:space="preserve">, </w:t>
      </w:r>
      <w:r>
        <w:t>og</w:t>
      </w:r>
      <w:r w:rsidR="007301B2">
        <w:t xml:space="preserve"> gjelder</w:t>
      </w:r>
      <w:r>
        <w:t xml:space="preserve"> bare i den utstrekning det er nødvendig for å opplyse saken</w:t>
      </w:r>
      <w:r w:rsidR="007301B2">
        <w:t>.</w:t>
      </w:r>
      <w:r>
        <w:t xml:space="preserve"> Dersom studenten opplyser at hen har tatt tilsvarende utdanning ved en annen institusjon, kan skikkethetsansvarlig ta kontakt med den aktuelle institusjonen for innhenting av opplysninger. Siden praksis er en del av studentenes utdanning som institusjonen har ansvar for, kan praksisveileder og ansatte ved praksisstedet samt ansatte på institusjonen dele opplysninger med skikkethetsansvarlig. Det gjelder kun når det er nødvendig for at institusjonen skal kunne ivareta sitt ansvar og sine forpliktelser. I dette ligger også institusjonens ansvar for å foreta skikkethetsvurderinger.</w:t>
      </w:r>
    </w:p>
    <w:p w14:paraId="6EAA02EC" w14:textId="08C963DB" w:rsidR="002B1173" w:rsidRDefault="00355C28" w:rsidP="003A73FC">
      <w:pPr>
        <w:pStyle w:val="Overskrift2"/>
      </w:pPr>
      <w:r w:rsidRPr="00355C28">
        <w:t>Til skikkethetsforskriften § 9</w:t>
      </w:r>
    </w:p>
    <w:p w14:paraId="3969EBB9" w14:textId="42DB2F73" w:rsidR="00545F68" w:rsidRDefault="00DA5F9D" w:rsidP="003A73FC">
      <w:r>
        <w:t>Forskriften § 9</w:t>
      </w:r>
      <w:r w:rsidR="003A73FC">
        <w:t xml:space="preserve"> regulerer behandlingen i </w:t>
      </w:r>
      <w:r w:rsidR="00895FE5">
        <w:t>skikkethets</w:t>
      </w:r>
      <w:r w:rsidR="003A73FC">
        <w:t xml:space="preserve">nemnda og </w:t>
      </w:r>
      <w:r w:rsidR="00895FE5">
        <w:t>skikkethets</w:t>
      </w:r>
      <w:r w:rsidR="003A73FC">
        <w:t xml:space="preserve">nemndas utredningsplikt. </w:t>
      </w:r>
      <w:r w:rsidR="00354277">
        <w:t>Skikkethetsnemnda har et selvstendig ansvar for at saken er så godt opplyst som mulig, jf. forvaltningsloven § 17.</w:t>
      </w:r>
    </w:p>
    <w:p w14:paraId="7C22F1D6" w14:textId="19F0B84D" w:rsidR="003A73FC" w:rsidRDefault="00647790" w:rsidP="003A73FC">
      <w:r>
        <w:t>Etter forskriften § 9 første ledd behandle</w:t>
      </w:r>
      <w:r w:rsidR="00257D82">
        <w:t>r</w:t>
      </w:r>
      <w:r>
        <w:t xml:space="preserve"> s</w:t>
      </w:r>
      <w:r w:rsidR="003A73FC">
        <w:t>kikkethetsnemnda</w:t>
      </w:r>
      <w:r>
        <w:t xml:space="preserve"> </w:t>
      </w:r>
      <w:r w:rsidR="003A73FC">
        <w:t xml:space="preserve">saker fremmet av skikkethetsansvarlig om </w:t>
      </w:r>
      <w:r w:rsidR="00045804">
        <w:t xml:space="preserve">en </w:t>
      </w:r>
      <w:r w:rsidR="003A73FC">
        <w:t xml:space="preserve">students skikkethet. Den dokumentasjonen som skal følge saken til skikkethetsnemnda, er tvilsmelding, referat fra vurderingssamtaler med studenten, opplysninger om hvordan institusjonen har fulgt opp og veiledet studenten, og andre skriftlige opplysninger i saken. Nemnda kan be om ytterligere dokumentasjon dersom den mener det er nødvendig. Skikkethetsnemnda lager </w:t>
      </w:r>
      <w:r w:rsidR="003A73FC">
        <w:lastRenderedPageBreak/>
        <w:t>innstilling til</w:t>
      </w:r>
      <w:r w:rsidR="00546B89">
        <w:t xml:space="preserve"> </w:t>
      </w:r>
      <w:r w:rsidR="003A73FC">
        <w:t>styre</w:t>
      </w:r>
      <w:r w:rsidR="00832FC4">
        <w:t>t</w:t>
      </w:r>
      <w:r w:rsidR="00546B89">
        <w:t xml:space="preserve"> </w:t>
      </w:r>
      <w:r w:rsidR="003A73FC">
        <w:t xml:space="preserve">eller </w:t>
      </w:r>
      <w:r w:rsidR="00832FC4">
        <w:t xml:space="preserve">institusjonens </w:t>
      </w:r>
      <w:r w:rsidR="003A73FC">
        <w:t>nemnd for studentsaker, og det er styret eller nemnd</w:t>
      </w:r>
      <w:r w:rsidR="00546B89">
        <w:t>a</w:t>
      </w:r>
      <w:r w:rsidR="003A73FC">
        <w:t xml:space="preserve"> for studentsaker som treffer vedtak. </w:t>
      </w:r>
    </w:p>
    <w:p w14:paraId="63A48DC9" w14:textId="6395DD8E" w:rsidR="003A73FC" w:rsidRDefault="003A73FC" w:rsidP="003A73FC">
      <w:r>
        <w:t>For studentens adgang til å gjøre seg kjent med sakens opplysninger gjelder de begrensninger som følger av forvaltningsloven §§ 18 og 19.</w:t>
      </w:r>
    </w:p>
    <w:p w14:paraId="446A07F7" w14:textId="1E68D67D" w:rsidR="003A73FC" w:rsidRDefault="006B2609" w:rsidP="003A73FC">
      <w:r w:rsidRPr="006B2609">
        <w:t xml:space="preserve">Skikkethetsnemnda </w:t>
      </w:r>
      <w:r>
        <w:t xml:space="preserve">må behandle saker </w:t>
      </w:r>
      <w:r w:rsidRPr="006B2609">
        <w:t xml:space="preserve">mottatt fra </w:t>
      </w:r>
      <w:r>
        <w:t>den skikkethets</w:t>
      </w:r>
      <w:r w:rsidRPr="006B2609">
        <w:t>ansvarlig</w:t>
      </w:r>
      <w:r>
        <w:t>e</w:t>
      </w:r>
      <w:r w:rsidRPr="006B2609">
        <w:t>. Skikkethetsnemnda eller dens leder kan ikke velge å ikke behandle en sak</w:t>
      </w:r>
      <w:r>
        <w:t xml:space="preserve">, </w:t>
      </w:r>
      <w:r w:rsidR="00C510C1">
        <w:t xml:space="preserve">så lenge det er </w:t>
      </w:r>
      <w:r w:rsidR="00C510C1" w:rsidRPr="00C510C1">
        <w:t xml:space="preserve">snakk om fare for </w:t>
      </w:r>
      <w:r w:rsidR="000E31A4" w:rsidRPr="000E31A4">
        <w:t>liv, fysisk og psykisk helse, rettigheter eller sikkerhet</w:t>
      </w:r>
      <w:r w:rsidRPr="006B2609">
        <w:t>.</w:t>
      </w:r>
      <w:r w:rsidR="000E31A4">
        <w:t xml:space="preserve"> Sk</w:t>
      </w:r>
      <w:r w:rsidR="00546B89">
        <w:t>ikkethetsn</w:t>
      </w:r>
      <w:r w:rsidR="003A73FC">
        <w:t xml:space="preserve">emnda </w:t>
      </w:r>
      <w:r w:rsidR="000E31A4">
        <w:t xml:space="preserve">skal etter forskriften § 9 tredje ledd </w:t>
      </w:r>
      <w:r w:rsidR="003A73FC">
        <w:t xml:space="preserve">lage en innstilling </w:t>
      </w:r>
      <w:r w:rsidR="00657965">
        <w:t xml:space="preserve">til styret eller institusjonens nemnd for studentsaker </w:t>
      </w:r>
      <w:r w:rsidR="003A73FC">
        <w:t xml:space="preserve">med </w:t>
      </w:r>
      <w:r w:rsidR="00730E8D">
        <w:t xml:space="preserve">blant annet </w:t>
      </w:r>
      <w:r w:rsidR="003A73FC">
        <w:t xml:space="preserve">en vurdering av </w:t>
      </w:r>
      <w:r w:rsidR="008E22D6">
        <w:t>hvorvidt</w:t>
      </w:r>
      <w:r w:rsidR="003A73FC">
        <w:t xml:space="preserve"> studenten er skikket eller ikke</w:t>
      </w:r>
      <w:r w:rsidR="00730E8D">
        <w:t>.</w:t>
      </w:r>
      <w:r w:rsidR="003A73FC">
        <w:t xml:space="preserve"> Det skal </w:t>
      </w:r>
      <w:proofErr w:type="gramStart"/>
      <w:r w:rsidR="003A73FC">
        <w:t>fremgå</w:t>
      </w:r>
      <w:proofErr w:type="gramEnd"/>
      <w:r w:rsidR="003A73FC">
        <w:t xml:space="preserve"> av innstillingen om det er uenighet innad i </w:t>
      </w:r>
      <w:r w:rsidR="008E22D6">
        <w:t>skikkethets</w:t>
      </w:r>
      <w:r w:rsidR="003A73FC">
        <w:t>nemnda.</w:t>
      </w:r>
      <w:r w:rsidR="005D6373">
        <w:t xml:space="preserve"> </w:t>
      </w:r>
    </w:p>
    <w:p w14:paraId="2D6E783C" w14:textId="7D9C8DE4" w:rsidR="00355C28" w:rsidRDefault="00610310" w:rsidP="00072C7F">
      <w:pPr>
        <w:pStyle w:val="Overskrift2"/>
      </w:pPr>
      <w:r w:rsidRPr="00610310">
        <w:t>Til skikkethetsforskriften § 10</w:t>
      </w:r>
    </w:p>
    <w:p w14:paraId="7ABE1790" w14:textId="112D9D02" w:rsidR="00EE7C98" w:rsidRDefault="00072C7F" w:rsidP="00072C7F">
      <w:r>
        <w:t xml:space="preserve">Styret selv eller institusjonens nemnd for studentsaker </w:t>
      </w:r>
      <w:r w:rsidR="008905E1">
        <w:t xml:space="preserve">skal på bakgrunn av </w:t>
      </w:r>
      <w:r w:rsidR="009B45E0">
        <w:t>innstilling fra skikkethetsnemnda</w:t>
      </w:r>
      <w:r w:rsidR="008905E1">
        <w:t xml:space="preserve"> ta stilling til om en student eler skikket elle</w:t>
      </w:r>
      <w:r w:rsidR="009B45E0">
        <w:t>r</w:t>
      </w:r>
      <w:r w:rsidR="008905E1">
        <w:t xml:space="preserve"> ikke</w:t>
      </w:r>
      <w:r w:rsidR="009B45E0">
        <w:t xml:space="preserve">, og fatte </w:t>
      </w:r>
      <w:r>
        <w:t>vedta</w:t>
      </w:r>
      <w:r w:rsidR="009B45E0">
        <w:t>k</w:t>
      </w:r>
      <w:r w:rsidR="00D05406">
        <w:t xml:space="preserve"> </w:t>
      </w:r>
      <w:r w:rsidR="005E3323">
        <w:t>om dette.</w:t>
      </w:r>
      <w:r>
        <w:t xml:space="preserve"> </w:t>
      </w:r>
      <w:r w:rsidR="009A2CB4">
        <w:t xml:space="preserve">I tilfeller hvor </w:t>
      </w:r>
      <w:r w:rsidR="009A7F1D">
        <w:t xml:space="preserve">styret selv eller nemnda for studentsaker </w:t>
      </w:r>
      <w:r w:rsidR="009A2CB4">
        <w:t xml:space="preserve">finner en </w:t>
      </w:r>
      <w:r w:rsidR="009A7F1D">
        <w:t>student</w:t>
      </w:r>
      <w:r w:rsidR="009A2CB4">
        <w:t xml:space="preserve"> </w:t>
      </w:r>
      <w:r w:rsidR="009A7F1D">
        <w:t xml:space="preserve">uskikket, </w:t>
      </w:r>
      <w:r w:rsidR="00E70E9B">
        <w:t xml:space="preserve">kan </w:t>
      </w:r>
      <w:r w:rsidR="009A2CB4">
        <w:t>d</w:t>
      </w:r>
      <w:r w:rsidR="00E70E9B">
        <w:t xml:space="preserve">et fattes vedtak om at studenten utestenges for en bestemt periode. </w:t>
      </w:r>
      <w:r>
        <w:t xml:space="preserve">Vedtak om at en student </w:t>
      </w:r>
      <w:r w:rsidR="00BA1259">
        <w:t>er</w:t>
      </w:r>
      <w:r>
        <w:t xml:space="preserve"> </w:t>
      </w:r>
      <w:r w:rsidR="00473A6E">
        <w:t>u</w:t>
      </w:r>
      <w:r>
        <w:t>skikket og vedtak om utestenging treffes i to separate vedtak</w:t>
      </w:r>
      <w:r w:rsidR="00EE7C98">
        <w:t xml:space="preserve">. </w:t>
      </w:r>
    </w:p>
    <w:p w14:paraId="4F88AB62" w14:textId="77777777" w:rsidR="00795179" w:rsidRDefault="00795179" w:rsidP="00072C7F">
      <w:r>
        <w:t>Den maksimale</w:t>
      </w:r>
      <w:r w:rsidR="0001090B">
        <w:t xml:space="preserve"> lengden på utestengingsvedtak i</w:t>
      </w:r>
      <w:r>
        <w:t xml:space="preserve"> skikkethetssaker er fem år, jf. </w:t>
      </w:r>
      <w:r w:rsidR="00D04DCB">
        <w:t xml:space="preserve">universitets- og høyskoleloven § 12-3 fjerde ledd. </w:t>
      </w:r>
      <w:r w:rsidR="00EE7C98">
        <w:t xml:space="preserve">I vurderingen </w:t>
      </w:r>
      <w:r>
        <w:t xml:space="preserve">av </w:t>
      </w:r>
      <w:r w:rsidR="00DA4441">
        <w:t xml:space="preserve">lengden </w:t>
      </w:r>
      <w:r>
        <w:t xml:space="preserve">av </w:t>
      </w:r>
      <w:r w:rsidR="003213C1">
        <w:t>utesteng</w:t>
      </w:r>
      <w:r w:rsidR="00DA4441">
        <w:t>ingsperioden</w:t>
      </w:r>
      <w:r w:rsidR="004575A3">
        <w:t xml:space="preserve"> </w:t>
      </w:r>
      <w:r w:rsidR="00960571">
        <w:t xml:space="preserve">må institusjonen foreta </w:t>
      </w:r>
      <w:r w:rsidR="00FF3216">
        <w:t>en konkret vurdering</w:t>
      </w:r>
      <w:r w:rsidR="003C55A1">
        <w:t xml:space="preserve">, der forholdsmessighet </w:t>
      </w:r>
      <w:r w:rsidR="001C4ECF">
        <w:t>er et viktig moment. En student skal ikke utestenges</w:t>
      </w:r>
      <w:r w:rsidR="00CD4A66">
        <w:t xml:space="preserve"> </w:t>
      </w:r>
      <w:r w:rsidR="00EC6415">
        <w:t>lengre</w:t>
      </w:r>
      <w:r w:rsidR="00CD4A66">
        <w:t xml:space="preserve"> </w:t>
      </w:r>
      <w:r w:rsidR="00EC6415">
        <w:t xml:space="preserve">enn </w:t>
      </w:r>
      <w:r w:rsidR="00ED367C">
        <w:t xml:space="preserve">det som er </w:t>
      </w:r>
      <w:r w:rsidR="00EC6415">
        <w:t>nødvendig</w:t>
      </w:r>
      <w:r w:rsidR="00EC32F0">
        <w:t xml:space="preserve"> </w:t>
      </w:r>
      <w:r w:rsidR="00EC6415">
        <w:t xml:space="preserve">av hensyn til </w:t>
      </w:r>
      <w:r w:rsidR="00A117AE">
        <w:t xml:space="preserve">årsaken til at </w:t>
      </w:r>
      <w:r w:rsidR="00B11DDF">
        <w:t xml:space="preserve">studenten </w:t>
      </w:r>
      <w:r>
        <w:t>ble</w:t>
      </w:r>
      <w:r w:rsidR="00B11DDF">
        <w:t xml:space="preserve"> vurdert som ikke-skikket.</w:t>
      </w:r>
      <w:r w:rsidR="00A21D7E">
        <w:t xml:space="preserve"> </w:t>
      </w:r>
      <w:r w:rsidR="00D04DCB">
        <w:t>Utestenging i fem år er forbeholdt de mest alvorlige tilfellene</w:t>
      </w:r>
      <w:r w:rsidR="006F7F10">
        <w:t xml:space="preserve">. </w:t>
      </w:r>
    </w:p>
    <w:p w14:paraId="7678AD6D" w14:textId="618C0C5F" w:rsidR="00BB455A" w:rsidRDefault="00A21D7E" w:rsidP="00072C7F">
      <w:r>
        <w:t>Det kan unntaksvis forekomme at de forhold som gjør en student uskikket for yrket er av en slik karakter at studenten fortsatt kan fullføre studieenheter eller emner. Alternativt kan utesteng</w:t>
      </w:r>
      <w:r w:rsidR="00795179">
        <w:t>ingen</w:t>
      </w:r>
      <w:r>
        <w:t xml:space="preserve"> kun omfatte praksisperioden. Det normale vil imidlertid være at de forhold som fører til vedtak om uskikkethet er såpass alvorlige og vedvarende at studenten ikke kan fullføre utdanningen. </w:t>
      </w:r>
      <w:r w:rsidR="00ED367C">
        <w:t>For omtale</w:t>
      </w:r>
      <w:r w:rsidR="00ED367C" w:rsidRPr="00565CEC">
        <w:t xml:space="preserve"> </w:t>
      </w:r>
      <w:r w:rsidR="00ED367C">
        <w:t>av fast</w:t>
      </w:r>
      <w:r w:rsidR="00ED367C" w:rsidRPr="009455F8">
        <w:t xml:space="preserve">settelse utestengingsperioden, se skikkethetsforskriften § 10 andre ledd, universitets- og høyskoleloven § 12-3 og </w:t>
      </w:r>
      <w:proofErr w:type="spellStart"/>
      <w:r w:rsidR="00ED367C" w:rsidRPr="009455F8">
        <w:t>Prop</w:t>
      </w:r>
      <w:proofErr w:type="spellEnd"/>
      <w:r w:rsidR="00ED367C" w:rsidRPr="009455F8">
        <w:t xml:space="preserve">. 126 L (2022–2023). Se eksempler på utestengingsperioder i de ulike vedtakene fra Felles klagenemnd under «Forvaltningspraksis og rettspraksis».  </w:t>
      </w:r>
    </w:p>
    <w:p w14:paraId="52257E5A" w14:textId="277EAC93" w:rsidR="00072C7F" w:rsidRDefault="001D59C5" w:rsidP="00072C7F">
      <w:r w:rsidRPr="001D59C5">
        <w:lastRenderedPageBreak/>
        <w:t>Hvis styret</w:t>
      </w:r>
      <w:r>
        <w:t xml:space="preserve"> selv</w:t>
      </w:r>
      <w:r w:rsidRPr="001D59C5">
        <w:t xml:space="preserve"> eller </w:t>
      </w:r>
      <w:r>
        <w:t xml:space="preserve">institusjonens </w:t>
      </w:r>
      <w:r w:rsidRPr="001D59C5">
        <w:t>nemnd</w:t>
      </w:r>
      <w:r>
        <w:t xml:space="preserve"> for studentsaker</w:t>
      </w:r>
      <w:r w:rsidRPr="001D59C5">
        <w:t xml:space="preserve"> er usikker på om en student er skikket, men antar at studenten vil kunne bli </w:t>
      </w:r>
      <w:r>
        <w:t>skikket</w:t>
      </w:r>
      <w:r w:rsidRPr="001D59C5">
        <w:t xml:space="preserve"> med ytterligere veiledning, må </w:t>
      </w:r>
      <w:r>
        <w:t xml:space="preserve">de </w:t>
      </w:r>
      <w:r w:rsidRPr="001D59C5">
        <w:t xml:space="preserve">saken tilbake til fornyet vurdering hos </w:t>
      </w:r>
      <w:r>
        <w:t>den skikkethets</w:t>
      </w:r>
      <w:r w:rsidRPr="001D59C5">
        <w:t>ansvarlige.</w:t>
      </w:r>
      <w:r>
        <w:t xml:space="preserve"> </w:t>
      </w:r>
      <w:r w:rsidR="00BF4252">
        <w:t>Dersom</w:t>
      </w:r>
      <w:r w:rsidR="00BA4620">
        <w:t xml:space="preserve"> </w:t>
      </w:r>
      <w:r>
        <w:t xml:space="preserve">de </w:t>
      </w:r>
      <w:r w:rsidR="00020C49">
        <w:t>finner</w:t>
      </w:r>
      <w:r>
        <w:t xml:space="preserve"> at</w:t>
      </w:r>
      <w:r w:rsidR="00020C49">
        <w:t xml:space="preserve"> en student</w:t>
      </w:r>
      <w:r>
        <w:t xml:space="preserve"> er</w:t>
      </w:r>
      <w:r w:rsidR="00020C49">
        <w:t xml:space="preserve"> uskikket</w:t>
      </w:r>
      <w:r>
        <w:t xml:space="preserve">, </w:t>
      </w:r>
      <w:r w:rsidR="00020C49">
        <w:t>kan de</w:t>
      </w:r>
      <w:r>
        <w:t>t</w:t>
      </w:r>
      <w:r w:rsidR="007E6578">
        <w:t xml:space="preserve"> </w:t>
      </w:r>
      <w:r w:rsidR="00020C49">
        <w:t>i</w:t>
      </w:r>
      <w:r w:rsidR="00F556F0">
        <w:t xml:space="preserve"> utestengingsvedtaket </w:t>
      </w:r>
      <w:r w:rsidR="00072C7F">
        <w:t>stille</w:t>
      </w:r>
      <w:r>
        <w:t>s</w:t>
      </w:r>
      <w:r w:rsidR="00072C7F">
        <w:t xml:space="preserve"> vilkår som</w:t>
      </w:r>
      <w:r>
        <w:t xml:space="preserve"> må</w:t>
      </w:r>
      <w:r w:rsidR="00072C7F">
        <w:t xml:space="preserve"> </w:t>
      </w:r>
      <w:r w:rsidR="00E53893">
        <w:t>oppfylles</w:t>
      </w:r>
      <w:r w:rsidR="00072C7F">
        <w:t xml:space="preserve"> f</w:t>
      </w:r>
      <w:r w:rsidR="00B26198">
        <w:t>ø</w:t>
      </w:r>
      <w:r w:rsidR="00072C7F">
        <w:t>r studenten kan søke om å gjenoppta studiet</w:t>
      </w:r>
      <w:r w:rsidR="00072C7F" w:rsidRPr="00FC2C65">
        <w:t xml:space="preserve"> før utestengingsperioden</w:t>
      </w:r>
      <w:r w:rsidR="00A74C6F">
        <w:t>s</w:t>
      </w:r>
      <w:r w:rsidR="00072C7F" w:rsidRPr="00FC2C65">
        <w:t xml:space="preserve"> utløp</w:t>
      </w:r>
      <w:r w:rsidR="00C53491">
        <w:t>, jf. forskriften § 10 andre ledd</w:t>
      </w:r>
      <w:r w:rsidR="00A74C6F">
        <w:t>.</w:t>
      </w:r>
      <w:r w:rsidR="00364D4B">
        <w:t xml:space="preserve"> </w:t>
      </w:r>
      <w:r w:rsidR="00695E71" w:rsidRPr="00FC2C65">
        <w:t>Institusjonene</w:t>
      </w:r>
      <w:r w:rsidR="002A062B" w:rsidRPr="00FC2C65">
        <w:t xml:space="preserve"> kan unnlate bruk av vilkår i tilfeller hvor det vanskelig lar seg fastsette</w:t>
      </w:r>
      <w:r w:rsidR="009D198E" w:rsidRPr="00FC2C65">
        <w:t xml:space="preserve"> eller gjennomføre</w:t>
      </w:r>
      <w:r w:rsidR="002A062B" w:rsidRPr="00FC2C65">
        <w:t>. Det kan ikke kreves at institusjonene skal inngå samarbeid med behandlere for å fastsette vilkår om f</w:t>
      </w:r>
      <w:r w:rsidR="009D198E" w:rsidRPr="00FC2C65">
        <w:t xml:space="preserve">or </w:t>
      </w:r>
      <w:r w:rsidR="002A062B" w:rsidRPr="00FC2C65">
        <w:t>eks</w:t>
      </w:r>
      <w:r w:rsidR="009D198E" w:rsidRPr="00FC2C65">
        <w:t xml:space="preserve">empel </w:t>
      </w:r>
      <w:r w:rsidR="002A062B" w:rsidRPr="00FC2C65">
        <w:t xml:space="preserve">behandling. </w:t>
      </w:r>
      <w:r w:rsidR="00072C7F" w:rsidRPr="00FC2C65">
        <w:t>E</w:t>
      </w:r>
      <w:r w:rsidR="00072C7F">
        <w:t xml:space="preserve">n student som har blitt vurdert som uskikket, men hvor det likevel ikke ble fattet vedtak om utestenging, har mulighet til å søke opptak på nytt. </w:t>
      </w:r>
      <w:r w:rsidR="00BB455A">
        <w:t xml:space="preserve">Dersom </w:t>
      </w:r>
      <w:r w:rsidR="00072C7F">
        <w:t>studenten</w:t>
      </w:r>
      <w:r w:rsidR="00BB455A">
        <w:t xml:space="preserve"> får opptak</w:t>
      </w:r>
      <w:r w:rsidR="00072C7F">
        <w:t xml:space="preserve"> på nytt, vil vedkommende kunne bli omfattet av ny skikkethetsvurdering. </w:t>
      </w:r>
    </w:p>
    <w:p w14:paraId="0C2322FD" w14:textId="59B1FBF9" w:rsidR="00072C7F" w:rsidRDefault="00072C7F" w:rsidP="00072C7F">
      <w:r>
        <w:t>Studenten må søke nytt opptak for å gjenoppta utdanningen etter utestengingsperioden. Studenten har de samme rettigheter og plikter som andre studenter, og har krav på å få godkjent tidligere avlagte eksamener etter reglene i universitet</w:t>
      </w:r>
      <w:r w:rsidR="00C760E1">
        <w:t>s</w:t>
      </w:r>
      <w:r>
        <w:t xml:space="preserve">- og høyskoleloven § 9-1. Ved tvil om studentens skikkethet ved gjenopptakelse av studiet, skal det foretas en ny særskilt skikkethetsvurdering, uavhengig av den tidligere skikkethetsvurderingen.   </w:t>
      </w:r>
    </w:p>
    <w:p w14:paraId="3B01F55D" w14:textId="30176C13" w:rsidR="00072C7F" w:rsidRDefault="00072C7F" w:rsidP="00072C7F">
      <w:r>
        <w:t xml:space="preserve">Institusjonen må foreta en konkret vurdering av hvilke deler av utdanningen studenten må ta på nytt for at institusjonen skal få tilstrekkelig grunnlag for en skikkethetsvurdering. Det gjelder godkjenning av blant annet tidligere avlagte eksamener og prøver. </w:t>
      </w:r>
    </w:p>
    <w:p w14:paraId="552EC621" w14:textId="77777777" w:rsidR="00072C7F" w:rsidRDefault="00072C7F" w:rsidP="00072C7F">
      <w:r>
        <w:t>I vedtak om utestenging må det opplyses at vedkommende ikke kan søke eller ta imot plass ved tilsvarende utdanninger i utestengingsperioden, og presisere hvilke utdanninger det gjelder.</w:t>
      </w:r>
    </w:p>
    <w:p w14:paraId="223CD4C4" w14:textId="77777777" w:rsidR="005E3323" w:rsidRDefault="00072C7F" w:rsidP="00072C7F">
      <w:r>
        <w:t>Studenten er selv ansvarlig for å legge frem relevant dokumentasjon i en sak som gjelder om studenten er skikket for et yrke. Saken skal avgjøres på grunnlag av den dokumentasjonen som er tilgjengelig. Manglende dokumentasjon fra studentens side kan få betydning for utfallet i skikkethetsvurderingen.</w:t>
      </w:r>
      <w:r w:rsidR="005E3323" w:rsidRPr="005E3323">
        <w:t xml:space="preserve"> </w:t>
      </w:r>
    </w:p>
    <w:p w14:paraId="3E1C3AAA" w14:textId="63432705" w:rsidR="00072C7F" w:rsidRDefault="005E3323" w:rsidP="00072C7F">
      <w:r>
        <w:t>Både styret selv og institusjonens nemnd for studentsaker har også et selvstendig ansvar for at saken er tilstrekkelig opplyst, jf. forvaltningsloven § 17.</w:t>
      </w:r>
    </w:p>
    <w:p w14:paraId="3BF2336D" w14:textId="3D5F97DF" w:rsidR="00125AEE" w:rsidRDefault="002C6F00" w:rsidP="00572B30">
      <w:pPr>
        <w:pStyle w:val="Overskrift2"/>
      </w:pPr>
      <w:r w:rsidRPr="002C6F00">
        <w:lastRenderedPageBreak/>
        <w:t>Til skikkethetsforskriften § 11</w:t>
      </w:r>
    </w:p>
    <w:p w14:paraId="54B70065" w14:textId="4A02F901" w:rsidR="00572B30" w:rsidRPr="00572B30" w:rsidRDefault="00572B30" w:rsidP="00572B30">
      <w:r w:rsidRPr="00572B30">
        <w:t xml:space="preserve">Saker som er kommet inn etter at denne forskriften trådte i kraft 1. august 2024 skal behandles etter denne forskriften. I vurderingen kan det tas hensyn til forhold før ikrafttredelsesdato, hvis forholdene sier noe om </w:t>
      </w:r>
      <w:proofErr w:type="spellStart"/>
      <w:r w:rsidRPr="00572B30">
        <w:t>vedkommendes</w:t>
      </w:r>
      <w:proofErr w:type="spellEnd"/>
      <w:r w:rsidRPr="00572B30">
        <w:t xml:space="preserve"> nåværende skikkethet etter vurderingskriteriene i den opphevede forskriften.   </w:t>
      </w:r>
    </w:p>
    <w:p w14:paraId="400F26AF" w14:textId="77777777" w:rsidR="00670562" w:rsidRPr="00670562" w:rsidRDefault="00670562" w:rsidP="00670562">
      <w:pPr>
        <w:pStyle w:val="Overskrift1"/>
        <w:spacing w:after="168"/>
        <w:rPr>
          <w:color w:val="000000" w:themeColor="text1"/>
          <w:szCs w:val="18"/>
        </w:rPr>
      </w:pPr>
      <w:r>
        <w:t>Telling og rapportering av skikkethetssaker</w:t>
      </w:r>
    </w:p>
    <w:p w14:paraId="15BFDC23" w14:textId="77777777" w:rsidR="001A6C51" w:rsidRDefault="00670562">
      <w:r>
        <w:t xml:space="preserve">Universiteter og høyskoler skal rapportere tall på skikkethetssaker de har behandlet til </w:t>
      </w:r>
      <w:proofErr w:type="spellStart"/>
      <w:r>
        <w:t>DBH</w:t>
      </w:r>
      <w:proofErr w:type="spellEnd"/>
      <w:r>
        <w:t>. Utover dette varierer det hvordan institusjonene tell</w:t>
      </w:r>
      <w:r w:rsidR="00D46D9F">
        <w:t>er</w:t>
      </w:r>
      <w:r>
        <w:t xml:space="preserve"> skikkethetssaker, noe som gjør det utfordrende å sammenlikne tall og å forske på temaet. </w:t>
      </w:r>
      <w:r w:rsidR="008E4CED">
        <w:t>For å legge til rette for likere praksis og god statistikk om omfanget av saker, må i</w:t>
      </w:r>
      <w:r>
        <w:t xml:space="preserve">nstitusjonene </w:t>
      </w:r>
      <w:r w:rsidR="008E4CED">
        <w:t>bli enige om en felles standard for rapportering.</w:t>
      </w:r>
      <w:r>
        <w:rPr>
          <w:rStyle w:val="Fotnotereferanse"/>
        </w:rPr>
        <w:footnoteReference w:id="4"/>
      </w:r>
    </w:p>
    <w:p w14:paraId="4813C755" w14:textId="477CFA43" w:rsidR="001A6C51" w:rsidRDefault="001A6C51" w:rsidP="001A6C51">
      <w:pPr>
        <w:pStyle w:val="Overskrift1"/>
        <w:spacing w:after="168"/>
      </w:pPr>
      <w:r>
        <w:t>Forvaltningspraksis</w:t>
      </w:r>
      <w:r w:rsidR="000B3D64">
        <w:t xml:space="preserve"> og rettspraksis</w:t>
      </w:r>
    </w:p>
    <w:p w14:paraId="06B748FE" w14:textId="4680BC71" w:rsidR="00C760E1" w:rsidRPr="00471267" w:rsidRDefault="00C760E1" w:rsidP="00C760E1">
      <w:pPr>
        <w:rPr>
          <w:color w:val="FF0000"/>
        </w:rPr>
      </w:pPr>
      <w:r w:rsidRPr="00471267">
        <w:rPr>
          <w:color w:val="FF0000"/>
        </w:rPr>
        <w:t>Vedtak fra Felles klagenemd og rettsavgjørelser fra domstolene</w:t>
      </w:r>
      <w:r w:rsidR="000C3BC5" w:rsidRPr="00471267">
        <w:rPr>
          <w:color w:val="FF0000"/>
        </w:rPr>
        <w:t xml:space="preserve"> </w:t>
      </w:r>
      <w:proofErr w:type="gramStart"/>
      <w:r w:rsidR="000C3BC5" w:rsidRPr="00471267">
        <w:rPr>
          <w:color w:val="FF0000"/>
        </w:rPr>
        <w:t>her…</w:t>
      </w:r>
      <w:proofErr w:type="gramEnd"/>
      <w:r w:rsidR="000C3BC5" w:rsidRPr="00471267">
        <w:rPr>
          <w:color w:val="FF0000"/>
        </w:rPr>
        <w:t xml:space="preserve"> </w:t>
      </w:r>
    </w:p>
    <w:p w14:paraId="1D945935" w14:textId="24069780" w:rsidR="002A7899" w:rsidRDefault="00721B2A" w:rsidP="002A7899">
      <w:pPr>
        <w:pStyle w:val="Overskrift1"/>
        <w:spacing w:after="168"/>
      </w:pPr>
      <w:r>
        <w:t>Spørsmål og svar</w:t>
      </w:r>
    </w:p>
    <w:p w14:paraId="5199291C" w14:textId="1A5303D0" w:rsidR="002A7899" w:rsidRPr="000C3BC5" w:rsidRDefault="002A7899" w:rsidP="001117C2">
      <w:pPr>
        <w:rPr>
          <w:b/>
          <w:bCs/>
        </w:rPr>
      </w:pPr>
      <w:r w:rsidRPr="000C3BC5">
        <w:rPr>
          <w:b/>
          <w:bCs/>
        </w:rPr>
        <w:t>Spørsmål:</w:t>
      </w:r>
      <w:r w:rsidR="0021788A" w:rsidRPr="000C3BC5">
        <w:rPr>
          <w:b/>
          <w:bCs/>
        </w:rPr>
        <w:t xml:space="preserve"> </w:t>
      </w:r>
      <w:r w:rsidRPr="000C3BC5">
        <w:t xml:space="preserve">Har utdanningsinstitusjoner anledning til rustesting av studenter før de skal ut i praksis? </w:t>
      </w:r>
    </w:p>
    <w:p w14:paraId="4558944C" w14:textId="5436681D" w:rsidR="002A7899" w:rsidRDefault="002A7899" w:rsidP="002A7899">
      <w:r w:rsidRPr="000C3BC5">
        <w:rPr>
          <w:b/>
          <w:bCs/>
        </w:rPr>
        <w:t xml:space="preserve">Svar: </w:t>
      </w:r>
      <w:r w:rsidR="001117C2" w:rsidRPr="001117C2">
        <w:t xml:space="preserve">Det er ingen hjemmel som gir institusjonene adgang til å kreve at studenter som skal ut i praksis kan </w:t>
      </w:r>
      <w:proofErr w:type="spellStart"/>
      <w:r w:rsidR="001117C2" w:rsidRPr="001117C2">
        <w:t>rustestes</w:t>
      </w:r>
      <w:proofErr w:type="spellEnd"/>
      <w:r w:rsidR="001117C2" w:rsidRPr="001117C2">
        <w:t>, hverken i universitets- og høyskoleloven eller i forskrift.</w:t>
      </w:r>
    </w:p>
    <w:p w14:paraId="0D6AFE6E" w14:textId="77777777" w:rsidR="003B0316" w:rsidRDefault="003B0316" w:rsidP="002A7899"/>
    <w:p w14:paraId="6D150224" w14:textId="7C77725B" w:rsidR="003B0316" w:rsidRPr="000C3BC5" w:rsidRDefault="003B0316" w:rsidP="002A7899">
      <w:pPr>
        <w:rPr>
          <w:b/>
          <w:bCs/>
        </w:rPr>
      </w:pPr>
      <w:r w:rsidRPr="000C3BC5">
        <w:rPr>
          <w:b/>
          <w:bCs/>
        </w:rPr>
        <w:t xml:space="preserve">Spørsmål: </w:t>
      </w:r>
      <w:r w:rsidRPr="000C3BC5">
        <w:t xml:space="preserve">Hvordan avgjør man om en sak skal behandles som en skikkethetssak eller politiattestsak? </w:t>
      </w:r>
    </w:p>
    <w:p w14:paraId="5ECF1386" w14:textId="5208B9C2" w:rsidR="00471267" w:rsidRDefault="003B0316" w:rsidP="002A7899">
      <w:r w:rsidRPr="000C3BC5">
        <w:rPr>
          <w:b/>
          <w:bCs/>
        </w:rPr>
        <w:t>Svar:</w:t>
      </w:r>
      <w:r w:rsidR="00E55F31" w:rsidRPr="00E55F31">
        <w:t xml:space="preserve"> I de fleste tilfeller vil forhold som har ført til anmerkninger på politiattesten, være alvorligere enn forhold som kan medføre at det reises en skikkethetssak. Derfor vil det være naturlig å behandle politiattestsaken først. Dersom </w:t>
      </w:r>
      <w:r w:rsidR="00E55F31" w:rsidRPr="00E55F31">
        <w:lastRenderedPageBreak/>
        <w:t xml:space="preserve">behandlingen av politiattestsaken ikke medfører </w:t>
      </w:r>
      <w:r w:rsidR="008C1C93" w:rsidRPr="00E55F31">
        <w:t>utestenging,</w:t>
      </w:r>
      <w:r w:rsidR="00380C6E">
        <w:t xml:space="preserve"> </w:t>
      </w:r>
      <w:r w:rsidR="008E0EB0">
        <w:t>vil det kunne være aktuelt å reise</w:t>
      </w:r>
      <w:r w:rsidR="00E55F31" w:rsidRPr="00E55F31">
        <w:t xml:space="preserve"> skikkethetssak</w:t>
      </w:r>
      <w:r w:rsidR="000C3BC5">
        <w:t>.</w:t>
      </w:r>
      <w:r w:rsidR="000C3BC5" w:rsidRPr="000C3BC5">
        <w:t xml:space="preserve"> </w:t>
      </w:r>
      <w:r w:rsidR="000C3BC5" w:rsidRPr="00425062">
        <w:t>Dersom politiattestsaken derimot medfører utestenging, kan det likevel fortsatt være hensiktsmessig å</w:t>
      </w:r>
      <w:r w:rsidR="000C3BC5">
        <w:t xml:space="preserve"> foreta</w:t>
      </w:r>
      <w:r w:rsidR="000C3BC5" w:rsidRPr="00425062">
        <w:t xml:space="preserve"> skikkethet</w:t>
      </w:r>
      <w:r w:rsidR="000C3BC5">
        <w:t>svurdering</w:t>
      </w:r>
      <w:r w:rsidR="000C3BC5" w:rsidRPr="00425062">
        <w:t xml:space="preserve">. En utestenging </w:t>
      </w:r>
      <w:r w:rsidR="000C3BC5">
        <w:t>som følge av</w:t>
      </w:r>
      <w:r w:rsidR="000C3BC5" w:rsidRPr="00425062">
        <w:t xml:space="preserve"> uskikkethet kan medføre utestenging fra hele den aktuelle utdanningen, mens utestenging på grunn av straffbare forhold medfører utestenging fra praksisstudier eller klinisk undervisning</w:t>
      </w:r>
      <w:r w:rsidR="00E55F31" w:rsidRPr="00E55F31">
        <w:t>.</w:t>
      </w:r>
      <w:r w:rsidR="008E0EB0">
        <w:t xml:space="preserve"> </w:t>
      </w:r>
    </w:p>
    <w:p w14:paraId="09739468" w14:textId="2C0BC596" w:rsidR="000C3BC5" w:rsidRPr="00471267" w:rsidRDefault="00597316" w:rsidP="002A7899">
      <w:pPr>
        <w:rPr>
          <w:color w:val="FF0000"/>
        </w:rPr>
      </w:pPr>
      <w:r>
        <w:rPr>
          <w:color w:val="FF0000"/>
        </w:rPr>
        <w:t>Her skal vi l</w:t>
      </w:r>
      <w:r w:rsidR="000C3BC5" w:rsidRPr="00471267">
        <w:rPr>
          <w:color w:val="FF0000"/>
        </w:rPr>
        <w:t xml:space="preserve">egge inn flere </w:t>
      </w:r>
      <w:proofErr w:type="gramStart"/>
      <w:r w:rsidR="000C3BC5" w:rsidRPr="00471267">
        <w:rPr>
          <w:color w:val="FF0000"/>
        </w:rPr>
        <w:t>spørsmål</w:t>
      </w:r>
      <w:r w:rsidR="00B224D1">
        <w:rPr>
          <w:color w:val="FF0000"/>
        </w:rPr>
        <w:t>…</w:t>
      </w:r>
      <w:proofErr w:type="gramEnd"/>
    </w:p>
    <w:p w14:paraId="09658B59" w14:textId="39BCDDC3" w:rsidR="00B86C86" w:rsidRPr="00C760E1" w:rsidRDefault="00B86C86" w:rsidP="00C760E1">
      <w:pPr>
        <w:pStyle w:val="Overskrift1"/>
        <w:spacing w:after="168"/>
        <w:rPr>
          <w:color w:val="000000" w:themeColor="text1"/>
          <w:szCs w:val="18"/>
        </w:rPr>
      </w:pPr>
      <w:r w:rsidRPr="00D73F20">
        <w:br w:type="page"/>
      </w:r>
    </w:p>
    <w:p w14:paraId="179F9A1E" w14:textId="77777777" w:rsidR="00B86C86" w:rsidRPr="00D73F20" w:rsidRDefault="00B86C86" w:rsidP="00B86C86">
      <w:pPr>
        <w:pStyle w:val="Overskriftforinnholdsfortegnelse"/>
      </w:pPr>
      <w:bookmarkStart w:id="2" w:name="_Toc263083478"/>
      <w:bookmarkStart w:id="3" w:name="_Toc263083590"/>
      <w:bookmarkStart w:id="4" w:name="_Toc116909885"/>
      <w:proofErr w:type="spellStart"/>
      <w:r w:rsidRPr="00D73F20">
        <w:lastRenderedPageBreak/>
        <w:t>Figurliste</w:t>
      </w:r>
      <w:bookmarkEnd w:id="2"/>
      <w:bookmarkEnd w:id="3"/>
      <w:bookmarkEnd w:id="4"/>
      <w:proofErr w:type="spellEnd"/>
    </w:p>
    <w:p w14:paraId="60E840FF" w14:textId="77777777" w:rsidR="00B86C86" w:rsidRPr="00D73F20" w:rsidRDefault="00B86C86" w:rsidP="00B86C86">
      <w:pPr>
        <w:pStyle w:val="uNummerertH2"/>
        <w:rPr>
          <w:rFonts w:ascii="Poppins" w:hAnsi="Poppins" w:cs="Poppins"/>
          <w:sz w:val="16"/>
          <w:szCs w:val="16"/>
        </w:rPr>
      </w:pPr>
      <w:r w:rsidRPr="00D73F20">
        <w:rPr>
          <w:rFonts w:ascii="Poppins" w:hAnsi="Poppins" w:cs="Poppins"/>
          <w:bCs w:val="0"/>
          <w:kern w:val="0"/>
          <w:sz w:val="18"/>
          <w:szCs w:val="16"/>
        </w:rPr>
        <w:fldChar w:fldCharType="begin"/>
      </w:r>
      <w:r w:rsidRPr="00D73F20">
        <w:rPr>
          <w:rFonts w:ascii="Poppins" w:hAnsi="Poppins" w:cs="Poppins"/>
          <w:szCs w:val="16"/>
        </w:rPr>
        <w:instrText xml:space="preserve"> TOC \h \z \c "Figur" </w:instrText>
      </w:r>
      <w:r w:rsidRPr="00D73F20">
        <w:rPr>
          <w:rFonts w:ascii="Poppins" w:hAnsi="Poppins" w:cs="Poppins"/>
          <w:bCs w:val="0"/>
          <w:kern w:val="0"/>
          <w:sz w:val="18"/>
          <w:szCs w:val="16"/>
        </w:rPr>
        <w:fldChar w:fldCharType="separate"/>
      </w:r>
      <w:r w:rsidR="00D23FAC">
        <w:rPr>
          <w:rFonts w:ascii="Poppins" w:hAnsi="Poppins" w:cs="Poppins"/>
          <w:b/>
          <w:noProof/>
          <w:kern w:val="0"/>
          <w:sz w:val="18"/>
          <w:szCs w:val="16"/>
        </w:rPr>
        <w:t>Fant ingen figurlisteoppføringer.</w:t>
      </w:r>
      <w:r w:rsidRPr="00D73F20">
        <w:rPr>
          <w:rFonts w:ascii="Poppins" w:hAnsi="Poppins" w:cs="Poppins"/>
          <w:sz w:val="16"/>
          <w:szCs w:val="16"/>
        </w:rPr>
        <w:fldChar w:fldCharType="end"/>
      </w:r>
    </w:p>
    <w:p w14:paraId="49125725" w14:textId="77777777" w:rsidR="00B86C86" w:rsidRPr="00D73F20" w:rsidRDefault="00B86C86" w:rsidP="00B86C86">
      <w:pPr>
        <w:pStyle w:val="Overskriftforinnholdsfortegnelse"/>
      </w:pPr>
      <w:bookmarkStart w:id="5" w:name="_Toc263083479"/>
      <w:bookmarkStart w:id="6" w:name="_Toc263083591"/>
      <w:bookmarkStart w:id="7" w:name="_Toc116909887"/>
      <w:proofErr w:type="spellStart"/>
      <w:r w:rsidRPr="00D73F20">
        <w:t>Tabelliste</w:t>
      </w:r>
      <w:bookmarkEnd w:id="5"/>
      <w:bookmarkEnd w:id="6"/>
      <w:bookmarkEnd w:id="7"/>
      <w:proofErr w:type="spellEnd"/>
    </w:p>
    <w:p w14:paraId="5FA5FE7B" w14:textId="77777777" w:rsidR="00B13E44" w:rsidRDefault="00B86C86" w:rsidP="00B86C86">
      <w:pPr>
        <w:pStyle w:val="Brdtekst"/>
        <w:rPr>
          <w:rFonts w:ascii="Poppins" w:hAnsi="Poppins" w:cs="Poppins"/>
          <w:sz w:val="16"/>
          <w:szCs w:val="16"/>
        </w:rPr>
      </w:pPr>
      <w:r w:rsidRPr="00D73F20">
        <w:rPr>
          <w:rFonts w:ascii="Poppins" w:hAnsi="Poppins" w:cs="Poppins"/>
          <w:sz w:val="18"/>
          <w:szCs w:val="16"/>
        </w:rPr>
        <w:fldChar w:fldCharType="begin"/>
      </w:r>
      <w:r w:rsidRPr="00D73F20">
        <w:rPr>
          <w:rFonts w:ascii="Poppins" w:hAnsi="Poppins" w:cs="Poppins"/>
          <w:szCs w:val="16"/>
        </w:rPr>
        <w:instrText xml:space="preserve"> TOC \h \z \c "Tabell" </w:instrText>
      </w:r>
      <w:r w:rsidRPr="00D73F20">
        <w:rPr>
          <w:rFonts w:ascii="Poppins" w:hAnsi="Poppins" w:cs="Poppins"/>
          <w:sz w:val="18"/>
          <w:szCs w:val="16"/>
        </w:rPr>
        <w:fldChar w:fldCharType="separate"/>
      </w:r>
      <w:r w:rsidR="00D23FAC">
        <w:rPr>
          <w:rFonts w:ascii="Poppins" w:hAnsi="Poppins" w:cs="Poppins"/>
          <w:b/>
          <w:bCs/>
          <w:noProof/>
          <w:sz w:val="18"/>
          <w:szCs w:val="16"/>
        </w:rPr>
        <w:t>Fant ingen figurlisteoppføringer.</w:t>
      </w:r>
      <w:r w:rsidRPr="00D73F20">
        <w:rPr>
          <w:rFonts w:ascii="Poppins" w:hAnsi="Poppins" w:cs="Poppins"/>
          <w:sz w:val="16"/>
          <w:szCs w:val="16"/>
        </w:rPr>
        <w:fldChar w:fldCharType="end"/>
      </w:r>
    </w:p>
    <w:p w14:paraId="7BF2DC93" w14:textId="77777777" w:rsidR="00597316" w:rsidRDefault="00597316" w:rsidP="00B86C86">
      <w:pPr>
        <w:pStyle w:val="Brdtekst"/>
        <w:rPr>
          <w:rFonts w:ascii="Poppins" w:hAnsi="Poppins" w:cs="Poppins"/>
          <w:sz w:val="16"/>
          <w:szCs w:val="16"/>
        </w:rPr>
      </w:pPr>
    </w:p>
    <w:p w14:paraId="54677803" w14:textId="77777777" w:rsidR="00597316" w:rsidRDefault="00597316" w:rsidP="00597316">
      <w:pPr>
        <w:pStyle w:val="Overskrift2"/>
        <w:numPr>
          <w:ilvl w:val="0"/>
          <w:numId w:val="0"/>
        </w:numPr>
      </w:pPr>
      <w:r>
        <w:t>Referanser</w:t>
      </w:r>
    </w:p>
    <w:p w14:paraId="2073E6F4" w14:textId="77777777" w:rsidR="00597316" w:rsidRDefault="00597316" w:rsidP="00597316">
      <w:pPr>
        <w:pStyle w:val="Listeavsnitt"/>
        <w:numPr>
          <w:ilvl w:val="0"/>
          <w:numId w:val="4"/>
        </w:numPr>
      </w:pPr>
      <w:r>
        <w:t xml:space="preserve">Høringsnotat - Forslag til endringer i forskrift om skikkethetsvurdering i høyere utdanning, 28. oktober 2022 </w:t>
      </w:r>
      <w:hyperlink r:id="rId21" w:history="1">
        <w:r w:rsidRPr="0063372B">
          <w:rPr>
            <w:rStyle w:val="Hyperkobling"/>
          </w:rPr>
          <w:t>https://www.regjeringen.no/contentassets/119c281f0f3d4bc0977037fd1199800d/horingsnotat.pdf</w:t>
        </w:r>
      </w:hyperlink>
      <w:r>
        <w:t xml:space="preserve"> </w:t>
      </w:r>
    </w:p>
    <w:p w14:paraId="196FECA5" w14:textId="77777777" w:rsidR="00597316" w:rsidRPr="00925652" w:rsidRDefault="00597316" w:rsidP="00597316">
      <w:pPr>
        <w:pStyle w:val="Listeavsnitt"/>
        <w:numPr>
          <w:ilvl w:val="0"/>
          <w:numId w:val="4"/>
        </w:numPr>
      </w:pPr>
      <w:proofErr w:type="spellStart"/>
      <w:r>
        <w:t>Prop</w:t>
      </w:r>
      <w:proofErr w:type="spellEnd"/>
      <w:r>
        <w:t xml:space="preserve">. 126 L (2022-2023) – Lov om universiteter og høyskoler (universitets- </w:t>
      </w:r>
      <w:r w:rsidRPr="00925652">
        <w:t xml:space="preserve">og høyskoleloven) </w:t>
      </w:r>
    </w:p>
    <w:p w14:paraId="75D62CC9" w14:textId="77777777" w:rsidR="00597316" w:rsidRPr="00925652" w:rsidRDefault="00597316" w:rsidP="00597316">
      <w:pPr>
        <w:pStyle w:val="Listeavsnitt"/>
        <w:numPr>
          <w:ilvl w:val="0"/>
          <w:numId w:val="4"/>
        </w:numPr>
      </w:pPr>
      <w:r w:rsidRPr="00925652">
        <w:t xml:space="preserve">I NOU 2020: 3 Ny lov om universiteter og høyskoler </w:t>
      </w:r>
    </w:p>
    <w:p w14:paraId="348119B9" w14:textId="77777777" w:rsidR="00597316" w:rsidRPr="00925652" w:rsidRDefault="00597316" w:rsidP="00597316">
      <w:pPr>
        <w:pStyle w:val="Listeavsnitt"/>
        <w:numPr>
          <w:ilvl w:val="0"/>
          <w:numId w:val="4"/>
        </w:numPr>
      </w:pPr>
      <w:r w:rsidRPr="00925652">
        <w:t>Rundskriv F-07-16</w:t>
      </w:r>
    </w:p>
    <w:p w14:paraId="57C4AE0A" w14:textId="77777777" w:rsidR="00597316" w:rsidRDefault="00597316" w:rsidP="00597316">
      <w:pPr>
        <w:pStyle w:val="Listeavsnitt"/>
        <w:numPr>
          <w:ilvl w:val="0"/>
          <w:numId w:val="4"/>
        </w:numPr>
      </w:pPr>
      <w:r w:rsidRPr="00925652">
        <w:t>Inspirasjon fra helsedirektorate</w:t>
      </w:r>
      <w:r>
        <w:t>t (</w:t>
      </w:r>
      <w:hyperlink r:id="rId22" w:history="1">
        <w:r w:rsidRPr="0063372B">
          <w:rPr>
            <w:rStyle w:val="Hyperkobling"/>
          </w:rPr>
          <w:t>https://www.helsedirektoratet.no/veiledere/ledelse-og-kvalitetsforbedring-i-helse-og-omsorgstjenesten</w:t>
        </w:r>
      </w:hyperlink>
      <w:r>
        <w:t xml:space="preserve"> )</w:t>
      </w:r>
    </w:p>
    <w:p w14:paraId="2F559BB0" w14:textId="77777777" w:rsidR="00597316" w:rsidRDefault="00597316" w:rsidP="00597316">
      <w:pPr>
        <w:pStyle w:val="Listeavsnitt"/>
        <w:numPr>
          <w:ilvl w:val="0"/>
          <w:numId w:val="4"/>
        </w:numPr>
      </w:pPr>
      <w:r>
        <w:t xml:space="preserve">Inspirasjon </w:t>
      </w:r>
      <w:r w:rsidRPr="00925652">
        <w:t>fra direktoratet for samfunnssikkerhet og beredskap</w:t>
      </w:r>
      <w:r>
        <w:t xml:space="preserve"> (</w:t>
      </w:r>
      <w:hyperlink r:id="rId23" w:history="1">
        <w:r>
          <w:rPr>
            <w:rStyle w:val="Hyperkobling"/>
          </w:rPr>
          <w:t>Veileder til forskrift om sivilforsvar (dsb.no)</w:t>
        </w:r>
      </w:hyperlink>
      <w:r>
        <w:t>)</w:t>
      </w:r>
    </w:p>
    <w:p w14:paraId="0242718E" w14:textId="77777777" w:rsidR="00597316" w:rsidRPr="00925652" w:rsidRDefault="00597316" w:rsidP="00597316">
      <w:pPr>
        <w:pStyle w:val="Listeavsnitt"/>
        <w:numPr>
          <w:ilvl w:val="0"/>
          <w:numId w:val="4"/>
        </w:numPr>
      </w:pPr>
      <w:r w:rsidRPr="00925652">
        <w:t xml:space="preserve">Nevne i veilederen at vi etter forespørsel har fått innspill til innhold i veilederen fra «Nasjonalt arbeidsutvalg for skikkethetsvurdering» (på vegne av «Nasjonalt forum for skikkethetsvurdering i høyere utdanning») og juristnettverket? </w:t>
      </w:r>
    </w:p>
    <w:p w14:paraId="15395B12" w14:textId="77777777" w:rsidR="00597316" w:rsidRDefault="00597316" w:rsidP="00B86C86">
      <w:pPr>
        <w:pStyle w:val="Brdtekst"/>
        <w:rPr>
          <w:rFonts w:ascii="Poppins" w:hAnsi="Poppins" w:cs="Poppins"/>
          <w:sz w:val="16"/>
          <w:szCs w:val="16"/>
        </w:rPr>
      </w:pPr>
    </w:p>
    <w:p w14:paraId="447E0007" w14:textId="072D894F" w:rsidR="00B13E44" w:rsidRDefault="00B13E44" w:rsidP="00D46D9F"/>
    <w:p w14:paraId="30D3F837" w14:textId="77777777" w:rsidR="008F4E20" w:rsidRPr="00D73F20" w:rsidRDefault="008F4E20" w:rsidP="00EA241E">
      <w:pPr>
        <w:pStyle w:val="Litteratur"/>
      </w:pPr>
    </w:p>
    <w:sectPr w:rsidR="008F4E20" w:rsidRPr="00D73F20" w:rsidSect="00D07E4E">
      <w:headerReference w:type="default" r:id="rId24"/>
      <w:footerReference w:type="default" r:id="rId25"/>
      <w:pgSz w:w="11906" w:h="16838"/>
      <w:pgMar w:top="2268"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AA53F0" w14:textId="77777777" w:rsidR="00D07E4E" w:rsidRDefault="00D07E4E" w:rsidP="00976083">
      <w:pPr>
        <w:spacing w:after="288" w:line="240" w:lineRule="auto"/>
      </w:pPr>
      <w:r>
        <w:separator/>
      </w:r>
    </w:p>
  </w:endnote>
  <w:endnote w:type="continuationSeparator" w:id="0">
    <w:p w14:paraId="7844F10A" w14:textId="77777777" w:rsidR="00D07E4E" w:rsidRDefault="00D07E4E" w:rsidP="00976083">
      <w:pPr>
        <w:spacing w:after="288" w:line="240" w:lineRule="auto"/>
      </w:pPr>
      <w:r>
        <w:continuationSeparator/>
      </w:r>
    </w:p>
  </w:endnote>
  <w:endnote w:type="continuationNotice" w:id="1">
    <w:p w14:paraId="379313EC" w14:textId="77777777" w:rsidR="00D07E4E" w:rsidRDefault="00D07E4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Poppins">
    <w:panose1 w:val="00000500000000000000"/>
    <w:charset w:val="00"/>
    <w:family w:val="auto"/>
    <w:pitch w:val="variable"/>
    <w:sig w:usb0="00008007" w:usb1="00000000" w:usb2="00000000" w:usb3="00000000" w:csb0="00000093"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C15DD" w14:textId="77777777" w:rsidR="00976083" w:rsidRDefault="00976083">
    <w:pPr>
      <w:pStyle w:val="Bunntekst"/>
      <w:spacing w:after="28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A854B" w14:textId="77777777" w:rsidR="00976083" w:rsidRDefault="00976083">
    <w:pPr>
      <w:pStyle w:val="Bunntekst"/>
      <w:spacing w:after="288"/>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32B12" w14:textId="77777777" w:rsidR="00976083" w:rsidRDefault="00976083">
    <w:pPr>
      <w:pStyle w:val="Bunntekst"/>
      <w:spacing w:after="288"/>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F6EE3" w14:textId="77777777" w:rsidR="00C35AE5" w:rsidRDefault="00C35AE5">
    <w:pPr>
      <w:pStyle w:val="Bunntekst"/>
      <w:spacing w:after="28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2B1CCF" w14:textId="77777777" w:rsidR="00D07E4E" w:rsidRDefault="00D07E4E" w:rsidP="00976083">
      <w:pPr>
        <w:spacing w:after="288" w:line="240" w:lineRule="auto"/>
      </w:pPr>
      <w:r>
        <w:separator/>
      </w:r>
    </w:p>
  </w:footnote>
  <w:footnote w:type="continuationSeparator" w:id="0">
    <w:p w14:paraId="14C842DC" w14:textId="77777777" w:rsidR="00D07E4E" w:rsidRDefault="00D07E4E" w:rsidP="00976083">
      <w:pPr>
        <w:spacing w:after="288" w:line="240" w:lineRule="auto"/>
      </w:pPr>
      <w:r>
        <w:continuationSeparator/>
      </w:r>
    </w:p>
  </w:footnote>
  <w:footnote w:type="continuationNotice" w:id="1">
    <w:p w14:paraId="290297A0" w14:textId="77777777" w:rsidR="00D07E4E" w:rsidRDefault="00D07E4E">
      <w:pPr>
        <w:spacing w:after="0" w:line="240" w:lineRule="auto"/>
      </w:pPr>
    </w:p>
  </w:footnote>
  <w:footnote w:id="2">
    <w:p w14:paraId="31C5CE43" w14:textId="1A32DE51" w:rsidR="00AC1937" w:rsidRDefault="00AC1937">
      <w:pPr>
        <w:pStyle w:val="Fotnotetekst"/>
      </w:pPr>
      <w:r>
        <w:rPr>
          <w:rStyle w:val="Fotnotereferanse"/>
        </w:rPr>
        <w:footnoteRef/>
      </w:r>
      <w:r>
        <w:t xml:space="preserve"> Vi har hentet inspirasjon til oppbygging av veilederen fra Helsedirektoratet</w:t>
      </w:r>
      <w:r w:rsidR="003A59A2">
        <w:t xml:space="preserve">: </w:t>
      </w:r>
      <w:hyperlink r:id="rId1" w:history="1">
        <w:r w:rsidR="00AC2CE2" w:rsidRPr="00AA042C">
          <w:rPr>
            <w:rStyle w:val="Hyperkobling"/>
          </w:rPr>
          <w:t>https://www.helsedirektoratet.no/veiledere/ledelse-og-kvalitetsforbedring-i-helse-og-omsorgstjenesten</w:t>
        </w:r>
      </w:hyperlink>
      <w:r w:rsidR="00AC2CE2">
        <w:t xml:space="preserve"> </w:t>
      </w:r>
    </w:p>
  </w:footnote>
  <w:footnote w:id="3">
    <w:p w14:paraId="6F4A5E73" w14:textId="4D14B572" w:rsidR="00121E8C" w:rsidRDefault="00121E8C">
      <w:pPr>
        <w:pStyle w:val="Fotnotetekst"/>
      </w:pPr>
      <w:r>
        <w:rPr>
          <w:rStyle w:val="Fotnotereferanse"/>
        </w:rPr>
        <w:footnoteRef/>
      </w:r>
      <w:r>
        <w:t xml:space="preserve"> Vi har hentet inspirasjon til oppbygging av veilederen fra </w:t>
      </w:r>
      <w:r w:rsidR="00B95F8D">
        <w:t xml:space="preserve">direktoratet for samfunnssikkerhet og beredskap: </w:t>
      </w:r>
      <w:hyperlink r:id="rId2" w:history="1">
        <w:r w:rsidR="00DD4291">
          <w:rPr>
            <w:rStyle w:val="Hyperkobling"/>
          </w:rPr>
          <w:t>Veileder til forskrift om sivilforsvar | Direktoratet for samfunnssikkerhet og beredskap (dsb.no)</w:t>
        </w:r>
      </w:hyperlink>
      <w:r w:rsidR="00DD4291">
        <w:t xml:space="preserve"> </w:t>
      </w:r>
    </w:p>
  </w:footnote>
  <w:footnote w:id="4">
    <w:p w14:paraId="126384F4" w14:textId="026BA5A2" w:rsidR="00670562" w:rsidRPr="00670562" w:rsidRDefault="00670562">
      <w:pPr>
        <w:pStyle w:val="Fotnotetekst"/>
        <w:rPr>
          <w:lang w:val="nn-NO"/>
        </w:rPr>
      </w:pPr>
      <w:r>
        <w:rPr>
          <w:rStyle w:val="Fotnotereferanse"/>
        </w:rPr>
        <w:footnoteRef/>
      </w:r>
      <w:r w:rsidRPr="009143BC">
        <w:rPr>
          <w:lang w:val="nn-NO"/>
        </w:rPr>
        <w:t xml:space="preserve"> Meld. </w:t>
      </w:r>
      <w:r w:rsidRPr="00670562">
        <w:rPr>
          <w:lang w:val="nn-NO"/>
        </w:rPr>
        <w:t>St. 19 (2023-2024) Profesjonsnære utdanningar over h</w:t>
      </w:r>
      <w:r>
        <w:rPr>
          <w:lang w:val="nn-NO"/>
        </w:rPr>
        <w:t>eile landet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3D5D0F" w14:textId="77777777" w:rsidR="00976083" w:rsidRDefault="00976083">
    <w:pPr>
      <w:pStyle w:val="Topptekst"/>
      <w:spacing w:after="28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5EEE5" w14:textId="46BA0668" w:rsidR="00C35AE5" w:rsidRDefault="00000000" w:rsidP="00976083">
    <w:pPr>
      <w:pStyle w:val="Topptekst"/>
      <w:spacing w:after="288"/>
      <w:jc w:val="right"/>
    </w:pPr>
    <w:sdt>
      <w:sdtPr>
        <w:alias w:val="Tittel"/>
        <w:tag w:val=""/>
        <w:id w:val="-1637406880"/>
        <w:placeholder>
          <w:docPart w:val="62FF8A82AA124DDCA6617E8A1E132F94"/>
        </w:placeholder>
        <w:dataBinding w:prefixMappings="xmlns:ns0='http://purl.org/dc/elements/1.1/' xmlns:ns1='http://schemas.openxmlformats.org/package/2006/metadata/core-properties' " w:xpath="/ns1:coreProperties[1]/ns0:title[1]" w:storeItemID="{6C3C8BC8-F283-45AE-878A-BAB7291924A1}"/>
        <w:text/>
      </w:sdtPr>
      <w:sdtContent>
        <w:r w:rsidR="005B4495">
          <w:t>Veileder til forskrift om skikkethetsvurdering i høyere utdanning (skikkethetsforskriften)</w:t>
        </w:r>
      </w:sdtContent>
    </w:sdt>
    <w:r w:rsidR="00C35AE5">
      <w:t xml:space="preserve"> | </w:t>
    </w:r>
    <w:r w:rsidR="00C35AE5">
      <w:fldChar w:fldCharType="begin"/>
    </w:r>
    <w:r w:rsidR="00C35AE5">
      <w:instrText xml:space="preserve"> page </w:instrText>
    </w:r>
    <w:r w:rsidR="00C35AE5">
      <w:fldChar w:fldCharType="separate"/>
    </w:r>
    <w:r w:rsidR="00C35AE5">
      <w:rPr>
        <w:noProof/>
      </w:rPr>
      <w:t>1</w:t>
    </w:r>
    <w:r w:rsidR="00C35AE5">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93FCB" w14:textId="77777777" w:rsidR="00976083" w:rsidRDefault="00580CCB" w:rsidP="00377B9A">
    <w:pPr>
      <w:pStyle w:val="Topptekst"/>
    </w:pPr>
    <w:r>
      <w:rPr>
        <w:noProof/>
      </w:rPr>
      <w:drawing>
        <wp:anchor distT="0" distB="0" distL="114300" distR="114300" simplePos="0" relativeHeight="251658240" behindDoc="0" locked="0" layoutInCell="1" allowOverlap="1" wp14:anchorId="62A9D1AA" wp14:editId="27DD561A">
          <wp:simplePos x="0" y="0"/>
          <wp:positionH relativeFrom="column">
            <wp:posOffset>-304800</wp:posOffset>
          </wp:positionH>
          <wp:positionV relativeFrom="paragraph">
            <wp:posOffset>45085</wp:posOffset>
          </wp:positionV>
          <wp:extent cx="2097211" cy="540000"/>
          <wp:effectExtent l="0" t="0" r="0" b="0"/>
          <wp:wrapNone/>
          <wp:docPr id="695646878" name="Grafikk 69564687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848553" name="Grafikk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097211" cy="540000"/>
                  </a:xfrm>
                  <a:prstGeom prst="rect">
                    <a:avLst/>
                  </a:prstGeom>
                </pic:spPr>
              </pic:pic>
            </a:graphicData>
          </a:graphic>
          <wp14:sizeRelH relativeFrom="margin">
            <wp14:pctWidth>0</wp14:pctWidth>
          </wp14:sizeRelH>
          <wp14:sizeRelV relativeFrom="margin">
            <wp14:pctHeight>0</wp14:pctHeight>
          </wp14:sizeRelV>
        </wp:anchor>
      </w:drawing>
    </w:r>
    <w:r w:rsidR="00377B9A">
      <w:rPr>
        <w:noProof/>
      </w:rPr>
      <w:drawing>
        <wp:anchor distT="0" distB="0" distL="114300" distR="114300" simplePos="0" relativeHeight="251658241" behindDoc="1" locked="0" layoutInCell="1" allowOverlap="1" wp14:anchorId="713CFA22" wp14:editId="4B54F09F">
          <wp:simplePos x="0" y="0"/>
          <wp:positionH relativeFrom="page">
            <wp:posOffset>0</wp:posOffset>
          </wp:positionH>
          <wp:positionV relativeFrom="page">
            <wp:posOffset>0</wp:posOffset>
          </wp:positionV>
          <wp:extent cx="5760085" cy="8147685"/>
          <wp:effectExtent l="0" t="0" r="0" b="0"/>
          <wp:wrapNone/>
          <wp:docPr id="2" name="Bilde 2" descr="Et bilde som inneholder skjermbilde, tekst, grafisk design, design&#10;&#10;Automatisk generert beskrivelse"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e 2" descr="Et bilde som inneholder skjermbilde, tekst, grafisk design, design&#10;&#10;Automatisk generert beskrivelse" hidden="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5760085" cy="814768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D6E03" w14:textId="07DC9281" w:rsidR="00C35AE5" w:rsidRDefault="00000000" w:rsidP="00976083">
    <w:pPr>
      <w:pStyle w:val="Topptekst"/>
      <w:spacing w:after="288"/>
      <w:jc w:val="right"/>
    </w:pPr>
    <w:sdt>
      <w:sdtPr>
        <w:alias w:val="Tittel"/>
        <w:tag w:val=""/>
        <w:id w:val="-1749180911"/>
        <w:placeholder>
          <w:docPart w:val="79D7E22C56CF4627A937B4CEB6722944"/>
        </w:placeholder>
        <w:dataBinding w:prefixMappings="xmlns:ns0='http://purl.org/dc/elements/1.1/' xmlns:ns1='http://schemas.openxmlformats.org/package/2006/metadata/core-properties' " w:xpath="/ns1:coreProperties[1]/ns0:title[1]" w:storeItemID="{6C3C8BC8-F283-45AE-878A-BAB7291924A1}"/>
        <w:text/>
      </w:sdtPr>
      <w:sdtContent>
        <w:r w:rsidR="005B4495">
          <w:t>Veileder til forskrift om skikkethetsvurdering i høyere utdanning (skikkethetsforskriften)</w:t>
        </w:r>
      </w:sdtContent>
    </w:sdt>
    <w:r w:rsidR="00C35AE5">
      <w:t xml:space="preserve"> | </w:t>
    </w:r>
    <w:r w:rsidR="00C35AE5">
      <w:fldChar w:fldCharType="begin"/>
    </w:r>
    <w:r w:rsidR="00C35AE5">
      <w:instrText xml:space="preserve"> page </w:instrText>
    </w:r>
    <w:r w:rsidR="00C35AE5">
      <w:fldChar w:fldCharType="separate"/>
    </w:r>
    <w:r w:rsidR="00C35AE5">
      <w:rPr>
        <w:noProof/>
      </w:rPr>
      <w:t>1</w:t>
    </w:r>
    <w:r w:rsidR="00C35AE5">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566D22"/>
    <w:multiLevelType w:val="hybridMultilevel"/>
    <w:tmpl w:val="B12EE494"/>
    <w:lvl w:ilvl="0" w:tplc="148A70E6">
      <w:start w:val="1"/>
      <w:numFmt w:val="bullet"/>
      <w:lvlText w:val="-"/>
      <w:lvlJc w:val="left"/>
      <w:pPr>
        <w:ind w:left="720" w:hanging="360"/>
      </w:pPr>
      <w:rPr>
        <w:rFonts w:ascii="Poppins" w:eastAsiaTheme="minorHAnsi" w:hAnsi="Poppins" w:cs="Poppin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49E812A5"/>
    <w:multiLevelType w:val="hybridMultilevel"/>
    <w:tmpl w:val="CD1E97EA"/>
    <w:lvl w:ilvl="0" w:tplc="0414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4F472F0D"/>
    <w:multiLevelType w:val="hybridMultilevel"/>
    <w:tmpl w:val="DCA64758"/>
    <w:lvl w:ilvl="0" w:tplc="65D4FFE0">
      <w:numFmt w:val="bullet"/>
      <w:lvlText w:val="-"/>
      <w:lvlJc w:val="left"/>
      <w:pPr>
        <w:ind w:left="720" w:hanging="360"/>
      </w:pPr>
      <w:rPr>
        <w:rFonts w:ascii="Poppins" w:eastAsiaTheme="minorHAnsi" w:hAnsi="Poppins" w:cs="Poppin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51B43576"/>
    <w:multiLevelType w:val="hybridMultilevel"/>
    <w:tmpl w:val="AAC2889A"/>
    <w:lvl w:ilvl="0" w:tplc="04140011">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543C4849"/>
    <w:multiLevelType w:val="hybridMultilevel"/>
    <w:tmpl w:val="CF7C5A06"/>
    <w:lvl w:ilvl="0" w:tplc="09F08A86">
      <w:start w:val="1"/>
      <w:numFmt w:val="decimal"/>
      <w:lvlText w:val="%1)"/>
      <w:lvlJc w:val="left"/>
      <w:pPr>
        <w:ind w:left="1020" w:hanging="360"/>
      </w:pPr>
    </w:lvl>
    <w:lvl w:ilvl="1" w:tplc="A5BC9052">
      <w:start w:val="1"/>
      <w:numFmt w:val="decimal"/>
      <w:lvlText w:val="%2)"/>
      <w:lvlJc w:val="left"/>
      <w:pPr>
        <w:ind w:left="1020" w:hanging="360"/>
      </w:pPr>
    </w:lvl>
    <w:lvl w:ilvl="2" w:tplc="11FA2B9A">
      <w:start w:val="1"/>
      <w:numFmt w:val="decimal"/>
      <w:lvlText w:val="%3)"/>
      <w:lvlJc w:val="left"/>
      <w:pPr>
        <w:ind w:left="1020" w:hanging="360"/>
      </w:pPr>
    </w:lvl>
    <w:lvl w:ilvl="3" w:tplc="0C08EECC">
      <w:start w:val="1"/>
      <w:numFmt w:val="decimal"/>
      <w:lvlText w:val="%4)"/>
      <w:lvlJc w:val="left"/>
      <w:pPr>
        <w:ind w:left="1020" w:hanging="360"/>
      </w:pPr>
    </w:lvl>
    <w:lvl w:ilvl="4" w:tplc="A13AA080">
      <w:start w:val="1"/>
      <w:numFmt w:val="decimal"/>
      <w:lvlText w:val="%5)"/>
      <w:lvlJc w:val="left"/>
      <w:pPr>
        <w:ind w:left="1020" w:hanging="360"/>
      </w:pPr>
    </w:lvl>
    <w:lvl w:ilvl="5" w:tplc="ED64C7AE">
      <w:start w:val="1"/>
      <w:numFmt w:val="decimal"/>
      <w:lvlText w:val="%6)"/>
      <w:lvlJc w:val="left"/>
      <w:pPr>
        <w:ind w:left="1020" w:hanging="360"/>
      </w:pPr>
    </w:lvl>
    <w:lvl w:ilvl="6" w:tplc="EDE05CAA">
      <w:start w:val="1"/>
      <w:numFmt w:val="decimal"/>
      <w:lvlText w:val="%7)"/>
      <w:lvlJc w:val="left"/>
      <w:pPr>
        <w:ind w:left="1020" w:hanging="360"/>
      </w:pPr>
    </w:lvl>
    <w:lvl w:ilvl="7" w:tplc="5612870E">
      <w:start w:val="1"/>
      <w:numFmt w:val="decimal"/>
      <w:lvlText w:val="%8)"/>
      <w:lvlJc w:val="left"/>
      <w:pPr>
        <w:ind w:left="1020" w:hanging="360"/>
      </w:pPr>
    </w:lvl>
    <w:lvl w:ilvl="8" w:tplc="8498532E">
      <w:start w:val="1"/>
      <w:numFmt w:val="decimal"/>
      <w:lvlText w:val="%9)"/>
      <w:lvlJc w:val="left"/>
      <w:pPr>
        <w:ind w:left="1020" w:hanging="360"/>
      </w:pPr>
    </w:lvl>
  </w:abstractNum>
  <w:abstractNum w:abstractNumId="5" w15:restartNumberingAfterBreak="0">
    <w:nsid w:val="57E11AFB"/>
    <w:multiLevelType w:val="hybridMultilevel"/>
    <w:tmpl w:val="BF3CF0CC"/>
    <w:lvl w:ilvl="0" w:tplc="0414000B">
      <w:start w:val="1"/>
      <w:numFmt w:val="bullet"/>
      <w:lvlText w:val=""/>
      <w:lvlJc w:val="left"/>
      <w:pPr>
        <w:ind w:left="720" w:hanging="360"/>
      </w:pPr>
      <w:rPr>
        <w:rFonts w:ascii="Wingdings" w:hAnsi="Wingding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58E06148"/>
    <w:multiLevelType w:val="hybridMultilevel"/>
    <w:tmpl w:val="96305804"/>
    <w:lvl w:ilvl="0" w:tplc="FAECC1BA">
      <w:start w:val="1"/>
      <w:numFmt w:val="decimal"/>
      <w:lvlText w:val="%1)"/>
      <w:lvlJc w:val="left"/>
      <w:pPr>
        <w:ind w:left="1020" w:hanging="360"/>
      </w:pPr>
    </w:lvl>
    <w:lvl w:ilvl="1" w:tplc="A5DA3B06">
      <w:start w:val="1"/>
      <w:numFmt w:val="decimal"/>
      <w:lvlText w:val="%2)"/>
      <w:lvlJc w:val="left"/>
      <w:pPr>
        <w:ind w:left="1020" w:hanging="360"/>
      </w:pPr>
    </w:lvl>
    <w:lvl w:ilvl="2" w:tplc="D0EEF344">
      <w:start w:val="1"/>
      <w:numFmt w:val="decimal"/>
      <w:lvlText w:val="%3)"/>
      <w:lvlJc w:val="left"/>
      <w:pPr>
        <w:ind w:left="1020" w:hanging="360"/>
      </w:pPr>
    </w:lvl>
    <w:lvl w:ilvl="3" w:tplc="07E63D38">
      <w:start w:val="1"/>
      <w:numFmt w:val="decimal"/>
      <w:lvlText w:val="%4)"/>
      <w:lvlJc w:val="left"/>
      <w:pPr>
        <w:ind w:left="1020" w:hanging="360"/>
      </w:pPr>
    </w:lvl>
    <w:lvl w:ilvl="4" w:tplc="0350591C">
      <w:start w:val="1"/>
      <w:numFmt w:val="decimal"/>
      <w:lvlText w:val="%5)"/>
      <w:lvlJc w:val="left"/>
      <w:pPr>
        <w:ind w:left="1020" w:hanging="360"/>
      </w:pPr>
    </w:lvl>
    <w:lvl w:ilvl="5" w:tplc="018A8DCE">
      <w:start w:val="1"/>
      <w:numFmt w:val="decimal"/>
      <w:lvlText w:val="%6)"/>
      <w:lvlJc w:val="left"/>
      <w:pPr>
        <w:ind w:left="1020" w:hanging="360"/>
      </w:pPr>
    </w:lvl>
    <w:lvl w:ilvl="6" w:tplc="7924DAD8">
      <w:start w:val="1"/>
      <w:numFmt w:val="decimal"/>
      <w:lvlText w:val="%7)"/>
      <w:lvlJc w:val="left"/>
      <w:pPr>
        <w:ind w:left="1020" w:hanging="360"/>
      </w:pPr>
    </w:lvl>
    <w:lvl w:ilvl="7" w:tplc="32DC687C">
      <w:start w:val="1"/>
      <w:numFmt w:val="decimal"/>
      <w:lvlText w:val="%8)"/>
      <w:lvlJc w:val="left"/>
      <w:pPr>
        <w:ind w:left="1020" w:hanging="360"/>
      </w:pPr>
    </w:lvl>
    <w:lvl w:ilvl="8" w:tplc="CA829562">
      <w:start w:val="1"/>
      <w:numFmt w:val="decimal"/>
      <w:lvlText w:val="%9)"/>
      <w:lvlJc w:val="left"/>
      <w:pPr>
        <w:ind w:left="1020" w:hanging="360"/>
      </w:pPr>
    </w:lvl>
  </w:abstractNum>
  <w:abstractNum w:abstractNumId="7" w15:restartNumberingAfterBreak="0">
    <w:nsid w:val="5EF23FE3"/>
    <w:multiLevelType w:val="hybridMultilevel"/>
    <w:tmpl w:val="67F242F0"/>
    <w:lvl w:ilvl="0" w:tplc="77B4D4FA">
      <w:start w:val="1"/>
      <w:numFmt w:val="decimal"/>
      <w:lvlText w:val="%1)"/>
      <w:lvlJc w:val="left"/>
      <w:pPr>
        <w:ind w:left="1440" w:hanging="360"/>
      </w:pPr>
    </w:lvl>
    <w:lvl w:ilvl="1" w:tplc="313C338C">
      <w:start w:val="1"/>
      <w:numFmt w:val="decimal"/>
      <w:lvlText w:val="%2)"/>
      <w:lvlJc w:val="left"/>
      <w:pPr>
        <w:ind w:left="1440" w:hanging="360"/>
      </w:pPr>
    </w:lvl>
    <w:lvl w:ilvl="2" w:tplc="E618A57E">
      <w:start w:val="1"/>
      <w:numFmt w:val="decimal"/>
      <w:lvlText w:val="%3)"/>
      <w:lvlJc w:val="left"/>
      <w:pPr>
        <w:ind w:left="1440" w:hanging="360"/>
      </w:pPr>
    </w:lvl>
    <w:lvl w:ilvl="3" w:tplc="83AAB1AE">
      <w:start w:val="1"/>
      <w:numFmt w:val="decimal"/>
      <w:lvlText w:val="%4)"/>
      <w:lvlJc w:val="left"/>
      <w:pPr>
        <w:ind w:left="1440" w:hanging="360"/>
      </w:pPr>
    </w:lvl>
    <w:lvl w:ilvl="4" w:tplc="E25EC59A">
      <w:start w:val="1"/>
      <w:numFmt w:val="decimal"/>
      <w:lvlText w:val="%5)"/>
      <w:lvlJc w:val="left"/>
      <w:pPr>
        <w:ind w:left="1440" w:hanging="360"/>
      </w:pPr>
    </w:lvl>
    <w:lvl w:ilvl="5" w:tplc="205A9856">
      <w:start w:val="1"/>
      <w:numFmt w:val="decimal"/>
      <w:lvlText w:val="%6)"/>
      <w:lvlJc w:val="left"/>
      <w:pPr>
        <w:ind w:left="1440" w:hanging="360"/>
      </w:pPr>
    </w:lvl>
    <w:lvl w:ilvl="6" w:tplc="B0C6459E">
      <w:start w:val="1"/>
      <w:numFmt w:val="decimal"/>
      <w:lvlText w:val="%7)"/>
      <w:lvlJc w:val="left"/>
      <w:pPr>
        <w:ind w:left="1440" w:hanging="360"/>
      </w:pPr>
    </w:lvl>
    <w:lvl w:ilvl="7" w:tplc="52D8BF98">
      <w:start w:val="1"/>
      <w:numFmt w:val="decimal"/>
      <w:lvlText w:val="%8)"/>
      <w:lvlJc w:val="left"/>
      <w:pPr>
        <w:ind w:left="1440" w:hanging="360"/>
      </w:pPr>
    </w:lvl>
    <w:lvl w:ilvl="8" w:tplc="C4E03BEA">
      <w:start w:val="1"/>
      <w:numFmt w:val="decimal"/>
      <w:lvlText w:val="%9)"/>
      <w:lvlJc w:val="left"/>
      <w:pPr>
        <w:ind w:left="1440" w:hanging="360"/>
      </w:pPr>
    </w:lvl>
  </w:abstractNum>
  <w:abstractNum w:abstractNumId="8" w15:restartNumberingAfterBreak="0">
    <w:nsid w:val="5F70264D"/>
    <w:multiLevelType w:val="hybridMultilevel"/>
    <w:tmpl w:val="0206DD00"/>
    <w:lvl w:ilvl="0" w:tplc="08FE4D70">
      <w:start w:val="1"/>
      <w:numFmt w:val="decimal"/>
      <w:lvlText w:val="%1)"/>
      <w:lvlJc w:val="left"/>
      <w:pPr>
        <w:ind w:left="1020" w:hanging="360"/>
      </w:pPr>
    </w:lvl>
    <w:lvl w:ilvl="1" w:tplc="45CADD16">
      <w:start w:val="1"/>
      <w:numFmt w:val="decimal"/>
      <w:lvlText w:val="%2)"/>
      <w:lvlJc w:val="left"/>
      <w:pPr>
        <w:ind w:left="1020" w:hanging="360"/>
      </w:pPr>
    </w:lvl>
    <w:lvl w:ilvl="2" w:tplc="580C3B8A">
      <w:start w:val="1"/>
      <w:numFmt w:val="decimal"/>
      <w:lvlText w:val="%3)"/>
      <w:lvlJc w:val="left"/>
      <w:pPr>
        <w:ind w:left="1020" w:hanging="360"/>
      </w:pPr>
    </w:lvl>
    <w:lvl w:ilvl="3" w:tplc="95BCFC48">
      <w:start w:val="1"/>
      <w:numFmt w:val="decimal"/>
      <w:lvlText w:val="%4)"/>
      <w:lvlJc w:val="left"/>
      <w:pPr>
        <w:ind w:left="1020" w:hanging="360"/>
      </w:pPr>
    </w:lvl>
    <w:lvl w:ilvl="4" w:tplc="19E603F2">
      <w:start w:val="1"/>
      <w:numFmt w:val="decimal"/>
      <w:lvlText w:val="%5)"/>
      <w:lvlJc w:val="left"/>
      <w:pPr>
        <w:ind w:left="1020" w:hanging="360"/>
      </w:pPr>
    </w:lvl>
    <w:lvl w:ilvl="5" w:tplc="A23207BE">
      <w:start w:val="1"/>
      <w:numFmt w:val="decimal"/>
      <w:lvlText w:val="%6)"/>
      <w:lvlJc w:val="left"/>
      <w:pPr>
        <w:ind w:left="1020" w:hanging="360"/>
      </w:pPr>
    </w:lvl>
    <w:lvl w:ilvl="6" w:tplc="63AACE86">
      <w:start w:val="1"/>
      <w:numFmt w:val="decimal"/>
      <w:lvlText w:val="%7)"/>
      <w:lvlJc w:val="left"/>
      <w:pPr>
        <w:ind w:left="1020" w:hanging="360"/>
      </w:pPr>
    </w:lvl>
    <w:lvl w:ilvl="7" w:tplc="756E7C5A">
      <w:start w:val="1"/>
      <w:numFmt w:val="decimal"/>
      <w:lvlText w:val="%8)"/>
      <w:lvlJc w:val="left"/>
      <w:pPr>
        <w:ind w:left="1020" w:hanging="360"/>
      </w:pPr>
    </w:lvl>
    <w:lvl w:ilvl="8" w:tplc="0FBA90BE">
      <w:start w:val="1"/>
      <w:numFmt w:val="decimal"/>
      <w:lvlText w:val="%9)"/>
      <w:lvlJc w:val="left"/>
      <w:pPr>
        <w:ind w:left="1020" w:hanging="360"/>
      </w:pPr>
    </w:lvl>
  </w:abstractNum>
  <w:abstractNum w:abstractNumId="9" w15:restartNumberingAfterBreak="0">
    <w:nsid w:val="6BBF4E97"/>
    <w:multiLevelType w:val="hybridMultilevel"/>
    <w:tmpl w:val="97E01642"/>
    <w:lvl w:ilvl="0" w:tplc="47C83FE2">
      <w:start w:val="1"/>
      <w:numFmt w:val="decimal"/>
      <w:lvlText w:val="%1)"/>
      <w:lvlJc w:val="left"/>
      <w:pPr>
        <w:ind w:left="1020" w:hanging="360"/>
      </w:pPr>
    </w:lvl>
    <w:lvl w:ilvl="1" w:tplc="3904CF38">
      <w:start w:val="1"/>
      <w:numFmt w:val="decimal"/>
      <w:lvlText w:val="%2)"/>
      <w:lvlJc w:val="left"/>
      <w:pPr>
        <w:ind w:left="1020" w:hanging="360"/>
      </w:pPr>
    </w:lvl>
    <w:lvl w:ilvl="2" w:tplc="4BECFD70">
      <w:start w:val="1"/>
      <w:numFmt w:val="decimal"/>
      <w:lvlText w:val="%3)"/>
      <w:lvlJc w:val="left"/>
      <w:pPr>
        <w:ind w:left="1020" w:hanging="360"/>
      </w:pPr>
    </w:lvl>
    <w:lvl w:ilvl="3" w:tplc="6F4ACD08">
      <w:start w:val="1"/>
      <w:numFmt w:val="decimal"/>
      <w:lvlText w:val="%4)"/>
      <w:lvlJc w:val="left"/>
      <w:pPr>
        <w:ind w:left="1020" w:hanging="360"/>
      </w:pPr>
    </w:lvl>
    <w:lvl w:ilvl="4" w:tplc="29E46522">
      <w:start w:val="1"/>
      <w:numFmt w:val="decimal"/>
      <w:lvlText w:val="%5)"/>
      <w:lvlJc w:val="left"/>
      <w:pPr>
        <w:ind w:left="1020" w:hanging="360"/>
      </w:pPr>
    </w:lvl>
    <w:lvl w:ilvl="5" w:tplc="57E6A862">
      <w:start w:val="1"/>
      <w:numFmt w:val="decimal"/>
      <w:lvlText w:val="%6)"/>
      <w:lvlJc w:val="left"/>
      <w:pPr>
        <w:ind w:left="1020" w:hanging="360"/>
      </w:pPr>
    </w:lvl>
    <w:lvl w:ilvl="6" w:tplc="549C4EBA">
      <w:start w:val="1"/>
      <w:numFmt w:val="decimal"/>
      <w:lvlText w:val="%7)"/>
      <w:lvlJc w:val="left"/>
      <w:pPr>
        <w:ind w:left="1020" w:hanging="360"/>
      </w:pPr>
    </w:lvl>
    <w:lvl w:ilvl="7" w:tplc="CC3CB54A">
      <w:start w:val="1"/>
      <w:numFmt w:val="decimal"/>
      <w:lvlText w:val="%8)"/>
      <w:lvlJc w:val="left"/>
      <w:pPr>
        <w:ind w:left="1020" w:hanging="360"/>
      </w:pPr>
    </w:lvl>
    <w:lvl w:ilvl="8" w:tplc="79C274E6">
      <w:start w:val="1"/>
      <w:numFmt w:val="decimal"/>
      <w:lvlText w:val="%9)"/>
      <w:lvlJc w:val="left"/>
      <w:pPr>
        <w:ind w:left="1020" w:hanging="360"/>
      </w:pPr>
    </w:lvl>
  </w:abstractNum>
  <w:abstractNum w:abstractNumId="10" w15:restartNumberingAfterBreak="0">
    <w:nsid w:val="75F34D22"/>
    <w:multiLevelType w:val="hybridMultilevel"/>
    <w:tmpl w:val="65E2FF84"/>
    <w:lvl w:ilvl="0" w:tplc="DF766FAA">
      <w:numFmt w:val="bullet"/>
      <w:lvlText w:val="-"/>
      <w:lvlJc w:val="left"/>
      <w:pPr>
        <w:ind w:left="720" w:hanging="360"/>
      </w:pPr>
      <w:rPr>
        <w:rFonts w:ascii="Poppins" w:eastAsiaTheme="minorHAnsi" w:hAnsi="Poppins" w:cs="Poppin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1" w15:restartNumberingAfterBreak="0">
    <w:nsid w:val="7CBE52D4"/>
    <w:multiLevelType w:val="multilevel"/>
    <w:tmpl w:val="CCD82548"/>
    <w:lvl w:ilvl="0">
      <w:start w:val="1"/>
      <w:numFmt w:val="decimal"/>
      <w:pStyle w:val="Overskrift1"/>
      <w:suff w:val="space"/>
      <w:lvlText w:val="%1"/>
      <w:lvlJc w:val="left"/>
      <w:pPr>
        <w:ind w:left="432" w:hanging="432"/>
      </w:pPr>
      <w:rPr>
        <w:rFonts w:hint="default"/>
      </w:rPr>
    </w:lvl>
    <w:lvl w:ilvl="1">
      <w:start w:val="1"/>
      <w:numFmt w:val="decimal"/>
      <w:pStyle w:val="Overskrift2"/>
      <w:suff w:val="space"/>
      <w:lvlText w:val="%1.%2"/>
      <w:lvlJc w:val="left"/>
      <w:pPr>
        <w:ind w:left="576" w:hanging="576"/>
      </w:pPr>
      <w:rPr>
        <w:rFonts w:hint="default"/>
      </w:rPr>
    </w:lvl>
    <w:lvl w:ilvl="2">
      <w:start w:val="1"/>
      <w:numFmt w:val="decimal"/>
      <w:pStyle w:val="Overskrift3"/>
      <w:suff w:val="space"/>
      <w:lvlText w:val="%1.%2.%3"/>
      <w:lvlJc w:val="left"/>
      <w:pPr>
        <w:ind w:left="720" w:hanging="720"/>
      </w:pPr>
      <w:rPr>
        <w:rFonts w:hint="default"/>
      </w:rPr>
    </w:lvl>
    <w:lvl w:ilvl="3">
      <w:start w:val="1"/>
      <w:numFmt w:val="decimal"/>
      <w:pStyle w:val="Overskrift4"/>
      <w:lvlText w:val="%1.%2.%3.%4"/>
      <w:lvlJc w:val="left"/>
      <w:pPr>
        <w:ind w:left="864" w:hanging="864"/>
      </w:pPr>
      <w:rPr>
        <w:rFonts w:hint="default"/>
      </w:rPr>
    </w:lvl>
    <w:lvl w:ilvl="4">
      <w:start w:val="1"/>
      <w:numFmt w:val="decimal"/>
      <w:pStyle w:val="Overskrift5"/>
      <w:lvlText w:val="%1.%2.%3.%4.%5"/>
      <w:lvlJc w:val="left"/>
      <w:pPr>
        <w:ind w:left="1008" w:hanging="1008"/>
      </w:pPr>
      <w:rPr>
        <w:rFonts w:hint="default"/>
      </w:rPr>
    </w:lvl>
    <w:lvl w:ilvl="5">
      <w:start w:val="1"/>
      <w:numFmt w:val="decimal"/>
      <w:pStyle w:val="Overskrift6"/>
      <w:lvlText w:val="%1.%2.%3.%4.%5.%6"/>
      <w:lvlJc w:val="left"/>
      <w:pPr>
        <w:ind w:left="1152" w:hanging="1152"/>
      </w:pPr>
      <w:rPr>
        <w:rFonts w:hint="default"/>
      </w:rPr>
    </w:lvl>
    <w:lvl w:ilvl="6">
      <w:start w:val="1"/>
      <w:numFmt w:val="decimal"/>
      <w:pStyle w:val="Overskrift7"/>
      <w:lvlText w:val="%1.%2.%3.%4.%5.%6.%7"/>
      <w:lvlJc w:val="left"/>
      <w:pPr>
        <w:ind w:left="1296" w:hanging="1296"/>
      </w:pPr>
      <w:rPr>
        <w:rFonts w:hint="default"/>
      </w:rPr>
    </w:lvl>
    <w:lvl w:ilvl="7">
      <w:start w:val="1"/>
      <w:numFmt w:val="decimal"/>
      <w:pStyle w:val="Overskrift8"/>
      <w:lvlText w:val="%1.%2.%3.%4.%5.%6.%7.%8"/>
      <w:lvlJc w:val="left"/>
      <w:pPr>
        <w:ind w:left="1440" w:hanging="1440"/>
      </w:pPr>
      <w:rPr>
        <w:rFonts w:hint="default"/>
      </w:rPr>
    </w:lvl>
    <w:lvl w:ilvl="8">
      <w:start w:val="1"/>
      <w:numFmt w:val="decimal"/>
      <w:pStyle w:val="Overskrift9"/>
      <w:lvlText w:val="%1.%2.%3.%4.%5.%6.%7.%8.%9"/>
      <w:lvlJc w:val="left"/>
      <w:pPr>
        <w:ind w:left="1584" w:hanging="1584"/>
      </w:pPr>
      <w:rPr>
        <w:rFonts w:hint="default"/>
      </w:rPr>
    </w:lvl>
  </w:abstractNum>
  <w:num w:numId="1" w16cid:durableId="1204249202">
    <w:abstractNumId w:val="11"/>
  </w:num>
  <w:num w:numId="2" w16cid:durableId="351806040">
    <w:abstractNumId w:val="2"/>
  </w:num>
  <w:num w:numId="3" w16cid:durableId="770390503">
    <w:abstractNumId w:val="5"/>
  </w:num>
  <w:num w:numId="4" w16cid:durableId="587270110">
    <w:abstractNumId w:val="10"/>
  </w:num>
  <w:num w:numId="5" w16cid:durableId="106437926">
    <w:abstractNumId w:val="1"/>
  </w:num>
  <w:num w:numId="6" w16cid:durableId="641428627">
    <w:abstractNumId w:val="6"/>
  </w:num>
  <w:num w:numId="7" w16cid:durableId="536936720">
    <w:abstractNumId w:val="8"/>
  </w:num>
  <w:num w:numId="8" w16cid:durableId="504440800">
    <w:abstractNumId w:val="9"/>
  </w:num>
  <w:num w:numId="9" w16cid:durableId="1169099927">
    <w:abstractNumId w:val="4"/>
  </w:num>
  <w:num w:numId="10" w16cid:durableId="660735204">
    <w:abstractNumId w:val="3"/>
  </w:num>
  <w:num w:numId="11" w16cid:durableId="235016993">
    <w:abstractNumId w:val="0"/>
  </w:num>
  <w:num w:numId="12" w16cid:durableId="193143194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7"/>
  <w:proofState w:spelling="clean" w:grammar="clean"/>
  <w:attachedTemplate r:id="rId1"/>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3CD3"/>
    <w:rsid w:val="0000078F"/>
    <w:rsid w:val="00000956"/>
    <w:rsid w:val="0001090B"/>
    <w:rsid w:val="00011E82"/>
    <w:rsid w:val="0001349D"/>
    <w:rsid w:val="0001396F"/>
    <w:rsid w:val="000175A1"/>
    <w:rsid w:val="00020C49"/>
    <w:rsid w:val="00021574"/>
    <w:rsid w:val="000222C6"/>
    <w:rsid w:val="00025E2D"/>
    <w:rsid w:val="00026322"/>
    <w:rsid w:val="000273D4"/>
    <w:rsid w:val="000321B0"/>
    <w:rsid w:val="00032A63"/>
    <w:rsid w:val="000332E0"/>
    <w:rsid w:val="00035221"/>
    <w:rsid w:val="00035F13"/>
    <w:rsid w:val="00036451"/>
    <w:rsid w:val="00036F61"/>
    <w:rsid w:val="00037899"/>
    <w:rsid w:val="000401E0"/>
    <w:rsid w:val="000423CD"/>
    <w:rsid w:val="00043E6D"/>
    <w:rsid w:val="000451C8"/>
    <w:rsid w:val="00045804"/>
    <w:rsid w:val="000462DE"/>
    <w:rsid w:val="00046ADD"/>
    <w:rsid w:val="00050BAF"/>
    <w:rsid w:val="000578B6"/>
    <w:rsid w:val="000619B1"/>
    <w:rsid w:val="00062647"/>
    <w:rsid w:val="00063322"/>
    <w:rsid w:val="00063870"/>
    <w:rsid w:val="00065C49"/>
    <w:rsid w:val="000675BE"/>
    <w:rsid w:val="00071A1A"/>
    <w:rsid w:val="00071DE1"/>
    <w:rsid w:val="00072C7F"/>
    <w:rsid w:val="00075102"/>
    <w:rsid w:val="000753A1"/>
    <w:rsid w:val="00076A83"/>
    <w:rsid w:val="00077BA8"/>
    <w:rsid w:val="00081CDF"/>
    <w:rsid w:val="0008253A"/>
    <w:rsid w:val="000825B8"/>
    <w:rsid w:val="00083EFC"/>
    <w:rsid w:val="0008668C"/>
    <w:rsid w:val="00091464"/>
    <w:rsid w:val="00091D66"/>
    <w:rsid w:val="00093C82"/>
    <w:rsid w:val="00097B29"/>
    <w:rsid w:val="000A1E96"/>
    <w:rsid w:val="000A22FC"/>
    <w:rsid w:val="000A3FA9"/>
    <w:rsid w:val="000A70E5"/>
    <w:rsid w:val="000A73B7"/>
    <w:rsid w:val="000A75F9"/>
    <w:rsid w:val="000A77A0"/>
    <w:rsid w:val="000B011F"/>
    <w:rsid w:val="000B2075"/>
    <w:rsid w:val="000B3002"/>
    <w:rsid w:val="000B3AB0"/>
    <w:rsid w:val="000B3D64"/>
    <w:rsid w:val="000B4FF8"/>
    <w:rsid w:val="000C0ADF"/>
    <w:rsid w:val="000C2311"/>
    <w:rsid w:val="000C261D"/>
    <w:rsid w:val="000C3218"/>
    <w:rsid w:val="000C3BC5"/>
    <w:rsid w:val="000C686B"/>
    <w:rsid w:val="000D0A3A"/>
    <w:rsid w:val="000D112E"/>
    <w:rsid w:val="000D3CD3"/>
    <w:rsid w:val="000D4196"/>
    <w:rsid w:val="000D4CE8"/>
    <w:rsid w:val="000E0541"/>
    <w:rsid w:val="000E2C4C"/>
    <w:rsid w:val="000E31A4"/>
    <w:rsid w:val="000F0D06"/>
    <w:rsid w:val="000F319D"/>
    <w:rsid w:val="000F65B4"/>
    <w:rsid w:val="000F7352"/>
    <w:rsid w:val="00100BC7"/>
    <w:rsid w:val="001014D9"/>
    <w:rsid w:val="00101E85"/>
    <w:rsid w:val="0010309C"/>
    <w:rsid w:val="001071EB"/>
    <w:rsid w:val="00110A59"/>
    <w:rsid w:val="001117C2"/>
    <w:rsid w:val="0011282A"/>
    <w:rsid w:val="001159C4"/>
    <w:rsid w:val="001217E0"/>
    <w:rsid w:val="0012194A"/>
    <w:rsid w:val="00121E8C"/>
    <w:rsid w:val="0012355D"/>
    <w:rsid w:val="00125AEE"/>
    <w:rsid w:val="00126A30"/>
    <w:rsid w:val="001272C6"/>
    <w:rsid w:val="001273D0"/>
    <w:rsid w:val="001304DE"/>
    <w:rsid w:val="00130BAE"/>
    <w:rsid w:val="00131E75"/>
    <w:rsid w:val="0013707B"/>
    <w:rsid w:val="00141854"/>
    <w:rsid w:val="00141C23"/>
    <w:rsid w:val="00141EB7"/>
    <w:rsid w:val="00143329"/>
    <w:rsid w:val="00144154"/>
    <w:rsid w:val="00145492"/>
    <w:rsid w:val="00150D77"/>
    <w:rsid w:val="00151D81"/>
    <w:rsid w:val="001531F2"/>
    <w:rsid w:val="001542F9"/>
    <w:rsid w:val="00155A55"/>
    <w:rsid w:val="00155DA9"/>
    <w:rsid w:val="001579B5"/>
    <w:rsid w:val="001600F1"/>
    <w:rsid w:val="0016586F"/>
    <w:rsid w:val="00166850"/>
    <w:rsid w:val="001674F8"/>
    <w:rsid w:val="00167A8E"/>
    <w:rsid w:val="00170347"/>
    <w:rsid w:val="0017068D"/>
    <w:rsid w:val="0017412D"/>
    <w:rsid w:val="00180EA2"/>
    <w:rsid w:val="00181D50"/>
    <w:rsid w:val="00184172"/>
    <w:rsid w:val="00193499"/>
    <w:rsid w:val="00197377"/>
    <w:rsid w:val="00197D14"/>
    <w:rsid w:val="001A0A67"/>
    <w:rsid w:val="001A3621"/>
    <w:rsid w:val="001A6902"/>
    <w:rsid w:val="001A6C51"/>
    <w:rsid w:val="001B113A"/>
    <w:rsid w:val="001B1560"/>
    <w:rsid w:val="001C1460"/>
    <w:rsid w:val="001C23E0"/>
    <w:rsid w:val="001C29E9"/>
    <w:rsid w:val="001C3051"/>
    <w:rsid w:val="001C4ECF"/>
    <w:rsid w:val="001C6DC4"/>
    <w:rsid w:val="001D1939"/>
    <w:rsid w:val="001D24A3"/>
    <w:rsid w:val="001D4580"/>
    <w:rsid w:val="001D59C5"/>
    <w:rsid w:val="001D5D68"/>
    <w:rsid w:val="001E1B2A"/>
    <w:rsid w:val="001E1E9A"/>
    <w:rsid w:val="001E4BB8"/>
    <w:rsid w:val="001E596A"/>
    <w:rsid w:val="001E59DB"/>
    <w:rsid w:val="001E6363"/>
    <w:rsid w:val="001F0538"/>
    <w:rsid w:val="001F0F55"/>
    <w:rsid w:val="001F354F"/>
    <w:rsid w:val="001F47E6"/>
    <w:rsid w:val="001F497D"/>
    <w:rsid w:val="001F4D4C"/>
    <w:rsid w:val="001F4DB4"/>
    <w:rsid w:val="001F536F"/>
    <w:rsid w:val="001F5A76"/>
    <w:rsid w:val="001F6ABC"/>
    <w:rsid w:val="0020210B"/>
    <w:rsid w:val="00203B2E"/>
    <w:rsid w:val="00206D73"/>
    <w:rsid w:val="0020713A"/>
    <w:rsid w:val="002071C0"/>
    <w:rsid w:val="00207BD3"/>
    <w:rsid w:val="002126AA"/>
    <w:rsid w:val="00212799"/>
    <w:rsid w:val="00213CDD"/>
    <w:rsid w:val="002146A0"/>
    <w:rsid w:val="0021788A"/>
    <w:rsid w:val="002249B6"/>
    <w:rsid w:val="00224C49"/>
    <w:rsid w:val="0023090F"/>
    <w:rsid w:val="0023182A"/>
    <w:rsid w:val="0023373D"/>
    <w:rsid w:val="00234D4E"/>
    <w:rsid w:val="0023558A"/>
    <w:rsid w:val="00235A19"/>
    <w:rsid w:val="0023686F"/>
    <w:rsid w:val="00237052"/>
    <w:rsid w:val="00237669"/>
    <w:rsid w:val="002376E4"/>
    <w:rsid w:val="002430F7"/>
    <w:rsid w:val="00243FB7"/>
    <w:rsid w:val="00244074"/>
    <w:rsid w:val="00244842"/>
    <w:rsid w:val="00245562"/>
    <w:rsid w:val="00245B7E"/>
    <w:rsid w:val="00250B5E"/>
    <w:rsid w:val="00252E43"/>
    <w:rsid w:val="00254CFE"/>
    <w:rsid w:val="00257B75"/>
    <w:rsid w:val="00257D82"/>
    <w:rsid w:val="00260FC6"/>
    <w:rsid w:val="00264023"/>
    <w:rsid w:val="0026442A"/>
    <w:rsid w:val="00265740"/>
    <w:rsid w:val="00273E41"/>
    <w:rsid w:val="002744DD"/>
    <w:rsid w:val="00280192"/>
    <w:rsid w:val="002813CF"/>
    <w:rsid w:val="002853DC"/>
    <w:rsid w:val="002854A1"/>
    <w:rsid w:val="00291F9C"/>
    <w:rsid w:val="0029367B"/>
    <w:rsid w:val="002937C2"/>
    <w:rsid w:val="00297090"/>
    <w:rsid w:val="002A04C6"/>
    <w:rsid w:val="002A062B"/>
    <w:rsid w:val="002A1254"/>
    <w:rsid w:val="002A1683"/>
    <w:rsid w:val="002A2B0E"/>
    <w:rsid w:val="002A378B"/>
    <w:rsid w:val="002A7899"/>
    <w:rsid w:val="002B02E7"/>
    <w:rsid w:val="002B1173"/>
    <w:rsid w:val="002B162B"/>
    <w:rsid w:val="002B6A1F"/>
    <w:rsid w:val="002C15A7"/>
    <w:rsid w:val="002C196C"/>
    <w:rsid w:val="002C2C72"/>
    <w:rsid w:val="002C33EC"/>
    <w:rsid w:val="002C53A8"/>
    <w:rsid w:val="002C6F00"/>
    <w:rsid w:val="002C78E9"/>
    <w:rsid w:val="002D1827"/>
    <w:rsid w:val="002D1EE6"/>
    <w:rsid w:val="002D7F29"/>
    <w:rsid w:val="002E2F4A"/>
    <w:rsid w:val="002E328C"/>
    <w:rsid w:val="002E44B8"/>
    <w:rsid w:val="002E54D6"/>
    <w:rsid w:val="002E5842"/>
    <w:rsid w:val="002F0CDC"/>
    <w:rsid w:val="002F6565"/>
    <w:rsid w:val="002F7688"/>
    <w:rsid w:val="003038DD"/>
    <w:rsid w:val="00307B35"/>
    <w:rsid w:val="0031149B"/>
    <w:rsid w:val="003145E2"/>
    <w:rsid w:val="00315169"/>
    <w:rsid w:val="003178AC"/>
    <w:rsid w:val="003213C1"/>
    <w:rsid w:val="003215AC"/>
    <w:rsid w:val="00322524"/>
    <w:rsid w:val="0032439B"/>
    <w:rsid w:val="003262CF"/>
    <w:rsid w:val="00331A76"/>
    <w:rsid w:val="00332193"/>
    <w:rsid w:val="00332828"/>
    <w:rsid w:val="00337595"/>
    <w:rsid w:val="00337CCB"/>
    <w:rsid w:val="00337D05"/>
    <w:rsid w:val="00342084"/>
    <w:rsid w:val="00347CE5"/>
    <w:rsid w:val="00351AB7"/>
    <w:rsid w:val="00351E0A"/>
    <w:rsid w:val="00354277"/>
    <w:rsid w:val="00355C28"/>
    <w:rsid w:val="00357641"/>
    <w:rsid w:val="00357CEC"/>
    <w:rsid w:val="0036222A"/>
    <w:rsid w:val="003631D0"/>
    <w:rsid w:val="003633FB"/>
    <w:rsid w:val="0036426F"/>
    <w:rsid w:val="00364D4B"/>
    <w:rsid w:val="00365665"/>
    <w:rsid w:val="00377B9A"/>
    <w:rsid w:val="00377DDC"/>
    <w:rsid w:val="00380C6E"/>
    <w:rsid w:val="0038279F"/>
    <w:rsid w:val="0038293C"/>
    <w:rsid w:val="00382EF3"/>
    <w:rsid w:val="00383BA7"/>
    <w:rsid w:val="0038477D"/>
    <w:rsid w:val="00390680"/>
    <w:rsid w:val="003912AE"/>
    <w:rsid w:val="00394160"/>
    <w:rsid w:val="00396186"/>
    <w:rsid w:val="00396FE0"/>
    <w:rsid w:val="003A15CB"/>
    <w:rsid w:val="003A2CDD"/>
    <w:rsid w:val="003A4C3F"/>
    <w:rsid w:val="003A56A8"/>
    <w:rsid w:val="003A57FB"/>
    <w:rsid w:val="003A59A2"/>
    <w:rsid w:val="003A73FC"/>
    <w:rsid w:val="003B0316"/>
    <w:rsid w:val="003B2200"/>
    <w:rsid w:val="003B399F"/>
    <w:rsid w:val="003B3CDC"/>
    <w:rsid w:val="003B47E0"/>
    <w:rsid w:val="003B7770"/>
    <w:rsid w:val="003B7FDF"/>
    <w:rsid w:val="003C0460"/>
    <w:rsid w:val="003C177E"/>
    <w:rsid w:val="003C2067"/>
    <w:rsid w:val="003C2927"/>
    <w:rsid w:val="003C55A1"/>
    <w:rsid w:val="003D2523"/>
    <w:rsid w:val="003D31D4"/>
    <w:rsid w:val="003D594A"/>
    <w:rsid w:val="003D6BCD"/>
    <w:rsid w:val="003D7457"/>
    <w:rsid w:val="003D74B9"/>
    <w:rsid w:val="003E08D7"/>
    <w:rsid w:val="003E35AB"/>
    <w:rsid w:val="003F019A"/>
    <w:rsid w:val="003F32BF"/>
    <w:rsid w:val="003F3DF4"/>
    <w:rsid w:val="003F4DE0"/>
    <w:rsid w:val="003F5A34"/>
    <w:rsid w:val="003F6B70"/>
    <w:rsid w:val="003F6D28"/>
    <w:rsid w:val="00400378"/>
    <w:rsid w:val="00400FFD"/>
    <w:rsid w:val="00401A8E"/>
    <w:rsid w:val="004072A1"/>
    <w:rsid w:val="0041148D"/>
    <w:rsid w:val="00414389"/>
    <w:rsid w:val="0041485C"/>
    <w:rsid w:val="004148A2"/>
    <w:rsid w:val="00420646"/>
    <w:rsid w:val="00420D37"/>
    <w:rsid w:val="00421082"/>
    <w:rsid w:val="00422703"/>
    <w:rsid w:val="00425062"/>
    <w:rsid w:val="004320F9"/>
    <w:rsid w:val="00434965"/>
    <w:rsid w:val="00435650"/>
    <w:rsid w:val="00436821"/>
    <w:rsid w:val="00436D56"/>
    <w:rsid w:val="00437010"/>
    <w:rsid w:val="004456DB"/>
    <w:rsid w:val="00445E62"/>
    <w:rsid w:val="004575A3"/>
    <w:rsid w:val="00457F7A"/>
    <w:rsid w:val="004603ED"/>
    <w:rsid w:val="004611B7"/>
    <w:rsid w:val="00461591"/>
    <w:rsid w:val="00464302"/>
    <w:rsid w:val="0046501B"/>
    <w:rsid w:val="00465C8B"/>
    <w:rsid w:val="00467466"/>
    <w:rsid w:val="0047086B"/>
    <w:rsid w:val="00471267"/>
    <w:rsid w:val="00471CB4"/>
    <w:rsid w:val="0047313B"/>
    <w:rsid w:val="00473A6E"/>
    <w:rsid w:val="00474A78"/>
    <w:rsid w:val="0047787B"/>
    <w:rsid w:val="00480198"/>
    <w:rsid w:val="004825F2"/>
    <w:rsid w:val="00485149"/>
    <w:rsid w:val="0048561A"/>
    <w:rsid w:val="004857E6"/>
    <w:rsid w:val="00486986"/>
    <w:rsid w:val="00487A4E"/>
    <w:rsid w:val="004918DB"/>
    <w:rsid w:val="004A007F"/>
    <w:rsid w:val="004A141D"/>
    <w:rsid w:val="004A263A"/>
    <w:rsid w:val="004A2D4F"/>
    <w:rsid w:val="004A4D76"/>
    <w:rsid w:val="004A4F9C"/>
    <w:rsid w:val="004A5290"/>
    <w:rsid w:val="004A5984"/>
    <w:rsid w:val="004B20D6"/>
    <w:rsid w:val="004B29FA"/>
    <w:rsid w:val="004B307D"/>
    <w:rsid w:val="004B5CA7"/>
    <w:rsid w:val="004B7A78"/>
    <w:rsid w:val="004C12A5"/>
    <w:rsid w:val="004C3F99"/>
    <w:rsid w:val="004C4B3A"/>
    <w:rsid w:val="004D5ABB"/>
    <w:rsid w:val="004D70BB"/>
    <w:rsid w:val="004D7843"/>
    <w:rsid w:val="004E1922"/>
    <w:rsid w:val="004E28DB"/>
    <w:rsid w:val="004E44F1"/>
    <w:rsid w:val="004E4C46"/>
    <w:rsid w:val="004E6EE7"/>
    <w:rsid w:val="004F2EE8"/>
    <w:rsid w:val="004F46B2"/>
    <w:rsid w:val="004F5768"/>
    <w:rsid w:val="004F5BEA"/>
    <w:rsid w:val="0050396A"/>
    <w:rsid w:val="00515278"/>
    <w:rsid w:val="00515F32"/>
    <w:rsid w:val="0051673E"/>
    <w:rsid w:val="005251A5"/>
    <w:rsid w:val="005263A6"/>
    <w:rsid w:val="005267CB"/>
    <w:rsid w:val="0053113D"/>
    <w:rsid w:val="0053277A"/>
    <w:rsid w:val="00532B5E"/>
    <w:rsid w:val="00534126"/>
    <w:rsid w:val="005354E8"/>
    <w:rsid w:val="00543241"/>
    <w:rsid w:val="00543F99"/>
    <w:rsid w:val="00543FF1"/>
    <w:rsid w:val="00544795"/>
    <w:rsid w:val="00545F68"/>
    <w:rsid w:val="00546B89"/>
    <w:rsid w:val="00547B7A"/>
    <w:rsid w:val="00547EBC"/>
    <w:rsid w:val="00550787"/>
    <w:rsid w:val="00551D6B"/>
    <w:rsid w:val="00551F90"/>
    <w:rsid w:val="0055447B"/>
    <w:rsid w:val="00554C29"/>
    <w:rsid w:val="0055552D"/>
    <w:rsid w:val="00556C93"/>
    <w:rsid w:val="00563C81"/>
    <w:rsid w:val="0056497A"/>
    <w:rsid w:val="00565578"/>
    <w:rsid w:val="00565CEC"/>
    <w:rsid w:val="00567EAF"/>
    <w:rsid w:val="00572B30"/>
    <w:rsid w:val="00573EE1"/>
    <w:rsid w:val="00575B65"/>
    <w:rsid w:val="00577C5A"/>
    <w:rsid w:val="00577DA3"/>
    <w:rsid w:val="005808FE"/>
    <w:rsid w:val="00580CCB"/>
    <w:rsid w:val="00581DE8"/>
    <w:rsid w:val="00582D25"/>
    <w:rsid w:val="00582DB9"/>
    <w:rsid w:val="005831F7"/>
    <w:rsid w:val="0058348A"/>
    <w:rsid w:val="005856AE"/>
    <w:rsid w:val="00587E2D"/>
    <w:rsid w:val="00587E8D"/>
    <w:rsid w:val="00590CA9"/>
    <w:rsid w:val="0059219C"/>
    <w:rsid w:val="00592D7D"/>
    <w:rsid w:val="00592EBE"/>
    <w:rsid w:val="005933E3"/>
    <w:rsid w:val="00593709"/>
    <w:rsid w:val="005958E7"/>
    <w:rsid w:val="0059599E"/>
    <w:rsid w:val="00595B4E"/>
    <w:rsid w:val="00596025"/>
    <w:rsid w:val="005970ED"/>
    <w:rsid w:val="00597316"/>
    <w:rsid w:val="005A0802"/>
    <w:rsid w:val="005A38AC"/>
    <w:rsid w:val="005A6CE5"/>
    <w:rsid w:val="005A71E1"/>
    <w:rsid w:val="005B0A7D"/>
    <w:rsid w:val="005B0D8F"/>
    <w:rsid w:val="005B1D02"/>
    <w:rsid w:val="005B1F0B"/>
    <w:rsid w:val="005B38A3"/>
    <w:rsid w:val="005B4495"/>
    <w:rsid w:val="005C3021"/>
    <w:rsid w:val="005C553B"/>
    <w:rsid w:val="005C602C"/>
    <w:rsid w:val="005C638A"/>
    <w:rsid w:val="005D0E1D"/>
    <w:rsid w:val="005D1704"/>
    <w:rsid w:val="005D3D7A"/>
    <w:rsid w:val="005D475E"/>
    <w:rsid w:val="005D5B8D"/>
    <w:rsid w:val="005D6373"/>
    <w:rsid w:val="005E16AE"/>
    <w:rsid w:val="005E3323"/>
    <w:rsid w:val="005E52B2"/>
    <w:rsid w:val="005E5B90"/>
    <w:rsid w:val="005E609E"/>
    <w:rsid w:val="005F0C33"/>
    <w:rsid w:val="005F33E9"/>
    <w:rsid w:val="005F42E4"/>
    <w:rsid w:val="005F4F89"/>
    <w:rsid w:val="005F6F71"/>
    <w:rsid w:val="00602953"/>
    <w:rsid w:val="00602EFE"/>
    <w:rsid w:val="006069AC"/>
    <w:rsid w:val="00606E11"/>
    <w:rsid w:val="00610310"/>
    <w:rsid w:val="00626A51"/>
    <w:rsid w:val="00627C5C"/>
    <w:rsid w:val="00635786"/>
    <w:rsid w:val="0063655A"/>
    <w:rsid w:val="006370A1"/>
    <w:rsid w:val="0063756B"/>
    <w:rsid w:val="006411AC"/>
    <w:rsid w:val="00643BFA"/>
    <w:rsid w:val="00644C17"/>
    <w:rsid w:val="0064548F"/>
    <w:rsid w:val="0064576F"/>
    <w:rsid w:val="00646FBC"/>
    <w:rsid w:val="00646FD6"/>
    <w:rsid w:val="00647790"/>
    <w:rsid w:val="00650323"/>
    <w:rsid w:val="00650796"/>
    <w:rsid w:val="00652482"/>
    <w:rsid w:val="00657965"/>
    <w:rsid w:val="00660AD6"/>
    <w:rsid w:val="00662D03"/>
    <w:rsid w:val="00670562"/>
    <w:rsid w:val="006705BF"/>
    <w:rsid w:val="00670B5E"/>
    <w:rsid w:val="006714B7"/>
    <w:rsid w:val="00672244"/>
    <w:rsid w:val="00673C77"/>
    <w:rsid w:val="00677CBB"/>
    <w:rsid w:val="00680075"/>
    <w:rsid w:val="0068378D"/>
    <w:rsid w:val="006851A9"/>
    <w:rsid w:val="006901F2"/>
    <w:rsid w:val="006909EB"/>
    <w:rsid w:val="0069272F"/>
    <w:rsid w:val="006945B6"/>
    <w:rsid w:val="00694690"/>
    <w:rsid w:val="00695E71"/>
    <w:rsid w:val="00696927"/>
    <w:rsid w:val="00696EC0"/>
    <w:rsid w:val="006975EA"/>
    <w:rsid w:val="006A04D0"/>
    <w:rsid w:val="006A064C"/>
    <w:rsid w:val="006A165F"/>
    <w:rsid w:val="006A191E"/>
    <w:rsid w:val="006A1B14"/>
    <w:rsid w:val="006A2C2B"/>
    <w:rsid w:val="006A4917"/>
    <w:rsid w:val="006A5432"/>
    <w:rsid w:val="006A5724"/>
    <w:rsid w:val="006A67BE"/>
    <w:rsid w:val="006B0436"/>
    <w:rsid w:val="006B138C"/>
    <w:rsid w:val="006B2609"/>
    <w:rsid w:val="006B293C"/>
    <w:rsid w:val="006B2B73"/>
    <w:rsid w:val="006B39C8"/>
    <w:rsid w:val="006B770D"/>
    <w:rsid w:val="006C0BF9"/>
    <w:rsid w:val="006C3158"/>
    <w:rsid w:val="006C4537"/>
    <w:rsid w:val="006C6F24"/>
    <w:rsid w:val="006D3F1C"/>
    <w:rsid w:val="006D5895"/>
    <w:rsid w:val="006D58F2"/>
    <w:rsid w:val="006D7D09"/>
    <w:rsid w:val="006E2173"/>
    <w:rsid w:val="006E4EE3"/>
    <w:rsid w:val="006E5DFF"/>
    <w:rsid w:val="006F0FFF"/>
    <w:rsid w:val="006F1B87"/>
    <w:rsid w:val="006F3DC5"/>
    <w:rsid w:val="006F3E4A"/>
    <w:rsid w:val="006F3F03"/>
    <w:rsid w:val="006F568C"/>
    <w:rsid w:val="006F5758"/>
    <w:rsid w:val="006F5B76"/>
    <w:rsid w:val="006F645A"/>
    <w:rsid w:val="006F73CC"/>
    <w:rsid w:val="006F7E84"/>
    <w:rsid w:val="006F7EAC"/>
    <w:rsid w:val="006F7F10"/>
    <w:rsid w:val="00702E71"/>
    <w:rsid w:val="007068A0"/>
    <w:rsid w:val="007120D9"/>
    <w:rsid w:val="00713CDC"/>
    <w:rsid w:val="0071454F"/>
    <w:rsid w:val="0072048F"/>
    <w:rsid w:val="00721B2A"/>
    <w:rsid w:val="0072230D"/>
    <w:rsid w:val="00722423"/>
    <w:rsid w:val="00725B00"/>
    <w:rsid w:val="00727814"/>
    <w:rsid w:val="007301B2"/>
    <w:rsid w:val="00730E8D"/>
    <w:rsid w:val="00733BF3"/>
    <w:rsid w:val="007430A5"/>
    <w:rsid w:val="007476EA"/>
    <w:rsid w:val="007568BE"/>
    <w:rsid w:val="007576CD"/>
    <w:rsid w:val="00757E94"/>
    <w:rsid w:val="00760C77"/>
    <w:rsid w:val="00762EF2"/>
    <w:rsid w:val="00764DCB"/>
    <w:rsid w:val="00765482"/>
    <w:rsid w:val="0076725B"/>
    <w:rsid w:val="00767B55"/>
    <w:rsid w:val="007707AB"/>
    <w:rsid w:val="007727B6"/>
    <w:rsid w:val="00783C88"/>
    <w:rsid w:val="00783CD7"/>
    <w:rsid w:val="00784B77"/>
    <w:rsid w:val="00792B6C"/>
    <w:rsid w:val="007939B8"/>
    <w:rsid w:val="00795179"/>
    <w:rsid w:val="00795754"/>
    <w:rsid w:val="00797E88"/>
    <w:rsid w:val="00797EFF"/>
    <w:rsid w:val="007A1B69"/>
    <w:rsid w:val="007A1C9F"/>
    <w:rsid w:val="007A1CD5"/>
    <w:rsid w:val="007A1D6F"/>
    <w:rsid w:val="007A41A3"/>
    <w:rsid w:val="007A5254"/>
    <w:rsid w:val="007A63FB"/>
    <w:rsid w:val="007A7955"/>
    <w:rsid w:val="007A7E2F"/>
    <w:rsid w:val="007A7FE2"/>
    <w:rsid w:val="007B1E0B"/>
    <w:rsid w:val="007B4568"/>
    <w:rsid w:val="007B5ACA"/>
    <w:rsid w:val="007C3C07"/>
    <w:rsid w:val="007C600D"/>
    <w:rsid w:val="007C6708"/>
    <w:rsid w:val="007C6AE6"/>
    <w:rsid w:val="007C7E60"/>
    <w:rsid w:val="007D0A9D"/>
    <w:rsid w:val="007D2132"/>
    <w:rsid w:val="007D2630"/>
    <w:rsid w:val="007E05EB"/>
    <w:rsid w:val="007E1F82"/>
    <w:rsid w:val="007E2783"/>
    <w:rsid w:val="007E3594"/>
    <w:rsid w:val="007E6578"/>
    <w:rsid w:val="007F0AC5"/>
    <w:rsid w:val="007F16E2"/>
    <w:rsid w:val="007F1A88"/>
    <w:rsid w:val="007F2CAE"/>
    <w:rsid w:val="007F2E2F"/>
    <w:rsid w:val="007F3706"/>
    <w:rsid w:val="007F3FD6"/>
    <w:rsid w:val="007F51B2"/>
    <w:rsid w:val="007F56CE"/>
    <w:rsid w:val="00800116"/>
    <w:rsid w:val="00800C03"/>
    <w:rsid w:val="00801F49"/>
    <w:rsid w:val="00805C5F"/>
    <w:rsid w:val="008077BE"/>
    <w:rsid w:val="00810CB9"/>
    <w:rsid w:val="008136F8"/>
    <w:rsid w:val="00815E7F"/>
    <w:rsid w:val="00816D52"/>
    <w:rsid w:val="0081726B"/>
    <w:rsid w:val="008239CA"/>
    <w:rsid w:val="00824132"/>
    <w:rsid w:val="00825D93"/>
    <w:rsid w:val="00832446"/>
    <w:rsid w:val="00832B59"/>
    <w:rsid w:val="00832D87"/>
    <w:rsid w:val="00832FC4"/>
    <w:rsid w:val="00837C90"/>
    <w:rsid w:val="00840CD5"/>
    <w:rsid w:val="0084117C"/>
    <w:rsid w:val="00841F70"/>
    <w:rsid w:val="0084252C"/>
    <w:rsid w:val="00845A48"/>
    <w:rsid w:val="0084691B"/>
    <w:rsid w:val="00846A6C"/>
    <w:rsid w:val="008471C4"/>
    <w:rsid w:val="00852978"/>
    <w:rsid w:val="00854553"/>
    <w:rsid w:val="00854C64"/>
    <w:rsid w:val="00855A09"/>
    <w:rsid w:val="00855D04"/>
    <w:rsid w:val="00862257"/>
    <w:rsid w:val="00862D4D"/>
    <w:rsid w:val="008632E9"/>
    <w:rsid w:val="00863A7B"/>
    <w:rsid w:val="00867200"/>
    <w:rsid w:val="008673E6"/>
    <w:rsid w:val="00872DEF"/>
    <w:rsid w:val="008730DB"/>
    <w:rsid w:val="0087315C"/>
    <w:rsid w:val="0087375C"/>
    <w:rsid w:val="008762BA"/>
    <w:rsid w:val="00876C28"/>
    <w:rsid w:val="00881359"/>
    <w:rsid w:val="00886DAA"/>
    <w:rsid w:val="008874D5"/>
    <w:rsid w:val="00887618"/>
    <w:rsid w:val="008905E1"/>
    <w:rsid w:val="008926CD"/>
    <w:rsid w:val="00893843"/>
    <w:rsid w:val="008939CC"/>
    <w:rsid w:val="00894515"/>
    <w:rsid w:val="00895CC5"/>
    <w:rsid w:val="00895FE5"/>
    <w:rsid w:val="008979E9"/>
    <w:rsid w:val="008A3388"/>
    <w:rsid w:val="008A3420"/>
    <w:rsid w:val="008A4CEB"/>
    <w:rsid w:val="008A6FC2"/>
    <w:rsid w:val="008B00DB"/>
    <w:rsid w:val="008B33D6"/>
    <w:rsid w:val="008B4337"/>
    <w:rsid w:val="008B4690"/>
    <w:rsid w:val="008B74A4"/>
    <w:rsid w:val="008C0E3E"/>
    <w:rsid w:val="008C1C93"/>
    <w:rsid w:val="008C1D0B"/>
    <w:rsid w:val="008D55ED"/>
    <w:rsid w:val="008D57B9"/>
    <w:rsid w:val="008D6AFD"/>
    <w:rsid w:val="008D6D01"/>
    <w:rsid w:val="008D6EC7"/>
    <w:rsid w:val="008D7A13"/>
    <w:rsid w:val="008E0EB0"/>
    <w:rsid w:val="008E22D6"/>
    <w:rsid w:val="008E3590"/>
    <w:rsid w:val="008E4CED"/>
    <w:rsid w:val="008F2371"/>
    <w:rsid w:val="008F2421"/>
    <w:rsid w:val="008F2EA8"/>
    <w:rsid w:val="008F4E20"/>
    <w:rsid w:val="008F572B"/>
    <w:rsid w:val="008F5AB5"/>
    <w:rsid w:val="008F6B49"/>
    <w:rsid w:val="00901179"/>
    <w:rsid w:val="00901266"/>
    <w:rsid w:val="0090667D"/>
    <w:rsid w:val="00912124"/>
    <w:rsid w:val="009124CE"/>
    <w:rsid w:val="009143BC"/>
    <w:rsid w:val="009161A7"/>
    <w:rsid w:val="00916E71"/>
    <w:rsid w:val="00921503"/>
    <w:rsid w:val="00921F3F"/>
    <w:rsid w:val="0092449B"/>
    <w:rsid w:val="00925652"/>
    <w:rsid w:val="00925CB7"/>
    <w:rsid w:val="00930638"/>
    <w:rsid w:val="00934042"/>
    <w:rsid w:val="0093549D"/>
    <w:rsid w:val="00940186"/>
    <w:rsid w:val="00940896"/>
    <w:rsid w:val="00940DA4"/>
    <w:rsid w:val="009435AB"/>
    <w:rsid w:val="00943D8C"/>
    <w:rsid w:val="009455F8"/>
    <w:rsid w:val="009474BB"/>
    <w:rsid w:val="00947FCB"/>
    <w:rsid w:val="0095041B"/>
    <w:rsid w:val="009522F6"/>
    <w:rsid w:val="00953AF4"/>
    <w:rsid w:val="009567FD"/>
    <w:rsid w:val="00956D44"/>
    <w:rsid w:val="009574E6"/>
    <w:rsid w:val="00960571"/>
    <w:rsid w:val="00960DA1"/>
    <w:rsid w:val="0096102C"/>
    <w:rsid w:val="009611C1"/>
    <w:rsid w:val="00964D98"/>
    <w:rsid w:val="0097248E"/>
    <w:rsid w:val="00973292"/>
    <w:rsid w:val="009736E9"/>
    <w:rsid w:val="00976083"/>
    <w:rsid w:val="00980867"/>
    <w:rsid w:val="00981F49"/>
    <w:rsid w:val="0098377D"/>
    <w:rsid w:val="009841A3"/>
    <w:rsid w:val="0098486C"/>
    <w:rsid w:val="00986B58"/>
    <w:rsid w:val="00987329"/>
    <w:rsid w:val="0099052C"/>
    <w:rsid w:val="009906AF"/>
    <w:rsid w:val="00992714"/>
    <w:rsid w:val="009937F0"/>
    <w:rsid w:val="009940FE"/>
    <w:rsid w:val="009950E3"/>
    <w:rsid w:val="00996467"/>
    <w:rsid w:val="009A2CB4"/>
    <w:rsid w:val="009A5392"/>
    <w:rsid w:val="009A5FB7"/>
    <w:rsid w:val="009A6395"/>
    <w:rsid w:val="009A7F1D"/>
    <w:rsid w:val="009B0157"/>
    <w:rsid w:val="009B15DE"/>
    <w:rsid w:val="009B2964"/>
    <w:rsid w:val="009B45E0"/>
    <w:rsid w:val="009B6792"/>
    <w:rsid w:val="009C4DBA"/>
    <w:rsid w:val="009C59BD"/>
    <w:rsid w:val="009C5FDE"/>
    <w:rsid w:val="009C6610"/>
    <w:rsid w:val="009C70BB"/>
    <w:rsid w:val="009C787E"/>
    <w:rsid w:val="009D0AF5"/>
    <w:rsid w:val="009D198E"/>
    <w:rsid w:val="009D3504"/>
    <w:rsid w:val="009D6D18"/>
    <w:rsid w:val="009D756C"/>
    <w:rsid w:val="009D7D02"/>
    <w:rsid w:val="009E0746"/>
    <w:rsid w:val="009E3954"/>
    <w:rsid w:val="009E5591"/>
    <w:rsid w:val="009F599D"/>
    <w:rsid w:val="009F6415"/>
    <w:rsid w:val="009F7E38"/>
    <w:rsid w:val="00A00419"/>
    <w:rsid w:val="00A00988"/>
    <w:rsid w:val="00A02F9D"/>
    <w:rsid w:val="00A03219"/>
    <w:rsid w:val="00A07966"/>
    <w:rsid w:val="00A07D68"/>
    <w:rsid w:val="00A114EE"/>
    <w:rsid w:val="00A117AE"/>
    <w:rsid w:val="00A15A88"/>
    <w:rsid w:val="00A15D9A"/>
    <w:rsid w:val="00A167CB"/>
    <w:rsid w:val="00A17B52"/>
    <w:rsid w:val="00A21994"/>
    <w:rsid w:val="00A21D7E"/>
    <w:rsid w:val="00A236D0"/>
    <w:rsid w:val="00A25030"/>
    <w:rsid w:val="00A25A2C"/>
    <w:rsid w:val="00A25FD9"/>
    <w:rsid w:val="00A2662E"/>
    <w:rsid w:val="00A27206"/>
    <w:rsid w:val="00A272E8"/>
    <w:rsid w:val="00A27CE2"/>
    <w:rsid w:val="00A34ED5"/>
    <w:rsid w:val="00A35598"/>
    <w:rsid w:val="00A35C0D"/>
    <w:rsid w:val="00A36203"/>
    <w:rsid w:val="00A36ABD"/>
    <w:rsid w:val="00A40913"/>
    <w:rsid w:val="00A44875"/>
    <w:rsid w:val="00A452EA"/>
    <w:rsid w:val="00A4658F"/>
    <w:rsid w:val="00A519BB"/>
    <w:rsid w:val="00A52810"/>
    <w:rsid w:val="00A5506A"/>
    <w:rsid w:val="00A55C7F"/>
    <w:rsid w:val="00A560C4"/>
    <w:rsid w:val="00A60646"/>
    <w:rsid w:val="00A60648"/>
    <w:rsid w:val="00A62655"/>
    <w:rsid w:val="00A637AE"/>
    <w:rsid w:val="00A7019C"/>
    <w:rsid w:val="00A71A8C"/>
    <w:rsid w:val="00A73414"/>
    <w:rsid w:val="00A737BE"/>
    <w:rsid w:val="00A74C6F"/>
    <w:rsid w:val="00A755C3"/>
    <w:rsid w:val="00A75CB2"/>
    <w:rsid w:val="00A77EA1"/>
    <w:rsid w:val="00A802FA"/>
    <w:rsid w:val="00A82463"/>
    <w:rsid w:val="00A83824"/>
    <w:rsid w:val="00A83AF8"/>
    <w:rsid w:val="00A87F54"/>
    <w:rsid w:val="00A903CC"/>
    <w:rsid w:val="00A92057"/>
    <w:rsid w:val="00A9244C"/>
    <w:rsid w:val="00A92BC4"/>
    <w:rsid w:val="00A95CEF"/>
    <w:rsid w:val="00A97733"/>
    <w:rsid w:val="00A97E8B"/>
    <w:rsid w:val="00AA020C"/>
    <w:rsid w:val="00AA0C2D"/>
    <w:rsid w:val="00AA11EC"/>
    <w:rsid w:val="00AA3E04"/>
    <w:rsid w:val="00AA44AD"/>
    <w:rsid w:val="00AA4B79"/>
    <w:rsid w:val="00AA4D31"/>
    <w:rsid w:val="00AB117E"/>
    <w:rsid w:val="00AB245F"/>
    <w:rsid w:val="00AB41E8"/>
    <w:rsid w:val="00AB4B1A"/>
    <w:rsid w:val="00AB51BC"/>
    <w:rsid w:val="00AC18EE"/>
    <w:rsid w:val="00AC1937"/>
    <w:rsid w:val="00AC2CE2"/>
    <w:rsid w:val="00AC3705"/>
    <w:rsid w:val="00AC3CA6"/>
    <w:rsid w:val="00AC408E"/>
    <w:rsid w:val="00AC7F05"/>
    <w:rsid w:val="00AD1401"/>
    <w:rsid w:val="00AD6DFD"/>
    <w:rsid w:val="00AE05B3"/>
    <w:rsid w:val="00AE1382"/>
    <w:rsid w:val="00AE1A30"/>
    <w:rsid w:val="00AE2203"/>
    <w:rsid w:val="00AE2C1B"/>
    <w:rsid w:val="00AE4001"/>
    <w:rsid w:val="00AE5893"/>
    <w:rsid w:val="00AE6A00"/>
    <w:rsid w:val="00AE7D0B"/>
    <w:rsid w:val="00AF0C3F"/>
    <w:rsid w:val="00AF0C68"/>
    <w:rsid w:val="00AF1313"/>
    <w:rsid w:val="00AF4333"/>
    <w:rsid w:val="00AF48BD"/>
    <w:rsid w:val="00AF5703"/>
    <w:rsid w:val="00AF6503"/>
    <w:rsid w:val="00B037D0"/>
    <w:rsid w:val="00B102E4"/>
    <w:rsid w:val="00B111AD"/>
    <w:rsid w:val="00B11AA8"/>
    <w:rsid w:val="00B11DDF"/>
    <w:rsid w:val="00B11FD5"/>
    <w:rsid w:val="00B13133"/>
    <w:rsid w:val="00B13316"/>
    <w:rsid w:val="00B137A6"/>
    <w:rsid w:val="00B13E44"/>
    <w:rsid w:val="00B13FCF"/>
    <w:rsid w:val="00B14781"/>
    <w:rsid w:val="00B15C35"/>
    <w:rsid w:val="00B20AD0"/>
    <w:rsid w:val="00B224D1"/>
    <w:rsid w:val="00B226F2"/>
    <w:rsid w:val="00B2490F"/>
    <w:rsid w:val="00B24D0F"/>
    <w:rsid w:val="00B25B49"/>
    <w:rsid w:val="00B26198"/>
    <w:rsid w:val="00B311FF"/>
    <w:rsid w:val="00B318AC"/>
    <w:rsid w:val="00B327A0"/>
    <w:rsid w:val="00B32A07"/>
    <w:rsid w:val="00B32A14"/>
    <w:rsid w:val="00B336A2"/>
    <w:rsid w:val="00B338B2"/>
    <w:rsid w:val="00B34B98"/>
    <w:rsid w:val="00B35B74"/>
    <w:rsid w:val="00B35BBE"/>
    <w:rsid w:val="00B42347"/>
    <w:rsid w:val="00B42BE6"/>
    <w:rsid w:val="00B47521"/>
    <w:rsid w:val="00B511C9"/>
    <w:rsid w:val="00B5367C"/>
    <w:rsid w:val="00B56B2A"/>
    <w:rsid w:val="00B60799"/>
    <w:rsid w:val="00B65064"/>
    <w:rsid w:val="00B71C55"/>
    <w:rsid w:val="00B7495A"/>
    <w:rsid w:val="00B7654B"/>
    <w:rsid w:val="00B821FD"/>
    <w:rsid w:val="00B84510"/>
    <w:rsid w:val="00B85100"/>
    <w:rsid w:val="00B86258"/>
    <w:rsid w:val="00B86C86"/>
    <w:rsid w:val="00B8704E"/>
    <w:rsid w:val="00B90794"/>
    <w:rsid w:val="00B90ABA"/>
    <w:rsid w:val="00B913CA"/>
    <w:rsid w:val="00B92017"/>
    <w:rsid w:val="00B935E6"/>
    <w:rsid w:val="00B957DC"/>
    <w:rsid w:val="00B95F8D"/>
    <w:rsid w:val="00BA00A8"/>
    <w:rsid w:val="00BA0D20"/>
    <w:rsid w:val="00BA0F78"/>
    <w:rsid w:val="00BA1259"/>
    <w:rsid w:val="00BA2278"/>
    <w:rsid w:val="00BA240D"/>
    <w:rsid w:val="00BA4620"/>
    <w:rsid w:val="00BA5398"/>
    <w:rsid w:val="00BB16B5"/>
    <w:rsid w:val="00BB2AC6"/>
    <w:rsid w:val="00BB455A"/>
    <w:rsid w:val="00BB525D"/>
    <w:rsid w:val="00BB7057"/>
    <w:rsid w:val="00BC1E32"/>
    <w:rsid w:val="00BC5C24"/>
    <w:rsid w:val="00BC5E59"/>
    <w:rsid w:val="00BC7579"/>
    <w:rsid w:val="00BC76D1"/>
    <w:rsid w:val="00BC7A14"/>
    <w:rsid w:val="00BD0D41"/>
    <w:rsid w:val="00BD36CB"/>
    <w:rsid w:val="00BD51C7"/>
    <w:rsid w:val="00BD584F"/>
    <w:rsid w:val="00BD5BCF"/>
    <w:rsid w:val="00BE245A"/>
    <w:rsid w:val="00BE6F66"/>
    <w:rsid w:val="00BF31CA"/>
    <w:rsid w:val="00BF3327"/>
    <w:rsid w:val="00BF3641"/>
    <w:rsid w:val="00BF4252"/>
    <w:rsid w:val="00BF5199"/>
    <w:rsid w:val="00BF5C41"/>
    <w:rsid w:val="00BF6C69"/>
    <w:rsid w:val="00BF7E01"/>
    <w:rsid w:val="00BF7F52"/>
    <w:rsid w:val="00C04011"/>
    <w:rsid w:val="00C10065"/>
    <w:rsid w:val="00C1236F"/>
    <w:rsid w:val="00C12F10"/>
    <w:rsid w:val="00C16B9C"/>
    <w:rsid w:val="00C2111F"/>
    <w:rsid w:val="00C2171D"/>
    <w:rsid w:val="00C227C2"/>
    <w:rsid w:val="00C26B76"/>
    <w:rsid w:val="00C27962"/>
    <w:rsid w:val="00C3144F"/>
    <w:rsid w:val="00C32938"/>
    <w:rsid w:val="00C330C0"/>
    <w:rsid w:val="00C35AE5"/>
    <w:rsid w:val="00C42428"/>
    <w:rsid w:val="00C43137"/>
    <w:rsid w:val="00C43EAE"/>
    <w:rsid w:val="00C43F5D"/>
    <w:rsid w:val="00C45E14"/>
    <w:rsid w:val="00C47D6B"/>
    <w:rsid w:val="00C509FE"/>
    <w:rsid w:val="00C510C1"/>
    <w:rsid w:val="00C52ADD"/>
    <w:rsid w:val="00C52E3A"/>
    <w:rsid w:val="00C53191"/>
    <w:rsid w:val="00C53491"/>
    <w:rsid w:val="00C53721"/>
    <w:rsid w:val="00C53D2D"/>
    <w:rsid w:val="00C54580"/>
    <w:rsid w:val="00C54D58"/>
    <w:rsid w:val="00C60F62"/>
    <w:rsid w:val="00C65BB2"/>
    <w:rsid w:val="00C66397"/>
    <w:rsid w:val="00C6658C"/>
    <w:rsid w:val="00C67F53"/>
    <w:rsid w:val="00C730EB"/>
    <w:rsid w:val="00C73919"/>
    <w:rsid w:val="00C73D5A"/>
    <w:rsid w:val="00C74E87"/>
    <w:rsid w:val="00C760E1"/>
    <w:rsid w:val="00C774A6"/>
    <w:rsid w:val="00C82D4F"/>
    <w:rsid w:val="00C851E1"/>
    <w:rsid w:val="00C85E93"/>
    <w:rsid w:val="00C86B80"/>
    <w:rsid w:val="00C8776D"/>
    <w:rsid w:val="00C87F0E"/>
    <w:rsid w:val="00C903EA"/>
    <w:rsid w:val="00C91D70"/>
    <w:rsid w:val="00CA08DD"/>
    <w:rsid w:val="00CA107B"/>
    <w:rsid w:val="00CA19F8"/>
    <w:rsid w:val="00CA2519"/>
    <w:rsid w:val="00CB0C63"/>
    <w:rsid w:val="00CB18E2"/>
    <w:rsid w:val="00CB468A"/>
    <w:rsid w:val="00CC0826"/>
    <w:rsid w:val="00CC15ED"/>
    <w:rsid w:val="00CC2E56"/>
    <w:rsid w:val="00CC30D5"/>
    <w:rsid w:val="00CC65D9"/>
    <w:rsid w:val="00CD00E5"/>
    <w:rsid w:val="00CD0E20"/>
    <w:rsid w:val="00CD3CD3"/>
    <w:rsid w:val="00CD4183"/>
    <w:rsid w:val="00CD4A66"/>
    <w:rsid w:val="00CD7BDF"/>
    <w:rsid w:val="00CD7C40"/>
    <w:rsid w:val="00CE07A3"/>
    <w:rsid w:val="00CE1330"/>
    <w:rsid w:val="00CE1D3E"/>
    <w:rsid w:val="00CE25C4"/>
    <w:rsid w:val="00CE43EA"/>
    <w:rsid w:val="00CE69BC"/>
    <w:rsid w:val="00CE6C11"/>
    <w:rsid w:val="00D02342"/>
    <w:rsid w:val="00D04706"/>
    <w:rsid w:val="00D0486C"/>
    <w:rsid w:val="00D04DCB"/>
    <w:rsid w:val="00D05406"/>
    <w:rsid w:val="00D076E3"/>
    <w:rsid w:val="00D07E4E"/>
    <w:rsid w:val="00D163E3"/>
    <w:rsid w:val="00D17F20"/>
    <w:rsid w:val="00D22F49"/>
    <w:rsid w:val="00D23DF5"/>
    <w:rsid w:val="00D23FAC"/>
    <w:rsid w:val="00D25CC6"/>
    <w:rsid w:val="00D27D9E"/>
    <w:rsid w:val="00D31995"/>
    <w:rsid w:val="00D325F4"/>
    <w:rsid w:val="00D33AAA"/>
    <w:rsid w:val="00D356B3"/>
    <w:rsid w:val="00D364EE"/>
    <w:rsid w:val="00D36AC4"/>
    <w:rsid w:val="00D36C10"/>
    <w:rsid w:val="00D36C9F"/>
    <w:rsid w:val="00D4023C"/>
    <w:rsid w:val="00D40D7C"/>
    <w:rsid w:val="00D415A2"/>
    <w:rsid w:val="00D42557"/>
    <w:rsid w:val="00D4342B"/>
    <w:rsid w:val="00D43C95"/>
    <w:rsid w:val="00D46D9F"/>
    <w:rsid w:val="00D506A1"/>
    <w:rsid w:val="00D51035"/>
    <w:rsid w:val="00D5135D"/>
    <w:rsid w:val="00D51BFE"/>
    <w:rsid w:val="00D52577"/>
    <w:rsid w:val="00D60F4E"/>
    <w:rsid w:val="00D70E15"/>
    <w:rsid w:val="00D70E96"/>
    <w:rsid w:val="00D71A51"/>
    <w:rsid w:val="00D720CD"/>
    <w:rsid w:val="00D72B6E"/>
    <w:rsid w:val="00D73B14"/>
    <w:rsid w:val="00D73F20"/>
    <w:rsid w:val="00D76157"/>
    <w:rsid w:val="00D81A9B"/>
    <w:rsid w:val="00D8223B"/>
    <w:rsid w:val="00D84A40"/>
    <w:rsid w:val="00D906D7"/>
    <w:rsid w:val="00D919F6"/>
    <w:rsid w:val="00D926BF"/>
    <w:rsid w:val="00D948E6"/>
    <w:rsid w:val="00D95C37"/>
    <w:rsid w:val="00D973DD"/>
    <w:rsid w:val="00DA0363"/>
    <w:rsid w:val="00DA0C2C"/>
    <w:rsid w:val="00DA19F0"/>
    <w:rsid w:val="00DA1B9E"/>
    <w:rsid w:val="00DA266B"/>
    <w:rsid w:val="00DA3E9C"/>
    <w:rsid w:val="00DA4441"/>
    <w:rsid w:val="00DA4F85"/>
    <w:rsid w:val="00DA5F9D"/>
    <w:rsid w:val="00DA6528"/>
    <w:rsid w:val="00DB05EE"/>
    <w:rsid w:val="00DB0E13"/>
    <w:rsid w:val="00DB17EB"/>
    <w:rsid w:val="00DB1984"/>
    <w:rsid w:val="00DB1D74"/>
    <w:rsid w:val="00DB46FA"/>
    <w:rsid w:val="00DB4FC3"/>
    <w:rsid w:val="00DB51AD"/>
    <w:rsid w:val="00DB5A01"/>
    <w:rsid w:val="00DB64CC"/>
    <w:rsid w:val="00DB7690"/>
    <w:rsid w:val="00DC046D"/>
    <w:rsid w:val="00DC087E"/>
    <w:rsid w:val="00DC094A"/>
    <w:rsid w:val="00DC1316"/>
    <w:rsid w:val="00DC1EF5"/>
    <w:rsid w:val="00DC41B5"/>
    <w:rsid w:val="00DC5F2B"/>
    <w:rsid w:val="00DD15EC"/>
    <w:rsid w:val="00DD4291"/>
    <w:rsid w:val="00DD4443"/>
    <w:rsid w:val="00DD4906"/>
    <w:rsid w:val="00DD7E67"/>
    <w:rsid w:val="00DE04E7"/>
    <w:rsid w:val="00DE0C06"/>
    <w:rsid w:val="00DE0CA2"/>
    <w:rsid w:val="00DE41C6"/>
    <w:rsid w:val="00DE47F4"/>
    <w:rsid w:val="00DE64A6"/>
    <w:rsid w:val="00DE66FF"/>
    <w:rsid w:val="00DE6C25"/>
    <w:rsid w:val="00DE6DB8"/>
    <w:rsid w:val="00DF0250"/>
    <w:rsid w:val="00DF14E5"/>
    <w:rsid w:val="00DF26A9"/>
    <w:rsid w:val="00DF2936"/>
    <w:rsid w:val="00DF2B4D"/>
    <w:rsid w:val="00E019AE"/>
    <w:rsid w:val="00E01CB7"/>
    <w:rsid w:val="00E023AA"/>
    <w:rsid w:val="00E02EE6"/>
    <w:rsid w:val="00E03E21"/>
    <w:rsid w:val="00E0659F"/>
    <w:rsid w:val="00E07E34"/>
    <w:rsid w:val="00E1069A"/>
    <w:rsid w:val="00E10E8E"/>
    <w:rsid w:val="00E1285C"/>
    <w:rsid w:val="00E132C2"/>
    <w:rsid w:val="00E2035F"/>
    <w:rsid w:val="00E20798"/>
    <w:rsid w:val="00E21BCD"/>
    <w:rsid w:val="00E2288B"/>
    <w:rsid w:val="00E25DA5"/>
    <w:rsid w:val="00E27515"/>
    <w:rsid w:val="00E33782"/>
    <w:rsid w:val="00E345AF"/>
    <w:rsid w:val="00E35706"/>
    <w:rsid w:val="00E40D7A"/>
    <w:rsid w:val="00E417D5"/>
    <w:rsid w:val="00E41AB3"/>
    <w:rsid w:val="00E42EA6"/>
    <w:rsid w:val="00E4479B"/>
    <w:rsid w:val="00E44F30"/>
    <w:rsid w:val="00E45F9E"/>
    <w:rsid w:val="00E46066"/>
    <w:rsid w:val="00E465AC"/>
    <w:rsid w:val="00E46AE2"/>
    <w:rsid w:val="00E51C57"/>
    <w:rsid w:val="00E53893"/>
    <w:rsid w:val="00E54804"/>
    <w:rsid w:val="00E55F31"/>
    <w:rsid w:val="00E5700B"/>
    <w:rsid w:val="00E60CAF"/>
    <w:rsid w:val="00E6160B"/>
    <w:rsid w:val="00E61B62"/>
    <w:rsid w:val="00E64E9E"/>
    <w:rsid w:val="00E65911"/>
    <w:rsid w:val="00E6683C"/>
    <w:rsid w:val="00E66A39"/>
    <w:rsid w:val="00E67B18"/>
    <w:rsid w:val="00E70B52"/>
    <w:rsid w:val="00E70E9B"/>
    <w:rsid w:val="00E71023"/>
    <w:rsid w:val="00E72EE5"/>
    <w:rsid w:val="00E73FD1"/>
    <w:rsid w:val="00E76CE4"/>
    <w:rsid w:val="00E81DC9"/>
    <w:rsid w:val="00E84BF8"/>
    <w:rsid w:val="00E85C13"/>
    <w:rsid w:val="00E85F02"/>
    <w:rsid w:val="00E86071"/>
    <w:rsid w:val="00E86D3B"/>
    <w:rsid w:val="00E87D1E"/>
    <w:rsid w:val="00E9078A"/>
    <w:rsid w:val="00E95359"/>
    <w:rsid w:val="00E97328"/>
    <w:rsid w:val="00EA23EA"/>
    <w:rsid w:val="00EA241E"/>
    <w:rsid w:val="00EA4A87"/>
    <w:rsid w:val="00EB0807"/>
    <w:rsid w:val="00EB1217"/>
    <w:rsid w:val="00EB39A5"/>
    <w:rsid w:val="00EB481F"/>
    <w:rsid w:val="00EB6B06"/>
    <w:rsid w:val="00EC071E"/>
    <w:rsid w:val="00EC0895"/>
    <w:rsid w:val="00EC2410"/>
    <w:rsid w:val="00EC2525"/>
    <w:rsid w:val="00EC32F0"/>
    <w:rsid w:val="00EC342F"/>
    <w:rsid w:val="00EC362C"/>
    <w:rsid w:val="00EC6415"/>
    <w:rsid w:val="00ED01FC"/>
    <w:rsid w:val="00ED28F0"/>
    <w:rsid w:val="00ED367C"/>
    <w:rsid w:val="00ED59D6"/>
    <w:rsid w:val="00ED7407"/>
    <w:rsid w:val="00ED763C"/>
    <w:rsid w:val="00EE477D"/>
    <w:rsid w:val="00EE48B6"/>
    <w:rsid w:val="00EE5558"/>
    <w:rsid w:val="00EE6984"/>
    <w:rsid w:val="00EE7C98"/>
    <w:rsid w:val="00EF11AA"/>
    <w:rsid w:val="00F01A8C"/>
    <w:rsid w:val="00F01ADD"/>
    <w:rsid w:val="00F027E0"/>
    <w:rsid w:val="00F04D74"/>
    <w:rsid w:val="00F06DC9"/>
    <w:rsid w:val="00F1144D"/>
    <w:rsid w:val="00F124F3"/>
    <w:rsid w:val="00F12CAF"/>
    <w:rsid w:val="00F13DDD"/>
    <w:rsid w:val="00F175EA"/>
    <w:rsid w:val="00F232F9"/>
    <w:rsid w:val="00F24D06"/>
    <w:rsid w:val="00F2553E"/>
    <w:rsid w:val="00F25DA0"/>
    <w:rsid w:val="00F3154F"/>
    <w:rsid w:val="00F33154"/>
    <w:rsid w:val="00F3592F"/>
    <w:rsid w:val="00F40590"/>
    <w:rsid w:val="00F40C37"/>
    <w:rsid w:val="00F410FC"/>
    <w:rsid w:val="00F442D7"/>
    <w:rsid w:val="00F460BC"/>
    <w:rsid w:val="00F47178"/>
    <w:rsid w:val="00F50A57"/>
    <w:rsid w:val="00F50C11"/>
    <w:rsid w:val="00F5494F"/>
    <w:rsid w:val="00F556F0"/>
    <w:rsid w:val="00F5767C"/>
    <w:rsid w:val="00F60C68"/>
    <w:rsid w:val="00F60D9B"/>
    <w:rsid w:val="00F638EA"/>
    <w:rsid w:val="00F670BE"/>
    <w:rsid w:val="00F74536"/>
    <w:rsid w:val="00F754CF"/>
    <w:rsid w:val="00F77107"/>
    <w:rsid w:val="00F80533"/>
    <w:rsid w:val="00F832EB"/>
    <w:rsid w:val="00F84A9D"/>
    <w:rsid w:val="00F852B6"/>
    <w:rsid w:val="00F85680"/>
    <w:rsid w:val="00F85C94"/>
    <w:rsid w:val="00F85D06"/>
    <w:rsid w:val="00F868A9"/>
    <w:rsid w:val="00F87250"/>
    <w:rsid w:val="00F91A5E"/>
    <w:rsid w:val="00F92F32"/>
    <w:rsid w:val="00F94D84"/>
    <w:rsid w:val="00FA0987"/>
    <w:rsid w:val="00FA1C59"/>
    <w:rsid w:val="00FA5F6D"/>
    <w:rsid w:val="00FA5FD1"/>
    <w:rsid w:val="00FA765B"/>
    <w:rsid w:val="00FA7790"/>
    <w:rsid w:val="00FA7C45"/>
    <w:rsid w:val="00FB1452"/>
    <w:rsid w:val="00FB2DEA"/>
    <w:rsid w:val="00FB382A"/>
    <w:rsid w:val="00FB5796"/>
    <w:rsid w:val="00FB65A5"/>
    <w:rsid w:val="00FB78C2"/>
    <w:rsid w:val="00FC10B4"/>
    <w:rsid w:val="00FC142B"/>
    <w:rsid w:val="00FC2C65"/>
    <w:rsid w:val="00FC2D4A"/>
    <w:rsid w:val="00FC314C"/>
    <w:rsid w:val="00FC3BB9"/>
    <w:rsid w:val="00FC4286"/>
    <w:rsid w:val="00FC4AEF"/>
    <w:rsid w:val="00FC5F24"/>
    <w:rsid w:val="00FD01E9"/>
    <w:rsid w:val="00FD2159"/>
    <w:rsid w:val="00FD334E"/>
    <w:rsid w:val="00FE0734"/>
    <w:rsid w:val="00FE4895"/>
    <w:rsid w:val="00FE765E"/>
    <w:rsid w:val="00FF1EF2"/>
    <w:rsid w:val="00FF201C"/>
    <w:rsid w:val="00FF2975"/>
    <w:rsid w:val="00FF29F4"/>
    <w:rsid w:val="00FF3216"/>
    <w:rsid w:val="00FF3F47"/>
    <w:rsid w:val="00FF565D"/>
    <w:rsid w:val="00FF623C"/>
    <w:rsid w:val="2599B3B5"/>
    <w:rsid w:val="4080F590"/>
    <w:rsid w:val="50C999CB"/>
    <w:rsid w:val="5FB86A6A"/>
    <w:rsid w:val="6FA40049"/>
    <w:rsid w:val="756FE8F6"/>
    <w:rsid w:val="7D25F2A8"/>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E50D82"/>
  <w15:chartTrackingRefBased/>
  <w15:docId w15:val="{CA05D378-0D78-43E6-A948-894F106ADD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280" w:line="247"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unhideWhenUsed="1"/>
    <w:lsdException w:name="footer" w:semiHidden="1" w:unhideWhenUsed="1"/>
    <w:lsdException w:name="index heading" w:semiHidden="1"/>
    <w:lsdException w:name="caption"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10" w:qFormat="1"/>
    <w:lsdException w:name="Closing" w:semiHidden="1"/>
    <w:lsdException w:name="Signature" w:semiHidden="1"/>
    <w:lsdException w:name="Default Paragraph Font" w:semiHidden="1" w:uiPriority="1" w:unhideWhenUsed="1"/>
    <w:lsdException w:name="Body Text" w:semiHidden="1" w:uiPriority="5"/>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latentStyles>
  <w:style w:type="paragraph" w:default="1" w:styleId="Normal">
    <w:name w:val="Normal"/>
    <w:qFormat/>
    <w:rsid w:val="00B11AA8"/>
  </w:style>
  <w:style w:type="paragraph" w:styleId="Overskrift1">
    <w:name w:val="heading 1"/>
    <w:basedOn w:val="Normal"/>
    <w:next w:val="Normal"/>
    <w:link w:val="Overskrift1Tegn"/>
    <w:uiPriority w:val="9"/>
    <w:qFormat/>
    <w:rsid w:val="00193499"/>
    <w:pPr>
      <w:keepNext/>
      <w:keepLines/>
      <w:numPr>
        <w:numId w:val="1"/>
      </w:numPr>
      <w:spacing w:before="400" w:afterLines="70" w:after="70" w:line="240" w:lineRule="auto"/>
      <w:ind w:left="0" w:firstLine="0"/>
      <w:outlineLvl w:val="0"/>
    </w:pPr>
    <w:rPr>
      <w:rFonts w:asciiTheme="majorHAnsi" w:eastAsiaTheme="majorEastAsia" w:hAnsiTheme="majorHAnsi" w:cstheme="majorBidi"/>
      <w:b/>
      <w:bCs/>
      <w:sz w:val="32"/>
      <w:szCs w:val="32"/>
    </w:rPr>
  </w:style>
  <w:style w:type="paragraph" w:styleId="Overskrift2">
    <w:name w:val="heading 2"/>
    <w:basedOn w:val="Normal"/>
    <w:next w:val="Normal"/>
    <w:link w:val="Overskrift2Tegn"/>
    <w:uiPriority w:val="9"/>
    <w:qFormat/>
    <w:rsid w:val="00193499"/>
    <w:pPr>
      <w:keepNext/>
      <w:keepLines/>
      <w:numPr>
        <w:ilvl w:val="1"/>
        <w:numId w:val="1"/>
      </w:numPr>
      <w:spacing w:before="40" w:afterLines="70" w:after="168"/>
      <w:outlineLvl w:val="1"/>
    </w:pPr>
    <w:rPr>
      <w:rFonts w:asciiTheme="majorHAnsi" w:eastAsiaTheme="majorEastAsia" w:hAnsiTheme="majorHAnsi" w:cstheme="majorBidi"/>
      <w:sz w:val="28"/>
      <w:szCs w:val="28"/>
    </w:rPr>
  </w:style>
  <w:style w:type="paragraph" w:styleId="Overskrift3">
    <w:name w:val="heading 3"/>
    <w:basedOn w:val="Normal"/>
    <w:next w:val="Normal"/>
    <w:link w:val="Overskrift3Tegn"/>
    <w:uiPriority w:val="9"/>
    <w:qFormat/>
    <w:rsid w:val="00193499"/>
    <w:pPr>
      <w:keepNext/>
      <w:keepLines/>
      <w:numPr>
        <w:ilvl w:val="2"/>
        <w:numId w:val="1"/>
      </w:numPr>
      <w:spacing w:beforeLines="120" w:before="288" w:after="0"/>
      <w:outlineLvl w:val="2"/>
    </w:pPr>
    <w:rPr>
      <w:rFonts w:asciiTheme="majorHAnsi" w:eastAsiaTheme="majorEastAsia" w:hAnsiTheme="majorHAnsi" w:cstheme="majorBidi"/>
      <w:b/>
      <w:bCs/>
      <w:szCs w:val="24"/>
    </w:rPr>
  </w:style>
  <w:style w:type="paragraph" w:styleId="Overskrift4">
    <w:name w:val="heading 4"/>
    <w:basedOn w:val="Normal"/>
    <w:next w:val="Normal"/>
    <w:link w:val="Overskrift4Tegn"/>
    <w:uiPriority w:val="9"/>
    <w:semiHidden/>
    <w:qFormat/>
    <w:rsid w:val="00FC314C"/>
    <w:pPr>
      <w:keepNext/>
      <w:keepLines/>
      <w:numPr>
        <w:ilvl w:val="3"/>
        <w:numId w:val="1"/>
      </w:numPr>
      <w:spacing w:before="40" w:after="0"/>
      <w:outlineLvl w:val="3"/>
    </w:pPr>
    <w:rPr>
      <w:rFonts w:asciiTheme="majorHAnsi" w:eastAsiaTheme="majorEastAsia" w:hAnsiTheme="majorHAnsi" w:cstheme="majorBidi"/>
      <w:i/>
      <w:iCs/>
      <w:color w:val="BA1551" w:themeColor="accent1" w:themeShade="BF"/>
    </w:rPr>
  </w:style>
  <w:style w:type="paragraph" w:styleId="Overskrift5">
    <w:name w:val="heading 5"/>
    <w:basedOn w:val="Normal"/>
    <w:next w:val="Normal"/>
    <w:link w:val="Overskrift5Tegn"/>
    <w:uiPriority w:val="9"/>
    <w:semiHidden/>
    <w:qFormat/>
    <w:rsid w:val="00FC314C"/>
    <w:pPr>
      <w:keepNext/>
      <w:keepLines/>
      <w:numPr>
        <w:ilvl w:val="4"/>
        <w:numId w:val="1"/>
      </w:numPr>
      <w:spacing w:before="40" w:after="0"/>
      <w:outlineLvl w:val="4"/>
    </w:pPr>
    <w:rPr>
      <w:rFonts w:asciiTheme="majorHAnsi" w:eastAsiaTheme="majorEastAsia" w:hAnsiTheme="majorHAnsi" w:cstheme="majorBidi"/>
      <w:color w:val="BA1551" w:themeColor="accent1" w:themeShade="BF"/>
    </w:rPr>
  </w:style>
  <w:style w:type="paragraph" w:styleId="Overskrift6">
    <w:name w:val="heading 6"/>
    <w:basedOn w:val="Normal"/>
    <w:next w:val="Normal"/>
    <w:link w:val="Overskrift6Tegn"/>
    <w:uiPriority w:val="9"/>
    <w:semiHidden/>
    <w:qFormat/>
    <w:rsid w:val="00FC314C"/>
    <w:pPr>
      <w:keepNext/>
      <w:keepLines/>
      <w:numPr>
        <w:ilvl w:val="5"/>
        <w:numId w:val="1"/>
      </w:numPr>
      <w:spacing w:before="40" w:after="0"/>
      <w:outlineLvl w:val="5"/>
    </w:pPr>
    <w:rPr>
      <w:rFonts w:asciiTheme="majorHAnsi" w:eastAsiaTheme="majorEastAsia" w:hAnsiTheme="majorHAnsi" w:cstheme="majorBidi"/>
      <w:color w:val="7C0E35" w:themeColor="accent1" w:themeShade="7F"/>
    </w:rPr>
  </w:style>
  <w:style w:type="paragraph" w:styleId="Overskrift7">
    <w:name w:val="heading 7"/>
    <w:basedOn w:val="Normal"/>
    <w:next w:val="Normal"/>
    <w:link w:val="Overskrift7Tegn"/>
    <w:uiPriority w:val="9"/>
    <w:semiHidden/>
    <w:qFormat/>
    <w:rsid w:val="00FC314C"/>
    <w:pPr>
      <w:keepNext/>
      <w:keepLines/>
      <w:numPr>
        <w:ilvl w:val="6"/>
        <w:numId w:val="1"/>
      </w:numPr>
      <w:spacing w:before="40" w:after="0"/>
      <w:outlineLvl w:val="6"/>
    </w:pPr>
    <w:rPr>
      <w:rFonts w:asciiTheme="majorHAnsi" w:eastAsiaTheme="majorEastAsia" w:hAnsiTheme="majorHAnsi" w:cstheme="majorBidi"/>
      <w:i/>
      <w:iCs/>
      <w:color w:val="7C0E35" w:themeColor="accent1" w:themeShade="7F"/>
    </w:rPr>
  </w:style>
  <w:style w:type="paragraph" w:styleId="Overskrift8">
    <w:name w:val="heading 8"/>
    <w:basedOn w:val="Normal"/>
    <w:next w:val="Normal"/>
    <w:link w:val="Overskrift8Tegn"/>
    <w:uiPriority w:val="9"/>
    <w:semiHidden/>
    <w:qFormat/>
    <w:rsid w:val="00FC314C"/>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Overskrift9">
    <w:name w:val="heading 9"/>
    <w:basedOn w:val="Normal"/>
    <w:next w:val="Normal"/>
    <w:link w:val="Overskrift9Tegn"/>
    <w:uiPriority w:val="9"/>
    <w:semiHidden/>
    <w:qFormat/>
    <w:rsid w:val="00FC314C"/>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ittel">
    <w:name w:val="Title"/>
    <w:basedOn w:val="Normal"/>
    <w:next w:val="Normal"/>
    <w:link w:val="TittelTegn"/>
    <w:uiPriority w:val="10"/>
    <w:qFormat/>
    <w:rsid w:val="007F1A88"/>
    <w:pPr>
      <w:spacing w:after="0" w:line="209" w:lineRule="auto"/>
      <w:contextualSpacing/>
    </w:pPr>
    <w:rPr>
      <w:rFonts w:asciiTheme="majorHAnsi" w:eastAsiaTheme="majorEastAsia" w:hAnsiTheme="majorHAnsi" w:cstheme="majorBidi"/>
      <w:b/>
      <w:kern w:val="28"/>
      <w:sz w:val="56"/>
      <w:szCs w:val="56"/>
    </w:rPr>
  </w:style>
  <w:style w:type="character" w:customStyle="1" w:styleId="TittelTegn">
    <w:name w:val="Tittel Tegn"/>
    <w:basedOn w:val="Standardskriftforavsnitt"/>
    <w:link w:val="Tittel"/>
    <w:uiPriority w:val="10"/>
    <w:rsid w:val="00FB5796"/>
    <w:rPr>
      <w:rFonts w:asciiTheme="majorHAnsi" w:eastAsiaTheme="majorEastAsia" w:hAnsiTheme="majorHAnsi" w:cstheme="majorBidi"/>
      <w:b/>
      <w:kern w:val="28"/>
      <w:sz w:val="56"/>
      <w:szCs w:val="56"/>
    </w:rPr>
  </w:style>
  <w:style w:type="paragraph" w:styleId="Undertittel">
    <w:name w:val="Subtitle"/>
    <w:basedOn w:val="Normal"/>
    <w:next w:val="Normal"/>
    <w:link w:val="UndertittelTegn"/>
    <w:uiPriority w:val="11"/>
    <w:qFormat/>
    <w:rsid w:val="007F1A88"/>
    <w:pPr>
      <w:numPr>
        <w:ilvl w:val="1"/>
      </w:numPr>
      <w:spacing w:after="0" w:line="240" w:lineRule="auto"/>
    </w:pPr>
    <w:rPr>
      <w:rFonts w:eastAsiaTheme="minorEastAsia"/>
      <w:color w:val="FF3399"/>
      <w:sz w:val="32"/>
      <w:szCs w:val="32"/>
    </w:rPr>
  </w:style>
  <w:style w:type="character" w:customStyle="1" w:styleId="UndertittelTegn">
    <w:name w:val="Undertittel Tegn"/>
    <w:basedOn w:val="Standardskriftforavsnitt"/>
    <w:link w:val="Undertittel"/>
    <w:uiPriority w:val="11"/>
    <w:rsid w:val="00FB5796"/>
    <w:rPr>
      <w:rFonts w:eastAsiaTheme="minorEastAsia"/>
      <w:color w:val="FF3399"/>
      <w:sz w:val="32"/>
      <w:szCs w:val="32"/>
    </w:rPr>
  </w:style>
  <w:style w:type="character" w:customStyle="1" w:styleId="Overskrift1Tegn">
    <w:name w:val="Overskrift 1 Tegn"/>
    <w:basedOn w:val="Standardskriftforavsnitt"/>
    <w:link w:val="Overskrift1"/>
    <w:uiPriority w:val="9"/>
    <w:rsid w:val="00193499"/>
    <w:rPr>
      <w:rFonts w:asciiTheme="majorHAnsi" w:eastAsiaTheme="majorEastAsia" w:hAnsiTheme="majorHAnsi" w:cstheme="majorBidi"/>
      <w:b/>
      <w:bCs/>
      <w:sz w:val="32"/>
      <w:szCs w:val="32"/>
    </w:rPr>
  </w:style>
  <w:style w:type="character" w:customStyle="1" w:styleId="Overskrift2Tegn">
    <w:name w:val="Overskrift 2 Tegn"/>
    <w:basedOn w:val="Standardskriftforavsnitt"/>
    <w:link w:val="Overskrift2"/>
    <w:uiPriority w:val="9"/>
    <w:rsid w:val="00193499"/>
    <w:rPr>
      <w:rFonts w:asciiTheme="majorHAnsi" w:eastAsiaTheme="majorEastAsia" w:hAnsiTheme="majorHAnsi" w:cstheme="majorBidi"/>
      <w:sz w:val="28"/>
      <w:szCs w:val="28"/>
    </w:rPr>
  </w:style>
  <w:style w:type="character" w:customStyle="1" w:styleId="Overskrift3Tegn">
    <w:name w:val="Overskrift 3 Tegn"/>
    <w:basedOn w:val="Standardskriftforavsnitt"/>
    <w:link w:val="Overskrift3"/>
    <w:uiPriority w:val="9"/>
    <w:rsid w:val="00193499"/>
    <w:rPr>
      <w:rFonts w:asciiTheme="majorHAnsi" w:eastAsiaTheme="majorEastAsia" w:hAnsiTheme="majorHAnsi" w:cstheme="majorBidi"/>
      <w:b/>
      <w:bCs/>
      <w:szCs w:val="24"/>
    </w:rPr>
  </w:style>
  <w:style w:type="paragraph" w:styleId="Topptekst">
    <w:name w:val="header"/>
    <w:basedOn w:val="Normal"/>
    <w:link w:val="TopptekstTegn"/>
    <w:uiPriority w:val="99"/>
    <w:rsid w:val="00976083"/>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FB5796"/>
  </w:style>
  <w:style w:type="paragraph" w:styleId="Bunntekst">
    <w:name w:val="footer"/>
    <w:basedOn w:val="Normal"/>
    <w:link w:val="BunntekstTegn"/>
    <w:uiPriority w:val="99"/>
    <w:semiHidden/>
    <w:rsid w:val="00976083"/>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semiHidden/>
    <w:rsid w:val="00FB5796"/>
  </w:style>
  <w:style w:type="character" w:styleId="Plassholdertekst">
    <w:name w:val="Placeholder Text"/>
    <w:basedOn w:val="Standardskriftforavsnitt"/>
    <w:uiPriority w:val="99"/>
    <w:semiHidden/>
    <w:rsid w:val="00976083"/>
    <w:rPr>
      <w:color w:val="666666"/>
    </w:rPr>
  </w:style>
  <w:style w:type="paragraph" w:styleId="Bildetekst">
    <w:name w:val="caption"/>
    <w:basedOn w:val="Normal"/>
    <w:next w:val="Normal"/>
    <w:uiPriority w:val="35"/>
    <w:qFormat/>
    <w:rsid w:val="00155A55"/>
    <w:pPr>
      <w:spacing w:after="120" w:line="240" w:lineRule="auto"/>
    </w:pPr>
    <w:rPr>
      <w:iCs/>
      <w:color w:val="000000" w:themeColor="text1"/>
      <w:szCs w:val="18"/>
    </w:rPr>
  </w:style>
  <w:style w:type="table" w:styleId="Tabellrutenett">
    <w:name w:val="Table Grid"/>
    <w:basedOn w:val="Vanligtabell"/>
    <w:uiPriority w:val="39"/>
    <w:rsid w:val="00694690"/>
    <w:pPr>
      <w:spacing w:after="0" w:line="240" w:lineRule="auto"/>
    </w:pPr>
    <w:rPr>
      <w:rFonts w:eastAsiaTheme="minorEastAsia"/>
      <w:sz w:val="20"/>
      <w:lang w:val="nn-N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verskrift4Tegn">
    <w:name w:val="Overskrift 4 Tegn"/>
    <w:basedOn w:val="Standardskriftforavsnitt"/>
    <w:link w:val="Overskrift4"/>
    <w:uiPriority w:val="9"/>
    <w:semiHidden/>
    <w:rsid w:val="00FB5796"/>
    <w:rPr>
      <w:rFonts w:asciiTheme="majorHAnsi" w:eastAsiaTheme="majorEastAsia" w:hAnsiTheme="majorHAnsi" w:cstheme="majorBidi"/>
      <w:i/>
      <w:iCs/>
      <w:color w:val="BA1551" w:themeColor="accent1" w:themeShade="BF"/>
    </w:rPr>
  </w:style>
  <w:style w:type="character" w:customStyle="1" w:styleId="Overskrift5Tegn">
    <w:name w:val="Overskrift 5 Tegn"/>
    <w:basedOn w:val="Standardskriftforavsnitt"/>
    <w:link w:val="Overskrift5"/>
    <w:uiPriority w:val="9"/>
    <w:semiHidden/>
    <w:rsid w:val="00FB5796"/>
    <w:rPr>
      <w:rFonts w:asciiTheme="majorHAnsi" w:eastAsiaTheme="majorEastAsia" w:hAnsiTheme="majorHAnsi" w:cstheme="majorBidi"/>
      <w:color w:val="BA1551" w:themeColor="accent1" w:themeShade="BF"/>
    </w:rPr>
  </w:style>
  <w:style w:type="character" w:customStyle="1" w:styleId="Overskrift6Tegn">
    <w:name w:val="Overskrift 6 Tegn"/>
    <w:basedOn w:val="Standardskriftforavsnitt"/>
    <w:link w:val="Overskrift6"/>
    <w:uiPriority w:val="9"/>
    <w:semiHidden/>
    <w:rsid w:val="00FB5796"/>
    <w:rPr>
      <w:rFonts w:asciiTheme="majorHAnsi" w:eastAsiaTheme="majorEastAsia" w:hAnsiTheme="majorHAnsi" w:cstheme="majorBidi"/>
      <w:color w:val="7C0E35" w:themeColor="accent1" w:themeShade="7F"/>
    </w:rPr>
  </w:style>
  <w:style w:type="character" w:customStyle="1" w:styleId="Overskrift7Tegn">
    <w:name w:val="Overskrift 7 Tegn"/>
    <w:basedOn w:val="Standardskriftforavsnitt"/>
    <w:link w:val="Overskrift7"/>
    <w:uiPriority w:val="9"/>
    <w:semiHidden/>
    <w:rsid w:val="00FB5796"/>
    <w:rPr>
      <w:rFonts w:asciiTheme="majorHAnsi" w:eastAsiaTheme="majorEastAsia" w:hAnsiTheme="majorHAnsi" w:cstheme="majorBidi"/>
      <w:i/>
      <w:iCs/>
      <w:color w:val="7C0E35" w:themeColor="accent1" w:themeShade="7F"/>
    </w:rPr>
  </w:style>
  <w:style w:type="character" w:customStyle="1" w:styleId="Overskrift8Tegn">
    <w:name w:val="Overskrift 8 Tegn"/>
    <w:basedOn w:val="Standardskriftforavsnitt"/>
    <w:link w:val="Overskrift8"/>
    <w:uiPriority w:val="9"/>
    <w:semiHidden/>
    <w:rsid w:val="00FB5796"/>
    <w:rPr>
      <w:rFonts w:asciiTheme="majorHAnsi" w:eastAsiaTheme="majorEastAsia" w:hAnsiTheme="majorHAnsi" w:cstheme="majorBidi"/>
      <w:color w:val="272727" w:themeColor="text1" w:themeTint="D8"/>
      <w:sz w:val="21"/>
      <w:szCs w:val="21"/>
    </w:rPr>
  </w:style>
  <w:style w:type="character" w:customStyle="1" w:styleId="Overskrift9Tegn">
    <w:name w:val="Overskrift 9 Tegn"/>
    <w:basedOn w:val="Standardskriftforavsnitt"/>
    <w:link w:val="Overskrift9"/>
    <w:uiPriority w:val="9"/>
    <w:semiHidden/>
    <w:rsid w:val="00FB5796"/>
    <w:rPr>
      <w:rFonts w:asciiTheme="majorHAnsi" w:eastAsiaTheme="majorEastAsia" w:hAnsiTheme="majorHAnsi" w:cstheme="majorBidi"/>
      <w:i/>
      <w:iCs/>
      <w:color w:val="272727" w:themeColor="text1" w:themeTint="D8"/>
      <w:sz w:val="21"/>
      <w:szCs w:val="21"/>
    </w:rPr>
  </w:style>
  <w:style w:type="table" w:styleId="Vanligtabell3">
    <w:name w:val="Plain Table 3"/>
    <w:basedOn w:val="Vanligtabell"/>
    <w:uiPriority w:val="43"/>
    <w:rsid w:val="006909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Rutenettabell1lys">
    <w:name w:val="Grid Table 1 Light"/>
    <w:basedOn w:val="Vanligtabell"/>
    <w:uiPriority w:val="46"/>
    <w:rsid w:val="00AF4333"/>
    <w:pPr>
      <w:spacing w:before="100" w:beforeAutospacing="1" w:after="100" w:afterAutospacing="1" w:line="240" w:lineRule="exact"/>
    </w:pPr>
    <w:rPr>
      <w:sz w:val="16"/>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left w:w="68" w:type="dxa"/>
        <w:right w:w="68" w:type="dxa"/>
      </w:tblCellMar>
    </w:tblPr>
    <w:tblStylePr w:type="firstRow">
      <w:rPr>
        <w:b/>
        <w:bCs/>
      </w:rPr>
      <w:tblPr/>
      <w:tcPr>
        <w:tcBorders>
          <w:bottom w:val="single" w:sz="12" w:space="0" w:color="666666" w:themeColor="text1" w:themeTint="99"/>
        </w:tcBorders>
      </w:tcPr>
    </w:tblStylePr>
    <w:tblStylePr w:type="lastRow">
      <w:rPr>
        <w:b/>
        <w:bCs/>
      </w:rPr>
      <w:tblPr/>
      <w:tcPr>
        <w:shd w:val="clear" w:color="auto" w:fill="E7E6E6" w:themeFill="background2"/>
      </w:tcPr>
    </w:tblStylePr>
    <w:tblStylePr w:type="firstCol">
      <w:rPr>
        <w:b/>
        <w:bCs/>
      </w:rPr>
    </w:tblStylePr>
    <w:tblStylePr w:type="lastCol">
      <w:rPr>
        <w:b/>
        <w:bCs/>
      </w:rPr>
    </w:tblStylePr>
  </w:style>
  <w:style w:type="table" w:styleId="Rutenettabell4uthevingsfarge2">
    <w:name w:val="Grid Table 4 Accent 2"/>
    <w:basedOn w:val="Vanligtabell"/>
    <w:uiPriority w:val="49"/>
    <w:rsid w:val="006909EB"/>
    <w:pPr>
      <w:spacing w:after="0" w:line="240" w:lineRule="auto"/>
    </w:pPr>
    <w:tblPr>
      <w:tblStyleRowBandSize w:val="1"/>
      <w:tblStyleColBandSize w:val="1"/>
      <w:tblBorders>
        <w:top w:val="single" w:sz="4" w:space="0" w:color="2D5CFF" w:themeColor="accent2" w:themeTint="99"/>
        <w:left w:val="single" w:sz="4" w:space="0" w:color="2D5CFF" w:themeColor="accent2" w:themeTint="99"/>
        <w:bottom w:val="single" w:sz="4" w:space="0" w:color="2D5CFF" w:themeColor="accent2" w:themeTint="99"/>
        <w:right w:val="single" w:sz="4" w:space="0" w:color="2D5CFF" w:themeColor="accent2" w:themeTint="99"/>
        <w:insideH w:val="single" w:sz="4" w:space="0" w:color="2D5CFF" w:themeColor="accent2" w:themeTint="99"/>
        <w:insideV w:val="single" w:sz="4" w:space="0" w:color="2D5CFF" w:themeColor="accent2" w:themeTint="99"/>
      </w:tblBorders>
    </w:tblPr>
    <w:tblStylePr w:type="firstRow">
      <w:rPr>
        <w:b/>
        <w:bCs/>
        <w:color w:val="FFFFFF" w:themeColor="background1"/>
      </w:rPr>
      <w:tblPr/>
      <w:tcPr>
        <w:tcBorders>
          <w:top w:val="single" w:sz="4" w:space="0" w:color="0025A0" w:themeColor="accent2"/>
          <w:left w:val="single" w:sz="4" w:space="0" w:color="0025A0" w:themeColor="accent2"/>
          <w:bottom w:val="single" w:sz="4" w:space="0" w:color="0025A0" w:themeColor="accent2"/>
          <w:right w:val="single" w:sz="4" w:space="0" w:color="0025A0" w:themeColor="accent2"/>
          <w:insideH w:val="nil"/>
          <w:insideV w:val="nil"/>
        </w:tcBorders>
        <w:shd w:val="clear" w:color="auto" w:fill="0025A0" w:themeFill="accent2"/>
      </w:tcPr>
    </w:tblStylePr>
    <w:tblStylePr w:type="lastRow">
      <w:rPr>
        <w:b/>
        <w:bCs/>
      </w:rPr>
      <w:tblPr/>
      <w:tcPr>
        <w:tcBorders>
          <w:top w:val="double" w:sz="4" w:space="0" w:color="0025A0" w:themeColor="accent2"/>
        </w:tcBorders>
      </w:tcPr>
    </w:tblStylePr>
    <w:tblStylePr w:type="firstCol">
      <w:rPr>
        <w:b/>
        <w:bCs/>
      </w:rPr>
    </w:tblStylePr>
    <w:tblStylePr w:type="lastCol">
      <w:rPr>
        <w:b/>
        <w:bCs/>
      </w:rPr>
    </w:tblStylePr>
    <w:tblStylePr w:type="band1Vert">
      <w:tblPr/>
      <w:tcPr>
        <w:shd w:val="clear" w:color="auto" w:fill="B9C8FF" w:themeFill="accent2" w:themeFillTint="33"/>
      </w:tcPr>
    </w:tblStylePr>
    <w:tblStylePr w:type="band1Horz">
      <w:tblPr/>
      <w:tcPr>
        <w:shd w:val="clear" w:color="auto" w:fill="B9C8FF" w:themeFill="accent2" w:themeFillTint="33"/>
      </w:tcPr>
    </w:tblStylePr>
  </w:style>
  <w:style w:type="paragraph" w:styleId="Overskriftforinnholdsfortegnelse">
    <w:name w:val="TOC Heading"/>
    <w:basedOn w:val="Overskrift1"/>
    <w:next w:val="Normal"/>
    <w:uiPriority w:val="39"/>
    <w:qFormat/>
    <w:rsid w:val="00390680"/>
    <w:pPr>
      <w:numPr>
        <w:numId w:val="0"/>
      </w:numPr>
      <w:spacing w:before="240" w:afterLines="0" w:after="240" w:line="259" w:lineRule="auto"/>
      <w:outlineLvl w:val="9"/>
    </w:pPr>
    <w:rPr>
      <w:b w:val="0"/>
      <w:bCs w:val="0"/>
      <w:color w:val="000000" w:themeColor="text1"/>
      <w:sz w:val="28"/>
      <w:lang w:eastAsia="nb-NO"/>
    </w:rPr>
  </w:style>
  <w:style w:type="paragraph" w:styleId="INNH2">
    <w:name w:val="toc 2"/>
    <w:basedOn w:val="Normal"/>
    <w:next w:val="Normal"/>
    <w:autoRedefine/>
    <w:uiPriority w:val="39"/>
    <w:rsid w:val="006909EB"/>
    <w:pPr>
      <w:spacing w:after="100"/>
      <w:ind w:left="220"/>
    </w:pPr>
    <w:rPr>
      <w:sz w:val="20"/>
    </w:rPr>
  </w:style>
  <w:style w:type="paragraph" w:styleId="INNH1">
    <w:name w:val="toc 1"/>
    <w:basedOn w:val="Normal"/>
    <w:next w:val="Normal"/>
    <w:autoRedefine/>
    <w:uiPriority w:val="39"/>
    <w:rsid w:val="006909EB"/>
    <w:pPr>
      <w:spacing w:after="100"/>
    </w:pPr>
    <w:rPr>
      <w:sz w:val="20"/>
    </w:rPr>
  </w:style>
  <w:style w:type="paragraph" w:styleId="INNH3">
    <w:name w:val="toc 3"/>
    <w:basedOn w:val="Normal"/>
    <w:next w:val="Normal"/>
    <w:autoRedefine/>
    <w:uiPriority w:val="39"/>
    <w:rsid w:val="006909EB"/>
    <w:pPr>
      <w:spacing w:after="100"/>
      <w:ind w:left="440"/>
    </w:pPr>
    <w:rPr>
      <w:sz w:val="20"/>
    </w:rPr>
  </w:style>
  <w:style w:type="character" w:styleId="Hyperkobling">
    <w:name w:val="Hyperlink"/>
    <w:basedOn w:val="Standardskriftforavsnitt"/>
    <w:uiPriority w:val="99"/>
    <w:rsid w:val="006909EB"/>
    <w:rPr>
      <w:color w:val="0563C1" w:themeColor="hyperlink"/>
      <w:u w:val="single"/>
    </w:rPr>
  </w:style>
  <w:style w:type="paragraph" w:styleId="Figurliste">
    <w:name w:val="table of figures"/>
    <w:basedOn w:val="Normal"/>
    <w:next w:val="Normal"/>
    <w:uiPriority w:val="99"/>
    <w:rsid w:val="002E5842"/>
    <w:pPr>
      <w:pBdr>
        <w:top w:val="dashSmallGap" w:sz="4" w:space="1" w:color="auto"/>
        <w:bottom w:val="dashSmallGap" w:sz="4" w:space="1" w:color="auto"/>
      </w:pBdr>
      <w:spacing w:after="0" w:line="240" w:lineRule="auto"/>
    </w:pPr>
    <w:rPr>
      <w:rFonts w:asciiTheme="majorHAnsi" w:eastAsia="Times New Roman" w:hAnsiTheme="majorHAnsi" w:cs="Times New Roman"/>
      <w:sz w:val="18"/>
      <w:szCs w:val="24"/>
    </w:rPr>
  </w:style>
  <w:style w:type="paragraph" w:customStyle="1" w:styleId="uNummerertH2">
    <w:name w:val="uNummerert H2"/>
    <w:basedOn w:val="Normal"/>
    <w:semiHidden/>
    <w:rsid w:val="00FB5796"/>
    <w:pPr>
      <w:spacing w:after="330" w:line="480" w:lineRule="exact"/>
    </w:pPr>
    <w:rPr>
      <w:rFonts w:ascii="Verdana" w:eastAsia="Times New Roman" w:hAnsi="Verdana" w:cs="Arial"/>
      <w:bCs/>
      <w:kern w:val="32"/>
      <w:sz w:val="48"/>
      <w:szCs w:val="32"/>
    </w:rPr>
  </w:style>
  <w:style w:type="paragraph" w:styleId="Brdtekst">
    <w:name w:val="Body Text"/>
    <w:basedOn w:val="Normal"/>
    <w:link w:val="BrdtekstTegn"/>
    <w:uiPriority w:val="5"/>
    <w:rsid w:val="00FB5796"/>
    <w:pPr>
      <w:spacing w:after="0"/>
    </w:pPr>
    <w:rPr>
      <w:rFonts w:ascii="Verdana" w:eastAsia="Times New Roman" w:hAnsi="Verdana" w:cs="Times New Roman"/>
      <w:sz w:val="19"/>
      <w:szCs w:val="24"/>
    </w:rPr>
  </w:style>
  <w:style w:type="character" w:customStyle="1" w:styleId="BrdtekstTegn">
    <w:name w:val="Brødtekst Tegn"/>
    <w:basedOn w:val="Standardskriftforavsnitt"/>
    <w:link w:val="Brdtekst"/>
    <w:uiPriority w:val="5"/>
    <w:rsid w:val="00FB5796"/>
    <w:rPr>
      <w:rFonts w:ascii="Verdana" w:eastAsia="Times New Roman" w:hAnsi="Verdana" w:cs="Times New Roman"/>
      <w:sz w:val="19"/>
      <w:szCs w:val="24"/>
    </w:rPr>
  </w:style>
  <w:style w:type="table" w:styleId="Listetabell4uthevingsfarge2">
    <w:name w:val="List Table 4 Accent 2"/>
    <w:basedOn w:val="Vanligtabell"/>
    <w:uiPriority w:val="49"/>
    <w:rsid w:val="00694690"/>
    <w:pPr>
      <w:spacing w:after="0" w:line="240" w:lineRule="auto"/>
    </w:pPr>
    <w:tblPr>
      <w:tblStyleRowBandSize w:val="1"/>
      <w:tblStyleColBandSize w:val="1"/>
      <w:tblBorders>
        <w:top w:val="single" w:sz="4" w:space="0" w:color="2D5CFF" w:themeColor="accent2" w:themeTint="99"/>
        <w:left w:val="single" w:sz="4" w:space="0" w:color="2D5CFF" w:themeColor="accent2" w:themeTint="99"/>
        <w:bottom w:val="single" w:sz="4" w:space="0" w:color="2D5CFF" w:themeColor="accent2" w:themeTint="99"/>
        <w:right w:val="single" w:sz="4" w:space="0" w:color="2D5CFF" w:themeColor="accent2" w:themeTint="99"/>
        <w:insideH w:val="single" w:sz="4" w:space="0" w:color="2D5CFF" w:themeColor="accent2" w:themeTint="99"/>
      </w:tblBorders>
    </w:tblPr>
    <w:tblStylePr w:type="firstRow">
      <w:rPr>
        <w:b/>
        <w:bCs/>
        <w:color w:val="FFFFFF" w:themeColor="background1"/>
      </w:rPr>
      <w:tblPr/>
      <w:tcPr>
        <w:tcBorders>
          <w:top w:val="single" w:sz="4" w:space="0" w:color="0025A0" w:themeColor="accent2"/>
          <w:left w:val="single" w:sz="4" w:space="0" w:color="0025A0" w:themeColor="accent2"/>
          <w:bottom w:val="single" w:sz="4" w:space="0" w:color="0025A0" w:themeColor="accent2"/>
          <w:right w:val="single" w:sz="4" w:space="0" w:color="0025A0" w:themeColor="accent2"/>
          <w:insideH w:val="nil"/>
        </w:tcBorders>
        <w:shd w:val="clear" w:color="auto" w:fill="0025A0" w:themeFill="accent2"/>
      </w:tcPr>
    </w:tblStylePr>
    <w:tblStylePr w:type="lastRow">
      <w:rPr>
        <w:b/>
        <w:bCs/>
      </w:rPr>
      <w:tblPr/>
      <w:tcPr>
        <w:tcBorders>
          <w:top w:val="double" w:sz="4" w:space="0" w:color="2D5CFF" w:themeColor="accent2" w:themeTint="99"/>
        </w:tcBorders>
      </w:tcPr>
    </w:tblStylePr>
    <w:tblStylePr w:type="firstCol">
      <w:rPr>
        <w:b/>
        <w:bCs/>
      </w:rPr>
    </w:tblStylePr>
    <w:tblStylePr w:type="lastCol">
      <w:rPr>
        <w:b/>
        <w:bCs/>
      </w:rPr>
    </w:tblStylePr>
    <w:tblStylePr w:type="band1Vert">
      <w:tblPr/>
      <w:tcPr>
        <w:shd w:val="clear" w:color="auto" w:fill="B9C8FF" w:themeFill="accent2" w:themeFillTint="33"/>
      </w:tcPr>
    </w:tblStylePr>
    <w:tblStylePr w:type="band1Horz">
      <w:tblPr/>
      <w:tcPr>
        <w:shd w:val="clear" w:color="auto" w:fill="B9C8FF" w:themeFill="accent2" w:themeFillTint="33"/>
      </w:tcPr>
    </w:tblStylePr>
  </w:style>
  <w:style w:type="table" w:styleId="Rutenettabell1lysuthevingsfarge5">
    <w:name w:val="Grid Table 1 Light Accent 5"/>
    <w:basedOn w:val="Vanligtabell"/>
    <w:uiPriority w:val="46"/>
    <w:rsid w:val="00694690"/>
    <w:pPr>
      <w:spacing w:after="0" w:line="240" w:lineRule="auto"/>
    </w:pPr>
    <w:tblPr>
      <w:tblStyleRowBandSize w:val="1"/>
      <w:tblStyleColBandSize w:val="1"/>
      <w:tblBorders>
        <w:top w:val="single" w:sz="4" w:space="0" w:color="FFD0B3" w:themeColor="accent5" w:themeTint="66"/>
        <w:left w:val="single" w:sz="4" w:space="0" w:color="FFD0B3" w:themeColor="accent5" w:themeTint="66"/>
        <w:bottom w:val="single" w:sz="4" w:space="0" w:color="FFD0B3" w:themeColor="accent5" w:themeTint="66"/>
        <w:right w:val="single" w:sz="4" w:space="0" w:color="FFD0B3" w:themeColor="accent5" w:themeTint="66"/>
        <w:insideH w:val="single" w:sz="4" w:space="0" w:color="FFD0B3" w:themeColor="accent5" w:themeTint="66"/>
        <w:insideV w:val="single" w:sz="4" w:space="0" w:color="FFD0B3" w:themeColor="accent5" w:themeTint="66"/>
      </w:tblBorders>
    </w:tblPr>
    <w:tblStylePr w:type="firstRow">
      <w:rPr>
        <w:b/>
        <w:bCs/>
      </w:rPr>
      <w:tblPr/>
      <w:tcPr>
        <w:tcBorders>
          <w:bottom w:val="single" w:sz="12" w:space="0" w:color="FFB98E" w:themeColor="accent5" w:themeTint="99"/>
        </w:tcBorders>
      </w:tcPr>
    </w:tblStylePr>
    <w:tblStylePr w:type="lastRow">
      <w:rPr>
        <w:b/>
        <w:bCs/>
      </w:rPr>
      <w:tblPr/>
      <w:tcPr>
        <w:tcBorders>
          <w:top w:val="double" w:sz="2" w:space="0" w:color="FFB98E" w:themeColor="accent5" w:themeTint="99"/>
        </w:tcBorders>
      </w:tcPr>
    </w:tblStylePr>
    <w:tblStylePr w:type="firstCol">
      <w:rPr>
        <w:b/>
        <w:bCs/>
      </w:rPr>
    </w:tblStylePr>
    <w:tblStylePr w:type="lastCol">
      <w:rPr>
        <w:b/>
        <w:bCs/>
      </w:rPr>
    </w:tblStylePr>
  </w:style>
  <w:style w:type="paragraph" w:customStyle="1" w:styleId="Tabelltekst">
    <w:name w:val="Tabelltekst"/>
    <w:basedOn w:val="Normal"/>
    <w:qFormat/>
    <w:rsid w:val="00436D56"/>
    <w:pPr>
      <w:spacing w:after="0" w:line="240" w:lineRule="auto"/>
    </w:pPr>
    <w:rPr>
      <w:sz w:val="20"/>
    </w:rPr>
  </w:style>
  <w:style w:type="paragraph" w:customStyle="1" w:styleId="Merknad">
    <w:name w:val="Merknad"/>
    <w:basedOn w:val="Normal"/>
    <w:uiPriority w:val="22"/>
    <w:qFormat/>
    <w:rsid w:val="00065C49"/>
    <w:pPr>
      <w:spacing w:before="160"/>
    </w:pPr>
    <w:rPr>
      <w:sz w:val="18"/>
    </w:rPr>
  </w:style>
  <w:style w:type="paragraph" w:customStyle="1" w:styleId="Litteratur">
    <w:name w:val="Litteratur"/>
    <w:basedOn w:val="Normal"/>
    <w:uiPriority w:val="22"/>
    <w:qFormat/>
    <w:rsid w:val="00B13E44"/>
    <w:pPr>
      <w:ind w:left="357" w:hanging="357"/>
    </w:pPr>
    <w:rPr>
      <w:sz w:val="18"/>
      <w:lang w:eastAsia="nb-NO"/>
    </w:rPr>
  </w:style>
  <w:style w:type="table" w:styleId="Rutenettabell1lysuthevingsfarge6">
    <w:name w:val="Grid Table 1 Light Accent 6"/>
    <w:basedOn w:val="Vanligtabell"/>
    <w:uiPriority w:val="46"/>
    <w:rsid w:val="00EC342F"/>
    <w:pPr>
      <w:spacing w:after="0" w:line="240" w:lineRule="auto"/>
    </w:pPr>
    <w:rPr>
      <w:kern w:val="2"/>
      <w14:ligatures w14:val="standardContextual"/>
    </w:rPr>
    <w:tblPr>
      <w:tblStyleRowBandSize w:val="1"/>
      <w:tblStyleColBandSize w:val="1"/>
      <w:tblBorders>
        <w:top w:val="single" w:sz="4" w:space="0" w:color="FF76A2" w:themeColor="accent6" w:themeTint="66"/>
        <w:left w:val="single" w:sz="4" w:space="0" w:color="FF76A2" w:themeColor="accent6" w:themeTint="66"/>
        <w:bottom w:val="single" w:sz="4" w:space="0" w:color="FF76A2" w:themeColor="accent6" w:themeTint="66"/>
        <w:right w:val="single" w:sz="4" w:space="0" w:color="FF76A2" w:themeColor="accent6" w:themeTint="66"/>
        <w:insideH w:val="single" w:sz="4" w:space="0" w:color="FF76A2" w:themeColor="accent6" w:themeTint="66"/>
        <w:insideV w:val="single" w:sz="4" w:space="0" w:color="FF76A2" w:themeColor="accent6" w:themeTint="66"/>
      </w:tblBorders>
    </w:tblPr>
    <w:tblStylePr w:type="firstRow">
      <w:rPr>
        <w:b/>
        <w:bCs/>
      </w:rPr>
      <w:tblPr/>
      <w:tcPr>
        <w:tcBorders>
          <w:bottom w:val="single" w:sz="12" w:space="0" w:color="FF3174" w:themeColor="accent6" w:themeTint="99"/>
        </w:tcBorders>
      </w:tcPr>
    </w:tblStylePr>
    <w:tblStylePr w:type="lastRow">
      <w:rPr>
        <w:b/>
        <w:bCs/>
      </w:rPr>
      <w:tblPr/>
      <w:tcPr>
        <w:tcBorders>
          <w:top w:val="double" w:sz="2" w:space="0" w:color="FF3174" w:themeColor="accent6" w:themeTint="99"/>
        </w:tcBorders>
      </w:tcPr>
    </w:tblStylePr>
    <w:tblStylePr w:type="firstCol">
      <w:rPr>
        <w:b/>
        <w:bCs/>
      </w:rPr>
    </w:tblStylePr>
    <w:tblStylePr w:type="lastCol">
      <w:rPr>
        <w:b/>
        <w:bCs/>
      </w:rPr>
    </w:tblStylePr>
  </w:style>
  <w:style w:type="table" w:styleId="Rutenettabell5mrkuthevingsfarge2">
    <w:name w:val="Grid Table 5 Dark Accent 2"/>
    <w:basedOn w:val="Vanligtabell"/>
    <w:uiPriority w:val="50"/>
    <w:rsid w:val="00EC342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9C8FF"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25A0"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25A0"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25A0"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25A0" w:themeFill="accent2"/>
      </w:tcPr>
    </w:tblStylePr>
    <w:tblStylePr w:type="band1Vert">
      <w:tblPr/>
      <w:tcPr>
        <w:shd w:val="clear" w:color="auto" w:fill="7392FF" w:themeFill="accent2" w:themeFillTint="66"/>
      </w:tcPr>
    </w:tblStylePr>
    <w:tblStylePr w:type="band1Horz">
      <w:tblPr/>
      <w:tcPr>
        <w:shd w:val="clear" w:color="auto" w:fill="7392FF" w:themeFill="accent2" w:themeFillTint="66"/>
      </w:tcPr>
    </w:tblStylePr>
  </w:style>
  <w:style w:type="table" w:styleId="Listetabell3uthevingsfarge2">
    <w:name w:val="List Table 3 Accent 2"/>
    <w:basedOn w:val="Vanligtabell"/>
    <w:uiPriority w:val="48"/>
    <w:rsid w:val="00EC342F"/>
    <w:pPr>
      <w:spacing w:after="0" w:line="240" w:lineRule="auto"/>
    </w:pPr>
    <w:tblPr>
      <w:tblStyleRowBandSize w:val="1"/>
      <w:tblStyleColBandSize w:val="1"/>
      <w:tblBorders>
        <w:top w:val="single" w:sz="4" w:space="0" w:color="0025A0" w:themeColor="accent2"/>
        <w:left w:val="single" w:sz="4" w:space="0" w:color="0025A0" w:themeColor="accent2"/>
        <w:bottom w:val="single" w:sz="4" w:space="0" w:color="0025A0" w:themeColor="accent2"/>
        <w:right w:val="single" w:sz="4" w:space="0" w:color="0025A0" w:themeColor="accent2"/>
      </w:tblBorders>
    </w:tblPr>
    <w:tblStylePr w:type="firstRow">
      <w:rPr>
        <w:b/>
        <w:bCs/>
        <w:color w:val="FFFFFF" w:themeColor="background1"/>
      </w:rPr>
      <w:tblPr/>
      <w:tcPr>
        <w:shd w:val="clear" w:color="auto" w:fill="0025A0" w:themeFill="accent2"/>
      </w:tcPr>
    </w:tblStylePr>
    <w:tblStylePr w:type="lastRow">
      <w:rPr>
        <w:b/>
        <w:bCs/>
      </w:rPr>
      <w:tblPr/>
      <w:tcPr>
        <w:tcBorders>
          <w:top w:val="double" w:sz="4" w:space="0" w:color="0025A0"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5A0" w:themeColor="accent2"/>
          <w:right w:val="single" w:sz="4" w:space="0" w:color="0025A0" w:themeColor="accent2"/>
        </w:tcBorders>
      </w:tcPr>
    </w:tblStylePr>
    <w:tblStylePr w:type="band1Horz">
      <w:tblPr/>
      <w:tcPr>
        <w:tcBorders>
          <w:top w:val="single" w:sz="4" w:space="0" w:color="0025A0" w:themeColor="accent2"/>
          <w:bottom w:val="single" w:sz="4" w:space="0" w:color="0025A0"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5A0" w:themeColor="accent2"/>
          <w:left w:val="nil"/>
        </w:tcBorders>
      </w:tcPr>
    </w:tblStylePr>
    <w:tblStylePr w:type="swCell">
      <w:tblPr/>
      <w:tcPr>
        <w:tcBorders>
          <w:top w:val="double" w:sz="4" w:space="0" w:color="0025A0" w:themeColor="accent2"/>
          <w:right w:val="nil"/>
        </w:tcBorders>
      </w:tcPr>
    </w:tblStylePr>
  </w:style>
  <w:style w:type="table" w:styleId="Listetabell3uthevingsfarge5">
    <w:name w:val="List Table 3 Accent 5"/>
    <w:basedOn w:val="Vanligtabell"/>
    <w:uiPriority w:val="48"/>
    <w:rsid w:val="00EC342F"/>
    <w:pPr>
      <w:spacing w:after="0" w:line="240" w:lineRule="auto"/>
    </w:pPr>
    <w:tblPr>
      <w:tblStyleRowBandSize w:val="1"/>
      <w:tblStyleColBandSize w:val="1"/>
      <w:tblBorders>
        <w:top w:val="single" w:sz="4" w:space="0" w:color="FF8C43" w:themeColor="accent5"/>
        <w:left w:val="single" w:sz="4" w:space="0" w:color="FF8C43" w:themeColor="accent5"/>
        <w:bottom w:val="single" w:sz="4" w:space="0" w:color="FF8C43" w:themeColor="accent5"/>
        <w:right w:val="single" w:sz="4" w:space="0" w:color="FF8C43" w:themeColor="accent5"/>
      </w:tblBorders>
    </w:tblPr>
    <w:tblStylePr w:type="firstRow">
      <w:rPr>
        <w:b/>
        <w:bCs/>
        <w:color w:val="FFFFFF" w:themeColor="background1"/>
      </w:rPr>
      <w:tblPr/>
      <w:tcPr>
        <w:shd w:val="clear" w:color="auto" w:fill="FF8C43" w:themeFill="accent5"/>
      </w:tcPr>
    </w:tblStylePr>
    <w:tblStylePr w:type="lastRow">
      <w:rPr>
        <w:b/>
        <w:bCs/>
      </w:rPr>
      <w:tblPr/>
      <w:tcPr>
        <w:tcBorders>
          <w:top w:val="double" w:sz="4" w:space="0" w:color="FF8C43"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8C43" w:themeColor="accent5"/>
          <w:right w:val="single" w:sz="4" w:space="0" w:color="FF8C43" w:themeColor="accent5"/>
        </w:tcBorders>
      </w:tcPr>
    </w:tblStylePr>
    <w:tblStylePr w:type="band1Horz">
      <w:tblPr/>
      <w:tcPr>
        <w:tcBorders>
          <w:top w:val="single" w:sz="4" w:space="0" w:color="FF8C43" w:themeColor="accent5"/>
          <w:bottom w:val="single" w:sz="4" w:space="0" w:color="FF8C43"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8C43" w:themeColor="accent5"/>
          <w:left w:val="nil"/>
        </w:tcBorders>
      </w:tcPr>
    </w:tblStylePr>
    <w:tblStylePr w:type="swCell">
      <w:tblPr/>
      <w:tcPr>
        <w:tcBorders>
          <w:top w:val="double" w:sz="4" w:space="0" w:color="FF8C43" w:themeColor="accent5"/>
          <w:right w:val="nil"/>
        </w:tcBorders>
      </w:tcPr>
    </w:tblStylePr>
  </w:style>
  <w:style w:type="paragraph" w:customStyle="1" w:styleId="Forsidetekst">
    <w:name w:val="Forsidetekst"/>
    <w:basedOn w:val="Normal"/>
    <w:qFormat/>
    <w:rsid w:val="00C35AE5"/>
    <w:pPr>
      <w:spacing w:after="160" w:line="259" w:lineRule="auto"/>
    </w:pPr>
    <w:rPr>
      <w:rFonts w:eastAsiaTheme="minorEastAsia"/>
      <w:sz w:val="26"/>
      <w:lang w:val="nn-NO" w:eastAsia="zh-CN"/>
    </w:rPr>
  </w:style>
  <w:style w:type="table" w:customStyle="1" w:styleId="Forsidetabell">
    <w:name w:val="Forsidetabell"/>
    <w:basedOn w:val="Vanligtabell"/>
    <w:uiPriority w:val="99"/>
    <w:rsid w:val="00C35AE5"/>
    <w:pPr>
      <w:spacing w:after="0" w:line="240" w:lineRule="auto"/>
    </w:pPr>
    <w:rPr>
      <w:rFonts w:eastAsiaTheme="minorEastAsia"/>
      <w:lang w:eastAsia="zh-CN"/>
    </w:rPr>
    <w:tblPr/>
    <w:tblStylePr w:type="firstRow">
      <w:tblPr/>
      <w:tcPr>
        <w:tcBorders>
          <w:top w:val="nil"/>
          <w:left w:val="nil"/>
          <w:bottom w:val="single" w:sz="4" w:space="0" w:color="EA591D" w:themeColor="accent3"/>
          <w:right w:val="nil"/>
        </w:tcBorders>
      </w:tcPr>
    </w:tblStylePr>
  </w:style>
  <w:style w:type="character" w:styleId="Ulstomtale">
    <w:name w:val="Unresolved Mention"/>
    <w:basedOn w:val="Standardskriftforavsnitt"/>
    <w:uiPriority w:val="99"/>
    <w:semiHidden/>
    <w:rsid w:val="0047086B"/>
    <w:rPr>
      <w:color w:val="605E5C"/>
      <w:shd w:val="clear" w:color="auto" w:fill="E1DFDD"/>
    </w:rPr>
  </w:style>
  <w:style w:type="paragraph" w:styleId="Listeavsnitt">
    <w:name w:val="List Paragraph"/>
    <w:basedOn w:val="Normal"/>
    <w:uiPriority w:val="34"/>
    <w:semiHidden/>
    <w:qFormat/>
    <w:rsid w:val="00F40590"/>
    <w:pPr>
      <w:ind w:left="720"/>
      <w:contextualSpacing/>
    </w:pPr>
  </w:style>
  <w:style w:type="character" w:styleId="Fulgthyperkobling">
    <w:name w:val="FollowedHyperlink"/>
    <w:basedOn w:val="Standardskriftforavsnitt"/>
    <w:uiPriority w:val="99"/>
    <w:semiHidden/>
    <w:rsid w:val="008730DB"/>
    <w:rPr>
      <w:color w:val="954F72" w:themeColor="followedHyperlink"/>
      <w:u w:val="single"/>
    </w:rPr>
  </w:style>
  <w:style w:type="character" w:styleId="Merknadsreferanse">
    <w:name w:val="annotation reference"/>
    <w:basedOn w:val="Standardskriftforavsnitt"/>
    <w:uiPriority w:val="99"/>
    <w:semiHidden/>
    <w:rsid w:val="00D22F49"/>
    <w:rPr>
      <w:sz w:val="16"/>
      <w:szCs w:val="16"/>
    </w:rPr>
  </w:style>
  <w:style w:type="paragraph" w:styleId="Merknadstekst">
    <w:name w:val="annotation text"/>
    <w:basedOn w:val="Normal"/>
    <w:link w:val="MerknadstekstTegn"/>
    <w:uiPriority w:val="99"/>
    <w:rsid w:val="00D22F49"/>
    <w:pPr>
      <w:spacing w:line="240" w:lineRule="auto"/>
    </w:pPr>
    <w:rPr>
      <w:sz w:val="20"/>
      <w:szCs w:val="20"/>
    </w:rPr>
  </w:style>
  <w:style w:type="character" w:customStyle="1" w:styleId="MerknadstekstTegn">
    <w:name w:val="Merknadstekst Tegn"/>
    <w:basedOn w:val="Standardskriftforavsnitt"/>
    <w:link w:val="Merknadstekst"/>
    <w:uiPriority w:val="99"/>
    <w:rsid w:val="00D22F49"/>
    <w:rPr>
      <w:sz w:val="20"/>
      <w:szCs w:val="20"/>
    </w:rPr>
  </w:style>
  <w:style w:type="paragraph" w:styleId="Kommentaremne">
    <w:name w:val="annotation subject"/>
    <w:basedOn w:val="Merknadstekst"/>
    <w:next w:val="Merknadstekst"/>
    <w:link w:val="KommentaremneTegn"/>
    <w:uiPriority w:val="99"/>
    <w:semiHidden/>
    <w:rsid w:val="00D22F49"/>
    <w:rPr>
      <w:b/>
      <w:bCs/>
    </w:rPr>
  </w:style>
  <w:style w:type="character" w:customStyle="1" w:styleId="KommentaremneTegn">
    <w:name w:val="Kommentaremne Tegn"/>
    <w:basedOn w:val="MerknadstekstTegn"/>
    <w:link w:val="Kommentaremne"/>
    <w:uiPriority w:val="99"/>
    <w:semiHidden/>
    <w:rsid w:val="00D22F49"/>
    <w:rPr>
      <w:b/>
      <w:bCs/>
      <w:sz w:val="20"/>
      <w:szCs w:val="20"/>
    </w:rPr>
  </w:style>
  <w:style w:type="character" w:styleId="Omtale">
    <w:name w:val="Mention"/>
    <w:basedOn w:val="Standardskriftforavsnitt"/>
    <w:uiPriority w:val="99"/>
    <w:rsid w:val="00D22F49"/>
    <w:rPr>
      <w:color w:val="2B579A"/>
      <w:shd w:val="clear" w:color="auto" w:fill="E1DFDD"/>
    </w:rPr>
  </w:style>
  <w:style w:type="paragraph" w:styleId="Fotnotetekst">
    <w:name w:val="footnote text"/>
    <w:basedOn w:val="Normal"/>
    <w:link w:val="FotnotetekstTegn"/>
    <w:uiPriority w:val="99"/>
    <w:semiHidden/>
    <w:rsid w:val="00197377"/>
    <w:pPr>
      <w:spacing w:after="0" w:line="240" w:lineRule="auto"/>
    </w:pPr>
    <w:rPr>
      <w:sz w:val="20"/>
      <w:szCs w:val="20"/>
    </w:rPr>
  </w:style>
  <w:style w:type="character" w:customStyle="1" w:styleId="FotnotetekstTegn">
    <w:name w:val="Fotnotetekst Tegn"/>
    <w:basedOn w:val="Standardskriftforavsnitt"/>
    <w:link w:val="Fotnotetekst"/>
    <w:uiPriority w:val="99"/>
    <w:semiHidden/>
    <w:rsid w:val="00197377"/>
    <w:rPr>
      <w:sz w:val="20"/>
      <w:szCs w:val="20"/>
    </w:rPr>
  </w:style>
  <w:style w:type="character" w:styleId="Fotnotereferanse">
    <w:name w:val="footnote reference"/>
    <w:basedOn w:val="Standardskriftforavsnitt"/>
    <w:uiPriority w:val="99"/>
    <w:semiHidden/>
    <w:rsid w:val="0019737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oter" Target="footer2.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regjeringen.no/contentassets/119c281f0f3d4bc0977037fd1199800d/horingsnotat.pdf" TargetMode="Externa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1.xml"/><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header" Target="header4.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hyperlink" Target="https://www.dsb.no/contentassets/1aa33c99b99b4d1a902c5927497f28c0/veileder-sivilforsvarsforskriften_ekstern-versjon-14_3_22.pdf" TargetMode="External"/><Relationship Id="rId28" Type="http://schemas.openxmlformats.org/officeDocument/2006/relationships/theme" Target="theme/theme1.xml"/><Relationship Id="rId10" Type="http://schemas.openxmlformats.org/officeDocument/2006/relationships/settings" Target="setting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image" Target="media/image1.jpeg"/><Relationship Id="rId22" Type="http://schemas.openxmlformats.org/officeDocument/2006/relationships/hyperlink" Target="https://www.helsedirektoratet.no/veiledere/ledelse-og-kvalitetsforbedring-i-helse-og-omsorgstjenesten" TargetMode="External"/><Relationship Id="rId27" Type="http://schemas.openxmlformats.org/officeDocument/2006/relationships/glossaryDocument" Target="glossary/document.xml"/></Relationships>
</file>

<file path=word/_rels/footnotes.xml.rels><?xml version="1.0" encoding="UTF-8" standalone="yes"?>
<Relationships xmlns="http://schemas.openxmlformats.org/package/2006/relationships"><Relationship Id="rId2" Type="http://schemas.openxmlformats.org/officeDocument/2006/relationships/hyperlink" Target="https://www.dsb.no/veiledere-handboker-og-informasjonsmateriell/veileder-til-forskrift-om-sivilforsvar/" TargetMode="External"/><Relationship Id="rId1" Type="http://schemas.openxmlformats.org/officeDocument/2006/relationships/hyperlink" Target="https://www.helsedirektoratet.no/veiledere/ledelse-og-kvalitetsforbedring-i-helse-og-omsorgstjenesten" TargetMode="External"/></Relationships>
</file>

<file path=word/_rels/header3.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sv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jo\Downloads\Wordmal_bokm&#229;l%20(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FACC7F13F2846B89C99326A474AEF1C"/>
        <w:category>
          <w:name w:val="Generelt"/>
          <w:gallery w:val="placeholder"/>
        </w:category>
        <w:types>
          <w:type w:val="bbPlcHdr"/>
        </w:types>
        <w:behaviors>
          <w:behavior w:val="content"/>
        </w:behaviors>
        <w:guid w:val="{2A2CC891-4FA6-4113-9B1F-D5F1A0A18BBB}"/>
      </w:docPartPr>
      <w:docPartBody>
        <w:p w:rsidR="00211E5E" w:rsidRDefault="0076725B">
          <w:pPr>
            <w:pStyle w:val="CFACC7F13F2846B89C99326A474AEF1C"/>
          </w:pPr>
          <w:r w:rsidRPr="006F3D01">
            <w:rPr>
              <w:rStyle w:val="Plassholdertekst"/>
            </w:rPr>
            <w:t>[Tittel]</w:t>
          </w:r>
        </w:p>
      </w:docPartBody>
    </w:docPart>
    <w:docPart>
      <w:docPartPr>
        <w:name w:val="62FF8A82AA124DDCA6617E8A1E132F94"/>
        <w:category>
          <w:name w:val="Generelt"/>
          <w:gallery w:val="placeholder"/>
        </w:category>
        <w:types>
          <w:type w:val="bbPlcHdr"/>
        </w:types>
        <w:behaviors>
          <w:behavior w:val="content"/>
        </w:behaviors>
        <w:guid w:val="{B3F6A69F-A027-4FF7-BBD5-3385B8CED811}"/>
      </w:docPartPr>
      <w:docPartBody>
        <w:p w:rsidR="00211E5E" w:rsidRDefault="0076725B">
          <w:pPr>
            <w:pStyle w:val="62FF8A82AA124DDCA6617E8A1E132F94"/>
          </w:pPr>
          <w:r w:rsidRPr="00BA38BB">
            <w:rPr>
              <w:rStyle w:val="Plassholdertekst"/>
            </w:rPr>
            <w:t>[Undertittel]</w:t>
          </w:r>
        </w:p>
      </w:docPartBody>
    </w:docPart>
    <w:docPart>
      <w:docPartPr>
        <w:name w:val="21416D682C87448C9B946F62E6578E0C"/>
        <w:category>
          <w:name w:val="Generelt"/>
          <w:gallery w:val="placeholder"/>
        </w:category>
        <w:types>
          <w:type w:val="bbPlcHdr"/>
        </w:types>
        <w:behaviors>
          <w:behavior w:val="content"/>
        </w:behaviors>
        <w:guid w:val="{45769B17-9354-4FB7-BB8B-40FE7A70B27E}"/>
      </w:docPartPr>
      <w:docPartBody>
        <w:p w:rsidR="00211E5E" w:rsidRDefault="0076725B">
          <w:pPr>
            <w:pStyle w:val="21416D682C87448C9B946F62E6578E0C"/>
          </w:pPr>
          <w:r w:rsidRPr="006F3D01">
            <w:rPr>
              <w:rStyle w:val="Plassholdertekst"/>
            </w:rPr>
            <w:t>[Tittel]</w:t>
          </w:r>
        </w:p>
      </w:docPartBody>
    </w:docPart>
    <w:docPart>
      <w:docPartPr>
        <w:name w:val="561F85C2636F456DBB6629617949EE03"/>
        <w:category>
          <w:name w:val="Generelt"/>
          <w:gallery w:val="placeholder"/>
        </w:category>
        <w:types>
          <w:type w:val="bbPlcHdr"/>
        </w:types>
        <w:behaviors>
          <w:behavior w:val="content"/>
        </w:behaviors>
        <w:guid w:val="{996E829E-3FC7-4A01-8E30-998FE8539B45}"/>
      </w:docPartPr>
      <w:docPartBody>
        <w:p w:rsidR="00211E5E" w:rsidRDefault="0076725B">
          <w:pPr>
            <w:pStyle w:val="561F85C2636F456DBB6629617949EE03"/>
          </w:pPr>
          <w:r w:rsidRPr="00BA38BB">
            <w:rPr>
              <w:rStyle w:val="Plassholdertekst"/>
            </w:rPr>
            <w:t>[Undertittel]</w:t>
          </w:r>
        </w:p>
      </w:docPartBody>
    </w:docPart>
    <w:docPart>
      <w:docPartPr>
        <w:name w:val="F171048A122B45C49AF2CF82AB176D8B"/>
        <w:category>
          <w:name w:val="Generelt"/>
          <w:gallery w:val="placeholder"/>
        </w:category>
        <w:types>
          <w:type w:val="bbPlcHdr"/>
        </w:types>
        <w:behaviors>
          <w:behavior w:val="content"/>
        </w:behaviors>
        <w:guid w:val="{95AB3129-D4C3-4159-9D89-DC804E98F375}"/>
      </w:docPartPr>
      <w:docPartBody>
        <w:p w:rsidR="00211E5E" w:rsidRDefault="0076725B">
          <w:pPr>
            <w:pStyle w:val="F171048A122B45C49AF2CF82AB176D8B"/>
          </w:pPr>
          <w:r w:rsidRPr="00EB0E55">
            <w:rPr>
              <w:rStyle w:val="Plassholdertekst"/>
            </w:rPr>
            <w:t>[Navn Etternavn]</w:t>
          </w:r>
        </w:p>
      </w:docPartBody>
    </w:docPart>
    <w:docPart>
      <w:docPartPr>
        <w:name w:val="B3EE2DAC3E2E4576BC9B189D13920F3F"/>
        <w:category>
          <w:name w:val="Generelt"/>
          <w:gallery w:val="placeholder"/>
        </w:category>
        <w:types>
          <w:type w:val="bbPlcHdr"/>
        </w:types>
        <w:behaviors>
          <w:behavior w:val="content"/>
        </w:behaviors>
        <w:guid w:val="{ED482677-FD0F-4733-B22A-6298FB2A9511}"/>
      </w:docPartPr>
      <w:docPartBody>
        <w:p w:rsidR="00211E5E" w:rsidRDefault="0076725B">
          <w:pPr>
            <w:pStyle w:val="B3EE2DAC3E2E4576BC9B189D13920F3F"/>
          </w:pPr>
          <w:r w:rsidRPr="00EB0E55">
            <w:rPr>
              <w:rStyle w:val="Plassholdertekst"/>
            </w:rPr>
            <w:t>[Navn Etternavn]</w:t>
          </w:r>
        </w:p>
      </w:docPartBody>
    </w:docPart>
    <w:docPart>
      <w:docPartPr>
        <w:name w:val="1C688922747E44F58328AD89EA734293"/>
        <w:category>
          <w:name w:val="Generelt"/>
          <w:gallery w:val="placeholder"/>
        </w:category>
        <w:types>
          <w:type w:val="bbPlcHdr"/>
        </w:types>
        <w:behaviors>
          <w:behavior w:val="content"/>
        </w:behaviors>
        <w:guid w:val="{97B87131-AC41-40B9-9BA6-1F5536874B54}"/>
      </w:docPartPr>
      <w:docPartBody>
        <w:p w:rsidR="00211E5E" w:rsidRDefault="0076725B">
          <w:pPr>
            <w:pStyle w:val="1C688922747E44F58328AD89EA734293"/>
          </w:pPr>
          <w:r w:rsidRPr="00EB0E55">
            <w:rPr>
              <w:rStyle w:val="Plassholdertekst"/>
            </w:rPr>
            <w:t>[Navn Etternavn]</w:t>
          </w:r>
        </w:p>
      </w:docPartBody>
    </w:docPart>
    <w:docPart>
      <w:docPartPr>
        <w:name w:val="79D7E22C56CF4627A937B4CEB6722944"/>
        <w:category>
          <w:name w:val="Generelt"/>
          <w:gallery w:val="placeholder"/>
        </w:category>
        <w:types>
          <w:type w:val="bbPlcHdr"/>
        </w:types>
        <w:behaviors>
          <w:behavior w:val="content"/>
        </w:behaviors>
        <w:guid w:val="{2FF10943-E98E-4F99-BA36-CED217A16251}"/>
      </w:docPartPr>
      <w:docPartBody>
        <w:p w:rsidR="00211E5E" w:rsidRDefault="0076725B">
          <w:pPr>
            <w:pStyle w:val="79D7E22C56CF4627A937B4CEB6722944"/>
          </w:pPr>
          <w:r w:rsidRPr="00BA2E7C">
            <w:rPr>
              <w:rStyle w:val="Plassholdertekst"/>
            </w:rPr>
            <w:t>[Tittel]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Poppins">
    <w:panose1 w:val="00000500000000000000"/>
    <w:charset w:val="00"/>
    <w:family w:val="auto"/>
    <w:pitch w:val="variable"/>
    <w:sig w:usb0="00008007" w:usb1="00000000" w:usb2="00000000" w:usb3="00000000" w:csb0="00000093"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1E5E"/>
    <w:rsid w:val="00211E5E"/>
    <w:rsid w:val="002F182C"/>
    <w:rsid w:val="006B18F8"/>
    <w:rsid w:val="0076725B"/>
    <w:rsid w:val="007A7955"/>
    <w:rsid w:val="00940DA4"/>
    <w:rsid w:val="00C63D5F"/>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nb-NO" w:eastAsia="nb-NO"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Plassholdertekst">
    <w:name w:val="Placeholder Text"/>
    <w:basedOn w:val="Standardskriftforavsnitt"/>
    <w:uiPriority w:val="99"/>
    <w:semiHidden/>
    <w:rPr>
      <w:color w:val="666666"/>
    </w:rPr>
  </w:style>
  <w:style w:type="paragraph" w:customStyle="1" w:styleId="CFACC7F13F2846B89C99326A474AEF1C">
    <w:name w:val="CFACC7F13F2846B89C99326A474AEF1C"/>
  </w:style>
  <w:style w:type="paragraph" w:customStyle="1" w:styleId="62FF8A82AA124DDCA6617E8A1E132F94">
    <w:name w:val="62FF8A82AA124DDCA6617E8A1E132F94"/>
  </w:style>
  <w:style w:type="paragraph" w:customStyle="1" w:styleId="21416D682C87448C9B946F62E6578E0C">
    <w:name w:val="21416D682C87448C9B946F62E6578E0C"/>
  </w:style>
  <w:style w:type="paragraph" w:customStyle="1" w:styleId="561F85C2636F456DBB6629617949EE03">
    <w:name w:val="561F85C2636F456DBB6629617949EE03"/>
  </w:style>
  <w:style w:type="paragraph" w:customStyle="1" w:styleId="F171048A122B45C49AF2CF82AB176D8B">
    <w:name w:val="F171048A122B45C49AF2CF82AB176D8B"/>
  </w:style>
  <w:style w:type="paragraph" w:customStyle="1" w:styleId="B3EE2DAC3E2E4576BC9B189D13920F3F">
    <w:name w:val="B3EE2DAC3E2E4576BC9B189D13920F3F"/>
  </w:style>
  <w:style w:type="paragraph" w:customStyle="1" w:styleId="1C688922747E44F58328AD89EA734293">
    <w:name w:val="1C688922747E44F58328AD89EA734293"/>
  </w:style>
  <w:style w:type="paragraph" w:customStyle="1" w:styleId="79D7E22C56CF4627A937B4CEB6722944">
    <w:name w:val="79D7E22C56CF4627A937B4CEB672294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HK DIR">
      <a:dk1>
        <a:sysClr val="windowText" lastClr="000000"/>
      </a:dk1>
      <a:lt1>
        <a:sysClr val="window" lastClr="FFFFFF"/>
      </a:lt1>
      <a:dk2>
        <a:srgbClr val="E72F72"/>
      </a:dk2>
      <a:lt2>
        <a:srgbClr val="E7E6E6"/>
      </a:lt2>
      <a:accent1>
        <a:srgbClr val="E72F72"/>
      </a:accent1>
      <a:accent2>
        <a:srgbClr val="0025A0"/>
      </a:accent2>
      <a:accent3>
        <a:srgbClr val="EA591D"/>
      </a:accent3>
      <a:accent4>
        <a:srgbClr val="630879"/>
      </a:accent4>
      <a:accent5>
        <a:srgbClr val="FF8C43"/>
      </a:accent5>
      <a:accent6>
        <a:srgbClr val="A80037"/>
      </a:accent6>
      <a:hlink>
        <a:srgbClr val="0563C1"/>
      </a:hlink>
      <a:folHlink>
        <a:srgbClr val="954F72"/>
      </a:folHlink>
    </a:clrScheme>
    <a:fontScheme name="Egendefinert 103">
      <a:majorFont>
        <a:latin typeface="Poppins"/>
        <a:ea typeface=""/>
        <a:cs typeface=""/>
      </a:majorFont>
      <a:minorFont>
        <a:latin typeface="Poppins"/>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accent2"/>
        </a:solidFill>
        <a:ln>
          <a:noFill/>
        </a:ln>
      </a:spPr>
      <a:bodyPr rtlCol="0" anchor="ctr"/>
      <a:lstStyle/>
      <a:style>
        <a:lnRef idx="2">
          <a:schemeClr val="accent1">
            <a:shade val="15000"/>
          </a:schemeClr>
        </a:lnRef>
        <a:fillRef idx="1">
          <a:schemeClr val="accent1"/>
        </a:fillRef>
        <a:effectRef idx="0">
          <a:schemeClr val="accent1"/>
        </a:effectRef>
        <a:fontRef idx="minor">
          <a:schemeClr val="lt1"/>
        </a:fontRef>
      </a:style>
    </a:spDef>
    <a:txDef>
      <a:spPr>
        <a:solidFill>
          <a:schemeClr val="lt1"/>
        </a:solidFill>
        <a:ln w="6350">
          <a:solidFill>
            <a:schemeClr val="bg1">
              <a:lumMod val="65000"/>
            </a:schemeClr>
          </a:solidFill>
        </a:ln>
      </a:spPr>
      <a:bodyPr wrap="square" rtlCol="0"/>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root>
  <subtitle>Gjeldende fra 1. august 2024</subtitle>
  <title/>
</root>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7303cf12-2f4b-4dc1-95f7-bcb7c3afce15">
      <UserInfo>
        <DisplayName>Mathilde Nordlie</DisplayName>
        <AccountId>143</AccountId>
        <AccountType/>
      </UserInfo>
      <UserInfo>
        <DisplayName>Svenn Wold Gaulen</DisplayName>
        <AccountId>87</AccountId>
        <AccountType/>
      </UserInfo>
      <UserInfo>
        <DisplayName>Kamilla Lukkari</DisplayName>
        <AccountId>17</AccountId>
        <AccountType/>
      </UserInfo>
      <UserInfo>
        <DisplayName>Hege Svendsen</DisplayName>
        <AccountId>146</AccountId>
        <AccountType/>
      </UserInfo>
      <UserInfo>
        <DisplayName>Silje Refsnes</DisplayName>
        <AccountId>38</AccountId>
        <AccountType/>
      </UserInfo>
      <UserInfo>
        <DisplayName>Ann-Tove Eriksen</DisplayName>
        <AccountId>46</AccountId>
        <AccountType/>
      </UserInfo>
      <UserInfo>
        <DisplayName>Linda Lien</DisplayName>
        <AccountId>11</AccountId>
        <AccountType/>
      </UserInfo>
      <UserInfo>
        <DisplayName>Jørund Magnus Jørgensen</DisplayName>
        <AccountId>129</AccountId>
        <AccountType/>
      </UserInfo>
      <UserInfo>
        <DisplayName>Beate Myrvang Inderhaug</DisplayName>
        <AccountId>144</AccountId>
        <AccountType/>
      </UserInfo>
    </SharedWithUsers>
    <_activity xmlns="eb9086c4-2c1f-4de9-b43c-91429834bd4d"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TemplafyTemplateConfiguration><![CDATA[{"elementsMetadata":[],"transformationConfigurations":[],"templateName":"blankdocument","templateDescription":"","enableDocumentContentUpdater":false,"version":"2.0"}]]></TemplafyTemplateConfiguration>
</file>

<file path=customXml/item6.xml><?xml version="1.0" encoding="utf-8"?>
<TemplafyFormConfiguration><![CDATA[{"formFields":[],"formDataEntries":[]}]]></TemplafyFormConfiguration>
</file>

<file path=customXml/item7.xml><?xml version="1.0" encoding="utf-8"?>
<ct:contentTypeSchema xmlns:ct="http://schemas.microsoft.com/office/2006/metadata/contentType" xmlns:ma="http://schemas.microsoft.com/office/2006/metadata/properties/metaAttributes" ct:_="" ma:_="" ma:contentTypeName="Document" ma:contentTypeID="0x0101004F34703ACDCE844086B932A9D7D50893" ma:contentTypeVersion="18" ma:contentTypeDescription="Create a new document." ma:contentTypeScope="" ma:versionID="cf4fcd1ca5d9d41153775d5771282bb8">
  <xsd:schema xmlns:xsd="http://www.w3.org/2001/XMLSchema" xmlns:xs="http://www.w3.org/2001/XMLSchema" xmlns:p="http://schemas.microsoft.com/office/2006/metadata/properties" xmlns:ns3="7303cf12-2f4b-4dc1-95f7-bcb7c3afce15" xmlns:ns4="eb9086c4-2c1f-4de9-b43c-91429834bd4d" targetNamespace="http://schemas.microsoft.com/office/2006/metadata/properties" ma:root="true" ma:fieldsID="3b4d5cac0099f5351e7f56929f9cab1c" ns3:_="" ns4:_="">
    <xsd:import namespace="7303cf12-2f4b-4dc1-95f7-bcb7c3afce15"/>
    <xsd:import namespace="eb9086c4-2c1f-4de9-b43c-91429834bd4d"/>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LengthInSeconds" minOccurs="0"/>
                <xsd:element ref="ns4:MediaServiceAutoKeyPoints" minOccurs="0"/>
                <xsd:element ref="ns4:MediaServiceKeyPoints" minOccurs="0"/>
                <xsd:element ref="ns4:MediaServiceLocation" minOccurs="0"/>
                <xsd:element ref="ns4:_activity"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03cf12-2f4b-4dc1-95f7-bcb7c3afce1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b9086c4-2c1f-4de9-b43c-91429834bd4d"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80AB03-B5B5-4CFE-8AC5-12B2CC1E99A2}">
  <ds:schemaRefs/>
</ds:datastoreItem>
</file>

<file path=customXml/itemProps2.xml><?xml version="1.0" encoding="utf-8"?>
<ds:datastoreItem xmlns:ds="http://schemas.openxmlformats.org/officeDocument/2006/customXml" ds:itemID="{816DC872-01AC-4FAA-AFC6-6059D9104153}">
  <ds:schemaRefs>
    <ds:schemaRef ds:uri="http://schemas.microsoft.com/sharepoint/v3/contenttype/forms"/>
  </ds:schemaRefs>
</ds:datastoreItem>
</file>

<file path=customXml/itemProps3.xml><?xml version="1.0" encoding="utf-8"?>
<ds:datastoreItem xmlns:ds="http://schemas.openxmlformats.org/officeDocument/2006/customXml" ds:itemID="{0AC9A3D6-0520-4030-B0C9-F483F72299CA}">
  <ds:schemaRefs>
    <ds:schemaRef ds:uri="http://schemas.microsoft.com/office/2006/metadata/properties"/>
    <ds:schemaRef ds:uri="http://schemas.microsoft.com/office/infopath/2007/PartnerControls"/>
    <ds:schemaRef ds:uri="7303cf12-2f4b-4dc1-95f7-bcb7c3afce15"/>
    <ds:schemaRef ds:uri="eb9086c4-2c1f-4de9-b43c-91429834bd4d"/>
  </ds:schemaRefs>
</ds:datastoreItem>
</file>

<file path=customXml/itemProps4.xml><?xml version="1.0" encoding="utf-8"?>
<ds:datastoreItem xmlns:ds="http://schemas.openxmlformats.org/officeDocument/2006/customXml" ds:itemID="{0DA550C3-ADDB-4738-B841-05D0434A778A}">
  <ds:schemaRefs>
    <ds:schemaRef ds:uri="http://schemas.openxmlformats.org/officeDocument/2006/bibliography"/>
  </ds:schemaRefs>
</ds:datastoreItem>
</file>

<file path=customXml/itemProps5.xml><?xml version="1.0" encoding="utf-8"?>
<ds:datastoreItem xmlns:ds="http://schemas.openxmlformats.org/officeDocument/2006/customXml" ds:itemID="{58F6F5A3-EB44-438D-AC9A-C675F424A025}">
  <ds:schemaRefs/>
</ds:datastoreItem>
</file>

<file path=customXml/itemProps6.xml><?xml version="1.0" encoding="utf-8"?>
<ds:datastoreItem xmlns:ds="http://schemas.openxmlformats.org/officeDocument/2006/customXml" ds:itemID="{404AE45A-43A0-4612-8FA3-7026C3667A2D}">
  <ds:schemaRefs/>
</ds:datastoreItem>
</file>

<file path=customXml/itemProps7.xml><?xml version="1.0" encoding="utf-8"?>
<ds:datastoreItem xmlns:ds="http://schemas.openxmlformats.org/officeDocument/2006/customXml" ds:itemID="{1A86FED8-381E-479F-B872-EDB6DC6CD5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03cf12-2f4b-4dc1-95f7-bcb7c3afce15"/>
    <ds:schemaRef ds:uri="eb9086c4-2c1f-4de9-b43c-91429834bd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Wordmal_bokmål (1)</Template>
  <TotalTime>7</TotalTime>
  <Pages>21</Pages>
  <Words>6240</Words>
  <Characters>33073</Characters>
  <Application>Microsoft Office Word</Application>
  <DocSecurity>0</DocSecurity>
  <Lines>275</Lines>
  <Paragraphs>78</Paragraphs>
  <ScaleCrop>false</ScaleCrop>
  <HeadingPairs>
    <vt:vector size="2" baseType="variant">
      <vt:variant>
        <vt:lpstr>Tittel</vt:lpstr>
      </vt:variant>
      <vt:variant>
        <vt:i4>1</vt:i4>
      </vt:variant>
    </vt:vector>
  </HeadingPairs>
  <TitlesOfParts>
    <vt:vector size="1" baseType="lpstr">
      <vt:lpstr>Dette er dokumentets tittel</vt:lpstr>
    </vt:vector>
  </TitlesOfParts>
  <Company/>
  <LinksUpToDate>false</LinksUpToDate>
  <CharactersWithSpaces>39235</CharactersWithSpaces>
  <SharedDoc>false</SharedDoc>
  <HLinks>
    <vt:vector size="30" baseType="variant">
      <vt:variant>
        <vt:i4>5701671</vt:i4>
      </vt:variant>
      <vt:variant>
        <vt:i4>12</vt:i4>
      </vt:variant>
      <vt:variant>
        <vt:i4>0</vt:i4>
      </vt:variant>
      <vt:variant>
        <vt:i4>5</vt:i4>
      </vt:variant>
      <vt:variant>
        <vt:lpwstr>https://www.dsb.no/contentassets/1aa33c99b99b4d1a902c5927497f28c0/veileder-sivilforsvarsforskriften_ekstern-versjon-14_3_22.pdf</vt:lpwstr>
      </vt:variant>
      <vt:variant>
        <vt:lpwstr/>
      </vt:variant>
      <vt:variant>
        <vt:i4>1310814</vt:i4>
      </vt:variant>
      <vt:variant>
        <vt:i4>9</vt:i4>
      </vt:variant>
      <vt:variant>
        <vt:i4>0</vt:i4>
      </vt:variant>
      <vt:variant>
        <vt:i4>5</vt:i4>
      </vt:variant>
      <vt:variant>
        <vt:lpwstr>https://www.helsedirektoratet.no/veiledere/ledelse-og-kvalitetsforbedring-i-helse-og-omsorgstjenesten</vt:lpwstr>
      </vt:variant>
      <vt:variant>
        <vt:lpwstr/>
      </vt:variant>
      <vt:variant>
        <vt:i4>3407930</vt:i4>
      </vt:variant>
      <vt:variant>
        <vt:i4>6</vt:i4>
      </vt:variant>
      <vt:variant>
        <vt:i4>0</vt:i4>
      </vt:variant>
      <vt:variant>
        <vt:i4>5</vt:i4>
      </vt:variant>
      <vt:variant>
        <vt:lpwstr>https://www.regjeringen.no/contentassets/119c281f0f3d4bc0977037fd1199800d/horingsnotat.pdf</vt:lpwstr>
      </vt:variant>
      <vt:variant>
        <vt:lpwstr/>
      </vt:variant>
      <vt:variant>
        <vt:i4>2424864</vt:i4>
      </vt:variant>
      <vt:variant>
        <vt:i4>3</vt:i4>
      </vt:variant>
      <vt:variant>
        <vt:i4>0</vt:i4>
      </vt:variant>
      <vt:variant>
        <vt:i4>5</vt:i4>
      </vt:variant>
      <vt:variant>
        <vt:lpwstr>https://www.dsb.no/veiledere-handboker-og-informasjonsmateriell/veileder-til-forskrift-om-sivilforsvar/</vt:lpwstr>
      </vt:variant>
      <vt:variant>
        <vt:lpwstr/>
      </vt:variant>
      <vt:variant>
        <vt:i4>1310814</vt:i4>
      </vt:variant>
      <vt:variant>
        <vt:i4>0</vt:i4>
      </vt:variant>
      <vt:variant>
        <vt:i4>0</vt:i4>
      </vt:variant>
      <vt:variant>
        <vt:i4>5</vt:i4>
      </vt:variant>
      <vt:variant>
        <vt:lpwstr>https://www.helsedirektoratet.no/veiledere/ledelse-og-kvalitetsforbedring-i-helse-og-omsorgstjenesten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Veileder til forskrift om skikkethetsvurdering i høyere utdanning (skikkethetsforskriften)</dc:title>
  <dc:subject/>
  <dc:creator>Jørund Jørgensen</dc:creator>
  <cp:keywords/>
  <dc:description/>
  <cp:lastModifiedBy>Jørund Jørgensen</cp:lastModifiedBy>
  <cp:revision>3</cp:revision>
  <dcterms:created xsi:type="dcterms:W3CDTF">2024-05-06T06:57:00Z</dcterms:created>
  <dcterms:modified xsi:type="dcterms:W3CDTF">2024-05-06T07:03:00Z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fyTenantId">
    <vt:lpwstr>officeconsult</vt:lpwstr>
  </property>
  <property fmtid="{D5CDD505-2E9C-101B-9397-08002B2CF9AE}" pid="3" name="TemplafyTemplateId">
    <vt:lpwstr>637366221224864452</vt:lpwstr>
  </property>
  <property fmtid="{D5CDD505-2E9C-101B-9397-08002B2CF9AE}" pid="4" name="TemplafyUserProfileId">
    <vt:lpwstr>637366220921655817</vt:lpwstr>
  </property>
  <property fmtid="{D5CDD505-2E9C-101B-9397-08002B2CF9AE}" pid="5" name="TemplafyFromBlank">
    <vt:bool>true</vt:bool>
  </property>
  <property fmtid="{D5CDD505-2E9C-101B-9397-08002B2CF9AE}" pid="6" name="ContentTypeId">
    <vt:lpwstr>0x0101004F34703ACDCE844086B932A9D7D50893</vt:lpwstr>
  </property>
  <property fmtid="{D5CDD505-2E9C-101B-9397-08002B2CF9AE}" pid="7" name="MSIP_Label_4012811f-b717-4099-a412-3cacd3519ab9_Enabled">
    <vt:lpwstr>true</vt:lpwstr>
  </property>
  <property fmtid="{D5CDD505-2E9C-101B-9397-08002B2CF9AE}" pid="8" name="MSIP_Label_4012811f-b717-4099-a412-3cacd3519ab9_SetDate">
    <vt:lpwstr>2024-03-21T11:53:44Z</vt:lpwstr>
  </property>
  <property fmtid="{D5CDD505-2E9C-101B-9397-08002B2CF9AE}" pid="9" name="MSIP_Label_4012811f-b717-4099-a412-3cacd3519ab9_Method">
    <vt:lpwstr>Privileged</vt:lpwstr>
  </property>
  <property fmtid="{D5CDD505-2E9C-101B-9397-08002B2CF9AE}" pid="10" name="MSIP_Label_4012811f-b717-4099-a412-3cacd3519ab9_Name">
    <vt:lpwstr>Åpen</vt:lpwstr>
  </property>
  <property fmtid="{D5CDD505-2E9C-101B-9397-08002B2CF9AE}" pid="11" name="MSIP_Label_4012811f-b717-4099-a412-3cacd3519ab9_SiteId">
    <vt:lpwstr>1ec46890-73f8-4a2a-9b2c-9a6611f1c922</vt:lpwstr>
  </property>
  <property fmtid="{D5CDD505-2E9C-101B-9397-08002B2CF9AE}" pid="12" name="MSIP_Label_4012811f-b717-4099-a412-3cacd3519ab9_ActionId">
    <vt:lpwstr>d64c2b99-8a2e-4994-8480-659df9bbc1ba</vt:lpwstr>
  </property>
  <property fmtid="{D5CDD505-2E9C-101B-9397-08002B2CF9AE}" pid="13" name="MSIP_Label_4012811f-b717-4099-a412-3cacd3519ab9_ContentBits">
    <vt:lpwstr>0</vt:lpwstr>
  </property>
</Properties>
</file>